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8.xml" ContentType="application/vnd.openxmlformats-officedocument.wordprocessingml.header+xml"/>
  <Override PartName="/word/footer4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921" w:rsidRPr="007B2462" w:rsidRDefault="00B03921" w:rsidP="000542A7">
      <w:pPr>
        <w:pBdr>
          <w:bottom w:val="single" w:sz="12" w:space="0" w:color="auto"/>
        </w:pBdr>
        <w:spacing w:before="1560"/>
        <w:jc w:val="center"/>
        <w:rPr>
          <w:rFonts w:ascii="Calibri" w:hAnsi="Calibri"/>
          <w:b/>
          <w:sz w:val="52"/>
          <w:szCs w:val="52"/>
        </w:rPr>
      </w:pPr>
      <w:r>
        <w:rPr>
          <w:rFonts w:ascii="Calibri" w:hAnsi="Calibri"/>
          <w:b/>
          <w:sz w:val="52"/>
          <w:szCs w:val="52"/>
        </w:rPr>
        <w:t>Statement of Finances</w:t>
      </w:r>
    </w:p>
    <w:p w:rsidR="00B03921" w:rsidRPr="007B2462" w:rsidRDefault="00B03921" w:rsidP="000542A7">
      <w:pPr>
        <w:jc w:val="center"/>
        <w:rPr>
          <w:rFonts w:ascii="Calibri" w:hAnsi="Calibri"/>
          <w:b/>
          <w:sz w:val="52"/>
          <w:szCs w:val="52"/>
        </w:rPr>
      </w:pPr>
      <w:r w:rsidRPr="007B2462">
        <w:rPr>
          <w:rFonts w:ascii="Calibri" w:hAnsi="Calibri"/>
          <w:b/>
          <w:sz w:val="52"/>
          <w:szCs w:val="52"/>
        </w:rPr>
        <w:t>201</w:t>
      </w:r>
      <w:r>
        <w:rPr>
          <w:rFonts w:ascii="Calibri" w:hAnsi="Calibri"/>
          <w:b/>
          <w:sz w:val="52"/>
          <w:szCs w:val="52"/>
        </w:rPr>
        <w:t>5</w:t>
      </w:r>
      <w:r>
        <w:rPr>
          <w:rFonts w:ascii="Calibri" w:hAnsi="Calibri"/>
          <w:b/>
          <w:sz w:val="52"/>
          <w:szCs w:val="52"/>
        </w:rPr>
        <w:noBreakHyphen/>
        <w:t>16</w:t>
      </w:r>
    </w:p>
    <w:p w:rsidR="00B03921" w:rsidRDefault="00B03921" w:rsidP="000542A7">
      <w:pPr>
        <w:jc w:val="center"/>
        <w:rPr>
          <w:rFonts w:ascii="Calibri" w:hAnsi="Calibri"/>
          <w:sz w:val="30"/>
          <w:szCs w:val="30"/>
        </w:rPr>
      </w:pPr>
    </w:p>
    <w:p w:rsidR="00B03921" w:rsidRPr="007B2462" w:rsidRDefault="00B03921" w:rsidP="000542A7">
      <w:pPr>
        <w:jc w:val="center"/>
        <w:rPr>
          <w:rFonts w:ascii="Calibri" w:hAnsi="Calibri"/>
          <w:sz w:val="30"/>
          <w:szCs w:val="30"/>
        </w:rPr>
      </w:pPr>
    </w:p>
    <w:p w:rsidR="00B03921" w:rsidRPr="007B2462" w:rsidRDefault="00B03921" w:rsidP="000542A7">
      <w:pPr>
        <w:jc w:val="center"/>
      </w:pPr>
      <w:r w:rsidRPr="00D26163">
        <w:rPr>
          <w:rFonts w:ascii="Calibri" w:hAnsi="Calibri" w:cs="Calibri"/>
          <w:noProof/>
          <w:lang w:eastAsia="en-AU"/>
        </w:rPr>
        <w:drawing>
          <wp:inline distT="0" distB="0" distL="0" distR="0" wp14:anchorId="0EEF0372" wp14:editId="0263EFC7">
            <wp:extent cx="940435" cy="114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B03921" w:rsidRPr="007B2462" w:rsidRDefault="00B03921" w:rsidP="000542A7">
      <w:pPr>
        <w:jc w:val="center"/>
        <w:rPr>
          <w:sz w:val="36"/>
          <w:szCs w:val="36"/>
        </w:rPr>
      </w:pPr>
    </w:p>
    <w:p w:rsidR="00B03921" w:rsidRPr="007B2462" w:rsidRDefault="00B03921" w:rsidP="000542A7">
      <w:pPr>
        <w:jc w:val="center"/>
        <w:rPr>
          <w:sz w:val="36"/>
          <w:szCs w:val="36"/>
        </w:rPr>
      </w:pPr>
    </w:p>
    <w:p w:rsidR="00B03921" w:rsidRPr="007B2462" w:rsidRDefault="00B03921" w:rsidP="000542A7">
      <w:pPr>
        <w:jc w:val="center"/>
        <w:rPr>
          <w:sz w:val="36"/>
          <w:szCs w:val="36"/>
        </w:rPr>
      </w:pPr>
    </w:p>
    <w:p w:rsidR="00B03921" w:rsidRPr="007B2462" w:rsidRDefault="00B03921" w:rsidP="000542A7">
      <w:pPr>
        <w:jc w:val="center"/>
        <w:rPr>
          <w:rFonts w:ascii="Calibri" w:hAnsi="Calibri"/>
          <w:sz w:val="28"/>
          <w:szCs w:val="28"/>
        </w:rPr>
      </w:pPr>
      <w:r w:rsidRPr="007B2462">
        <w:rPr>
          <w:rFonts w:ascii="Calibri" w:hAnsi="Calibri"/>
          <w:sz w:val="28"/>
          <w:szCs w:val="28"/>
        </w:rPr>
        <w:t>Presented by</w:t>
      </w:r>
    </w:p>
    <w:p w:rsidR="00B03921" w:rsidRPr="00D26163" w:rsidRDefault="00B03921" w:rsidP="000542A7">
      <w:pPr>
        <w:jc w:val="center"/>
        <w:rPr>
          <w:rFonts w:ascii="Calibri" w:hAnsi="Calibri" w:cs="Calibri"/>
          <w:b/>
          <w:sz w:val="36"/>
          <w:szCs w:val="36"/>
        </w:rPr>
      </w:pPr>
      <w:r w:rsidRPr="00D26163">
        <w:rPr>
          <w:rFonts w:ascii="Calibri" w:hAnsi="Calibri" w:cs="Calibri"/>
          <w:b/>
          <w:sz w:val="36"/>
          <w:szCs w:val="36"/>
        </w:rPr>
        <w:t>Tim Pallas MP</w:t>
      </w:r>
    </w:p>
    <w:p w:rsidR="00B03921" w:rsidRPr="00D26163" w:rsidRDefault="00B03921" w:rsidP="000542A7">
      <w:pPr>
        <w:jc w:val="center"/>
        <w:rPr>
          <w:rFonts w:ascii="Calibri" w:hAnsi="Calibri" w:cs="Calibri"/>
          <w:sz w:val="28"/>
          <w:szCs w:val="28"/>
        </w:rPr>
      </w:pPr>
      <w:r w:rsidRPr="00D26163">
        <w:rPr>
          <w:rFonts w:ascii="Calibri" w:hAnsi="Calibri" w:cs="Calibri"/>
          <w:sz w:val="28"/>
          <w:szCs w:val="28"/>
        </w:rPr>
        <w:t>Treasurer of the State of Victoria</w:t>
      </w:r>
    </w:p>
    <w:p w:rsidR="00B03921" w:rsidRPr="007B2462" w:rsidRDefault="00B03921" w:rsidP="000542A7">
      <w:pPr>
        <w:jc w:val="center"/>
        <w:rPr>
          <w:rFonts w:ascii="Calibri" w:hAnsi="Calibri"/>
          <w:sz w:val="30"/>
          <w:szCs w:val="30"/>
        </w:rPr>
      </w:pPr>
      <w:r w:rsidRPr="007B2462">
        <w:rPr>
          <w:rFonts w:ascii="Calibri" w:hAnsi="Calibri"/>
          <w:sz w:val="30"/>
          <w:szCs w:val="30"/>
        </w:rPr>
        <w:t>for the information of Honourable Members</w:t>
      </w:r>
    </w:p>
    <w:p w:rsidR="00B03921" w:rsidRPr="007B2462" w:rsidRDefault="00B03921" w:rsidP="000542A7">
      <w:pPr>
        <w:jc w:val="center"/>
        <w:rPr>
          <w:rFonts w:ascii="Calibri" w:hAnsi="Calibri"/>
          <w:sz w:val="36"/>
          <w:szCs w:val="36"/>
        </w:rPr>
      </w:pPr>
    </w:p>
    <w:p w:rsidR="00B03921" w:rsidRPr="007B2462" w:rsidRDefault="00B03921" w:rsidP="000542A7">
      <w:pPr>
        <w:jc w:val="center"/>
        <w:rPr>
          <w:rFonts w:ascii="Calibri" w:hAnsi="Calibri"/>
          <w:b/>
          <w:sz w:val="36"/>
          <w:szCs w:val="36"/>
        </w:rPr>
      </w:pPr>
      <w:r>
        <w:rPr>
          <w:rFonts w:ascii="Calibri" w:hAnsi="Calibri"/>
          <w:b/>
          <w:sz w:val="36"/>
          <w:szCs w:val="36"/>
        </w:rPr>
        <w:t>Budget Paper No. 5</w:t>
      </w:r>
    </w:p>
    <w:p w:rsidR="00B03921" w:rsidRPr="007B2462" w:rsidRDefault="00B03921" w:rsidP="00B03921">
      <w:pPr>
        <w:spacing w:after="0"/>
      </w:pPr>
      <w:r w:rsidRPr="007B2462">
        <w:br w:type="page"/>
      </w:r>
    </w:p>
    <w:p w:rsidR="00B03921" w:rsidRPr="007B2462" w:rsidRDefault="00B03921" w:rsidP="000542A7"/>
    <w:p w:rsidR="00B03921" w:rsidRPr="007B2462" w:rsidRDefault="00B03921" w:rsidP="000542A7"/>
    <w:p w:rsidR="00B03921" w:rsidRPr="007B2462" w:rsidRDefault="00B03921" w:rsidP="000542A7"/>
    <w:p w:rsidR="00B03921" w:rsidRPr="007B2462" w:rsidRDefault="001C18AD" w:rsidP="000542A7">
      <w:pPr>
        <w:sectPr w:rsidR="00B03921" w:rsidRPr="007B2462" w:rsidSect="00016914">
          <w:footerReference w:type="even" r:id="rId10"/>
          <w:footerReference w:type="default" r:id="rId11"/>
          <w:type w:val="oddPage"/>
          <w:pgSz w:w="9979" w:h="14181" w:code="34"/>
          <w:pgMar w:top="1138" w:right="1138" w:bottom="1138" w:left="1138" w:header="720" w:footer="432" w:gutter="0"/>
          <w:cols w:space="708"/>
          <w:docGrid w:linePitch="360"/>
        </w:sectPr>
      </w:pPr>
      <w:bookmarkStart w:id="0" w:name="_GoBack"/>
      <w:bookmarkEnd w:id="0"/>
      <w:r w:rsidRPr="001C18AD">
        <w:drawing>
          <wp:anchor distT="0" distB="0" distL="114300" distR="114300" simplePos="0" relativeHeight="251658240" behindDoc="0" locked="0" layoutInCell="1" allowOverlap="1">
            <wp:simplePos x="0" y="0"/>
            <wp:positionH relativeFrom="column">
              <wp:posOffset>-252095</wp:posOffset>
            </wp:positionH>
            <wp:positionV relativeFrom="paragraph">
              <wp:posOffset>1548130</wp:posOffset>
            </wp:positionV>
            <wp:extent cx="2592000" cy="563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00" cy="56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921" w:rsidRPr="007B2462" w:rsidRDefault="00B03921" w:rsidP="000542A7">
      <w:pPr>
        <w:pStyle w:val="TableofContentsheading"/>
      </w:pPr>
      <w:r w:rsidRPr="007B2462">
        <w:lastRenderedPageBreak/>
        <w:t>Table of contents</w:t>
      </w:r>
    </w:p>
    <w:p w:rsidR="0079170F" w:rsidRDefault="00B03921">
      <w:pPr>
        <w:pStyle w:val="TOC1"/>
        <w:rPr>
          <w:rFonts w:asciiTheme="minorHAnsi" w:eastAsiaTheme="minorEastAsia" w:hAnsiTheme="minorHAnsi" w:cstheme="minorBidi"/>
          <w:b w:val="0"/>
          <w:noProof/>
          <w:sz w:val="22"/>
          <w:szCs w:val="22"/>
          <w:lang w:eastAsia="en-AU"/>
        </w:rPr>
      </w:pPr>
      <w:r w:rsidRPr="007B2462">
        <w:fldChar w:fldCharType="begin"/>
      </w:r>
      <w:r w:rsidRPr="007B2462">
        <w:instrText xml:space="preserve"> TOC \h \z \t "Heading 1,2,Chapter Heading,1" </w:instrText>
      </w:r>
      <w:r w:rsidRPr="007B2462">
        <w:fldChar w:fldCharType="separate"/>
      </w:r>
      <w:hyperlink w:anchor="_Toc418274749" w:history="1">
        <w:r w:rsidR="0079170F" w:rsidRPr="004F4AF0">
          <w:rPr>
            <w:rStyle w:val="Hyperlink"/>
            <w:noProof/>
          </w:rPr>
          <w:t>Chapter 1 – Estimated Financial Statements for the general government sector</w:t>
        </w:r>
        <w:r w:rsidR="0079170F">
          <w:rPr>
            <w:noProof/>
            <w:webHidden/>
          </w:rPr>
          <w:tab/>
        </w:r>
        <w:r w:rsidR="0079170F">
          <w:rPr>
            <w:noProof/>
            <w:webHidden/>
          </w:rPr>
          <w:fldChar w:fldCharType="begin"/>
        </w:r>
        <w:r w:rsidR="0079170F">
          <w:rPr>
            <w:noProof/>
            <w:webHidden/>
          </w:rPr>
          <w:instrText xml:space="preserve"> PAGEREF _Toc418274749 \h </w:instrText>
        </w:r>
        <w:r w:rsidR="0079170F">
          <w:rPr>
            <w:noProof/>
            <w:webHidden/>
          </w:rPr>
        </w:r>
        <w:r w:rsidR="0079170F">
          <w:rPr>
            <w:noProof/>
            <w:webHidden/>
          </w:rPr>
          <w:fldChar w:fldCharType="separate"/>
        </w:r>
        <w:r w:rsidR="001C18AD">
          <w:rPr>
            <w:noProof/>
            <w:webHidden/>
          </w:rPr>
          <w:t>3</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0" w:history="1">
        <w:r w:rsidR="0079170F" w:rsidRPr="004F4AF0">
          <w:rPr>
            <w:rStyle w:val="Hyperlink"/>
            <w:noProof/>
          </w:rPr>
          <w:t>Auditor</w:t>
        </w:r>
        <w:r w:rsidR="0079170F" w:rsidRPr="004F4AF0">
          <w:rPr>
            <w:rStyle w:val="Hyperlink"/>
            <w:noProof/>
          </w:rPr>
          <w:noBreakHyphen/>
          <w:t>General’s report</w:t>
        </w:r>
        <w:r w:rsidR="0079170F">
          <w:rPr>
            <w:noProof/>
            <w:webHidden/>
          </w:rPr>
          <w:tab/>
        </w:r>
        <w:r w:rsidR="0079170F">
          <w:rPr>
            <w:noProof/>
            <w:webHidden/>
          </w:rPr>
          <w:fldChar w:fldCharType="begin"/>
        </w:r>
        <w:r w:rsidR="0079170F">
          <w:rPr>
            <w:noProof/>
            <w:webHidden/>
          </w:rPr>
          <w:instrText xml:space="preserve"> PAGEREF _Toc418274750 \h </w:instrText>
        </w:r>
        <w:r w:rsidR="0079170F">
          <w:rPr>
            <w:noProof/>
            <w:webHidden/>
          </w:rPr>
        </w:r>
        <w:r w:rsidR="0079170F">
          <w:rPr>
            <w:noProof/>
            <w:webHidden/>
          </w:rPr>
          <w:fldChar w:fldCharType="separate"/>
        </w:r>
        <w:r>
          <w:rPr>
            <w:noProof/>
            <w:webHidden/>
          </w:rPr>
          <w:t>4</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1" w:history="1">
        <w:r w:rsidR="0079170F" w:rsidRPr="004F4AF0">
          <w:rPr>
            <w:rStyle w:val="Hyperlink"/>
            <w:noProof/>
          </w:rPr>
          <w:t>Certification by the Treasurer and the Department of Treasury and Finance</w:t>
        </w:r>
        <w:r w:rsidR="0079170F">
          <w:rPr>
            <w:noProof/>
            <w:webHidden/>
          </w:rPr>
          <w:tab/>
        </w:r>
        <w:r w:rsidR="0079170F">
          <w:rPr>
            <w:noProof/>
            <w:webHidden/>
          </w:rPr>
          <w:fldChar w:fldCharType="begin"/>
        </w:r>
        <w:r w:rsidR="0079170F">
          <w:rPr>
            <w:noProof/>
            <w:webHidden/>
          </w:rPr>
          <w:instrText xml:space="preserve"> PAGEREF _Toc418274751 \h </w:instrText>
        </w:r>
        <w:r w:rsidR="0079170F">
          <w:rPr>
            <w:noProof/>
            <w:webHidden/>
          </w:rPr>
        </w:r>
        <w:r w:rsidR="0079170F">
          <w:rPr>
            <w:noProof/>
            <w:webHidden/>
          </w:rPr>
          <w:fldChar w:fldCharType="separate"/>
        </w:r>
        <w:r>
          <w:rPr>
            <w:noProof/>
            <w:webHidden/>
          </w:rPr>
          <w:t>6</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2" w:history="1">
        <w:r w:rsidR="0079170F" w:rsidRPr="004F4AF0">
          <w:rPr>
            <w:rStyle w:val="Hyperlink"/>
            <w:noProof/>
          </w:rPr>
          <w:t>Estimated Financial Statements</w:t>
        </w:r>
        <w:r w:rsidR="0079170F">
          <w:rPr>
            <w:noProof/>
            <w:webHidden/>
          </w:rPr>
          <w:tab/>
        </w:r>
        <w:r w:rsidR="0079170F">
          <w:rPr>
            <w:noProof/>
            <w:webHidden/>
          </w:rPr>
          <w:fldChar w:fldCharType="begin"/>
        </w:r>
        <w:r w:rsidR="0079170F">
          <w:rPr>
            <w:noProof/>
            <w:webHidden/>
          </w:rPr>
          <w:instrText xml:space="preserve"> PAGEREF _Toc418274752 \h </w:instrText>
        </w:r>
        <w:r w:rsidR="0079170F">
          <w:rPr>
            <w:noProof/>
            <w:webHidden/>
          </w:rPr>
        </w:r>
        <w:r w:rsidR="0079170F">
          <w:rPr>
            <w:noProof/>
            <w:webHidden/>
          </w:rPr>
          <w:fldChar w:fldCharType="separate"/>
        </w:r>
        <w:r>
          <w:rPr>
            <w:noProof/>
            <w:webHidden/>
          </w:rPr>
          <w:t>7</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3" w:history="1">
        <w:r w:rsidR="0079170F" w:rsidRPr="004F4AF0">
          <w:rPr>
            <w:rStyle w:val="Hyperlink"/>
            <w:noProof/>
          </w:rPr>
          <w:t>Notes to the Estimated Financial Statements</w:t>
        </w:r>
        <w:r w:rsidR="0079170F">
          <w:rPr>
            <w:noProof/>
            <w:webHidden/>
          </w:rPr>
          <w:tab/>
        </w:r>
        <w:r w:rsidR="0079170F">
          <w:rPr>
            <w:noProof/>
            <w:webHidden/>
          </w:rPr>
          <w:fldChar w:fldCharType="begin"/>
        </w:r>
        <w:r w:rsidR="0079170F">
          <w:rPr>
            <w:noProof/>
            <w:webHidden/>
          </w:rPr>
          <w:instrText xml:space="preserve"> PAGEREF _Toc418274753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54" w:history="1">
        <w:r w:rsidR="0079170F" w:rsidRPr="004F4AF0">
          <w:rPr>
            <w:rStyle w:val="Hyperlink"/>
            <w:noProof/>
          </w:rPr>
          <w:t>Chapter 2 – Supplementary uniform presentation framework tables</w:t>
        </w:r>
        <w:r w:rsidR="0079170F">
          <w:rPr>
            <w:noProof/>
            <w:webHidden/>
          </w:rPr>
          <w:tab/>
        </w:r>
        <w:r w:rsidR="0079170F">
          <w:rPr>
            <w:noProof/>
            <w:webHidden/>
          </w:rPr>
          <w:fldChar w:fldCharType="begin"/>
        </w:r>
        <w:r w:rsidR="0079170F">
          <w:rPr>
            <w:noProof/>
            <w:webHidden/>
          </w:rPr>
          <w:instrText xml:space="preserve"> PAGEREF _Toc418274754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5" w:history="1">
        <w:r w:rsidR="0079170F" w:rsidRPr="004F4AF0">
          <w:rPr>
            <w:rStyle w:val="Hyperlink"/>
            <w:noProof/>
          </w:rPr>
          <w:t>Victoria’s Loan Council Allocation</w:t>
        </w:r>
        <w:r w:rsidR="0079170F">
          <w:rPr>
            <w:noProof/>
            <w:webHidden/>
          </w:rPr>
          <w:tab/>
        </w:r>
        <w:r w:rsidR="0079170F">
          <w:rPr>
            <w:noProof/>
            <w:webHidden/>
          </w:rPr>
          <w:fldChar w:fldCharType="begin"/>
        </w:r>
        <w:r w:rsidR="0079170F">
          <w:rPr>
            <w:noProof/>
            <w:webHidden/>
          </w:rPr>
          <w:instrText xml:space="preserve"> PAGEREF _Toc418274755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56" w:history="1">
        <w:r w:rsidR="0079170F" w:rsidRPr="004F4AF0">
          <w:rPr>
            <w:rStyle w:val="Hyperlink"/>
            <w:noProof/>
          </w:rPr>
          <w:t>Chapter 3 – Departmental financial statements</w:t>
        </w:r>
        <w:r w:rsidR="0079170F">
          <w:rPr>
            <w:noProof/>
            <w:webHidden/>
          </w:rPr>
          <w:tab/>
        </w:r>
        <w:r w:rsidR="0079170F">
          <w:rPr>
            <w:noProof/>
            <w:webHidden/>
          </w:rPr>
          <w:fldChar w:fldCharType="begin"/>
        </w:r>
        <w:r w:rsidR="0079170F">
          <w:rPr>
            <w:noProof/>
            <w:webHidden/>
          </w:rPr>
          <w:instrText xml:space="preserve"> PAGEREF _Toc418274756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7" w:history="1">
        <w:r w:rsidR="0079170F" w:rsidRPr="004F4AF0">
          <w:rPr>
            <w:rStyle w:val="Hyperlink"/>
            <w:noProof/>
          </w:rPr>
          <w:t>Department of Economic Development, Jobs, Transport and Resources</w:t>
        </w:r>
        <w:r w:rsidR="0079170F">
          <w:rPr>
            <w:noProof/>
            <w:webHidden/>
          </w:rPr>
          <w:tab/>
        </w:r>
        <w:r w:rsidR="0079170F">
          <w:rPr>
            <w:noProof/>
            <w:webHidden/>
          </w:rPr>
          <w:fldChar w:fldCharType="begin"/>
        </w:r>
        <w:r w:rsidR="0079170F">
          <w:rPr>
            <w:noProof/>
            <w:webHidden/>
          </w:rPr>
          <w:instrText xml:space="preserve"> PAGEREF _Toc418274757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8" w:history="1">
        <w:r w:rsidR="0079170F" w:rsidRPr="004F4AF0">
          <w:rPr>
            <w:rStyle w:val="Hyperlink"/>
            <w:noProof/>
          </w:rPr>
          <w:t>Department of Education and Training</w:t>
        </w:r>
        <w:r w:rsidR="0079170F">
          <w:rPr>
            <w:noProof/>
            <w:webHidden/>
          </w:rPr>
          <w:tab/>
        </w:r>
        <w:r w:rsidR="0079170F">
          <w:rPr>
            <w:noProof/>
            <w:webHidden/>
          </w:rPr>
          <w:fldChar w:fldCharType="begin"/>
        </w:r>
        <w:r w:rsidR="0079170F">
          <w:rPr>
            <w:noProof/>
            <w:webHidden/>
          </w:rPr>
          <w:instrText xml:space="preserve"> PAGEREF _Toc418274758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59" w:history="1">
        <w:r w:rsidR="0079170F" w:rsidRPr="004F4AF0">
          <w:rPr>
            <w:rStyle w:val="Hyperlink"/>
            <w:noProof/>
          </w:rPr>
          <w:t>Department of Environment, Land, Water and Planning</w:t>
        </w:r>
        <w:r w:rsidR="0079170F">
          <w:rPr>
            <w:noProof/>
            <w:webHidden/>
          </w:rPr>
          <w:tab/>
        </w:r>
        <w:r w:rsidR="0079170F">
          <w:rPr>
            <w:noProof/>
            <w:webHidden/>
          </w:rPr>
          <w:fldChar w:fldCharType="begin"/>
        </w:r>
        <w:r w:rsidR="0079170F">
          <w:rPr>
            <w:noProof/>
            <w:webHidden/>
          </w:rPr>
          <w:instrText xml:space="preserve"> PAGEREF _Toc418274759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0" w:history="1">
        <w:r w:rsidR="0079170F" w:rsidRPr="004F4AF0">
          <w:rPr>
            <w:rStyle w:val="Hyperlink"/>
            <w:noProof/>
          </w:rPr>
          <w:t>Department of Health and Human Services</w:t>
        </w:r>
        <w:r w:rsidR="0079170F">
          <w:rPr>
            <w:noProof/>
            <w:webHidden/>
          </w:rPr>
          <w:tab/>
        </w:r>
        <w:r w:rsidR="0079170F">
          <w:rPr>
            <w:noProof/>
            <w:webHidden/>
          </w:rPr>
          <w:fldChar w:fldCharType="begin"/>
        </w:r>
        <w:r w:rsidR="0079170F">
          <w:rPr>
            <w:noProof/>
            <w:webHidden/>
          </w:rPr>
          <w:instrText xml:space="preserve"> PAGEREF _Toc418274760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1" w:history="1">
        <w:r w:rsidR="0079170F" w:rsidRPr="004F4AF0">
          <w:rPr>
            <w:rStyle w:val="Hyperlink"/>
            <w:noProof/>
          </w:rPr>
          <w:t>Department of Justice and Regulation</w:t>
        </w:r>
        <w:r w:rsidR="0079170F">
          <w:rPr>
            <w:noProof/>
            <w:webHidden/>
          </w:rPr>
          <w:tab/>
        </w:r>
        <w:r w:rsidR="0079170F">
          <w:rPr>
            <w:noProof/>
            <w:webHidden/>
          </w:rPr>
          <w:fldChar w:fldCharType="begin"/>
        </w:r>
        <w:r w:rsidR="0079170F">
          <w:rPr>
            <w:noProof/>
            <w:webHidden/>
          </w:rPr>
          <w:instrText xml:space="preserve"> PAGEREF _Toc418274761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2" w:history="1">
        <w:r w:rsidR="0079170F" w:rsidRPr="004F4AF0">
          <w:rPr>
            <w:rStyle w:val="Hyperlink"/>
            <w:noProof/>
          </w:rPr>
          <w:t>Department of Premier and Cabinet</w:t>
        </w:r>
        <w:r w:rsidR="0079170F">
          <w:rPr>
            <w:noProof/>
            <w:webHidden/>
          </w:rPr>
          <w:tab/>
        </w:r>
        <w:r w:rsidR="0079170F">
          <w:rPr>
            <w:noProof/>
            <w:webHidden/>
          </w:rPr>
          <w:fldChar w:fldCharType="begin"/>
        </w:r>
        <w:r w:rsidR="0079170F">
          <w:rPr>
            <w:noProof/>
            <w:webHidden/>
          </w:rPr>
          <w:instrText xml:space="preserve"> PAGEREF _Toc418274762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3" w:history="1">
        <w:r w:rsidR="0079170F" w:rsidRPr="004F4AF0">
          <w:rPr>
            <w:rStyle w:val="Hyperlink"/>
            <w:noProof/>
          </w:rPr>
          <w:t>Department of Treasury and Finance</w:t>
        </w:r>
        <w:r w:rsidR="0079170F">
          <w:rPr>
            <w:noProof/>
            <w:webHidden/>
          </w:rPr>
          <w:tab/>
        </w:r>
        <w:r w:rsidR="0079170F">
          <w:rPr>
            <w:noProof/>
            <w:webHidden/>
          </w:rPr>
          <w:fldChar w:fldCharType="begin"/>
        </w:r>
        <w:r w:rsidR="0079170F">
          <w:rPr>
            <w:noProof/>
            <w:webHidden/>
          </w:rPr>
          <w:instrText xml:space="preserve"> PAGEREF _Toc418274763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4" w:history="1">
        <w:r w:rsidR="0079170F" w:rsidRPr="004F4AF0">
          <w:rPr>
            <w:rStyle w:val="Hyperlink"/>
            <w:noProof/>
          </w:rPr>
          <w:t>Parliament (Including Victorian Auditor-General’s office)</w:t>
        </w:r>
        <w:r w:rsidR="0079170F">
          <w:rPr>
            <w:noProof/>
            <w:webHidden/>
          </w:rPr>
          <w:tab/>
        </w:r>
        <w:r w:rsidR="0079170F">
          <w:rPr>
            <w:noProof/>
            <w:webHidden/>
          </w:rPr>
          <w:fldChar w:fldCharType="begin"/>
        </w:r>
        <w:r w:rsidR="0079170F">
          <w:rPr>
            <w:noProof/>
            <w:webHidden/>
          </w:rPr>
          <w:instrText xml:space="preserve"> PAGEREF _Toc418274764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5" w:history="1">
        <w:r w:rsidR="0079170F" w:rsidRPr="004F4AF0">
          <w:rPr>
            <w:rStyle w:val="Hyperlink"/>
            <w:noProof/>
          </w:rPr>
          <w:t>Courts</w:t>
        </w:r>
        <w:r w:rsidR="0079170F">
          <w:rPr>
            <w:noProof/>
            <w:webHidden/>
          </w:rPr>
          <w:tab/>
        </w:r>
        <w:r w:rsidR="0079170F">
          <w:rPr>
            <w:noProof/>
            <w:webHidden/>
          </w:rPr>
          <w:fldChar w:fldCharType="begin"/>
        </w:r>
        <w:r w:rsidR="0079170F">
          <w:rPr>
            <w:noProof/>
            <w:webHidden/>
          </w:rPr>
          <w:instrText xml:space="preserve"> PAGEREF _Toc418274765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6" w:history="1">
        <w:r w:rsidR="0079170F" w:rsidRPr="004F4AF0">
          <w:rPr>
            <w:rStyle w:val="Hyperlink"/>
            <w:noProof/>
          </w:rPr>
          <w:t>Department of Human Services</w:t>
        </w:r>
        <w:r w:rsidR="0079170F">
          <w:rPr>
            <w:noProof/>
            <w:webHidden/>
          </w:rPr>
          <w:tab/>
        </w:r>
        <w:r w:rsidR="0079170F">
          <w:rPr>
            <w:noProof/>
            <w:webHidden/>
          </w:rPr>
          <w:fldChar w:fldCharType="begin"/>
        </w:r>
        <w:r w:rsidR="0079170F">
          <w:rPr>
            <w:noProof/>
            <w:webHidden/>
          </w:rPr>
          <w:instrText xml:space="preserve"> PAGEREF _Toc418274766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7" w:history="1">
        <w:r w:rsidR="0079170F" w:rsidRPr="004F4AF0">
          <w:rPr>
            <w:rStyle w:val="Hyperlink"/>
            <w:noProof/>
          </w:rPr>
          <w:t>Department of Transport, Planning and Local Infrastructure</w:t>
        </w:r>
        <w:r w:rsidR="0079170F">
          <w:rPr>
            <w:noProof/>
            <w:webHidden/>
          </w:rPr>
          <w:tab/>
        </w:r>
        <w:r w:rsidR="0079170F">
          <w:rPr>
            <w:noProof/>
            <w:webHidden/>
          </w:rPr>
          <w:fldChar w:fldCharType="begin"/>
        </w:r>
        <w:r w:rsidR="0079170F">
          <w:rPr>
            <w:noProof/>
            <w:webHidden/>
          </w:rPr>
          <w:instrText xml:space="preserve"> PAGEREF _Toc418274767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68" w:history="1">
        <w:r w:rsidR="0079170F" w:rsidRPr="004F4AF0">
          <w:rPr>
            <w:rStyle w:val="Hyperlink"/>
            <w:noProof/>
          </w:rPr>
          <w:t>Chapter 4 – State revenue</w:t>
        </w:r>
        <w:r w:rsidR="0079170F">
          <w:rPr>
            <w:noProof/>
            <w:webHidden/>
          </w:rPr>
          <w:tab/>
        </w:r>
        <w:r w:rsidR="0079170F">
          <w:rPr>
            <w:noProof/>
            <w:webHidden/>
          </w:rPr>
          <w:fldChar w:fldCharType="begin"/>
        </w:r>
        <w:r w:rsidR="0079170F">
          <w:rPr>
            <w:noProof/>
            <w:webHidden/>
          </w:rPr>
          <w:instrText xml:space="preserve"> PAGEREF _Toc418274768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69" w:history="1">
        <w:r w:rsidR="0079170F" w:rsidRPr="004F4AF0">
          <w:rPr>
            <w:rStyle w:val="Hyperlink"/>
            <w:noProof/>
          </w:rPr>
          <w:t>Taxation</w:t>
        </w:r>
        <w:r w:rsidR="0079170F">
          <w:rPr>
            <w:noProof/>
            <w:webHidden/>
          </w:rPr>
          <w:tab/>
        </w:r>
        <w:r w:rsidR="0079170F">
          <w:rPr>
            <w:noProof/>
            <w:webHidden/>
          </w:rPr>
          <w:fldChar w:fldCharType="begin"/>
        </w:r>
        <w:r w:rsidR="0079170F">
          <w:rPr>
            <w:noProof/>
            <w:webHidden/>
          </w:rPr>
          <w:instrText xml:space="preserve"> PAGEREF _Toc418274769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0" w:history="1">
        <w:r w:rsidR="0079170F" w:rsidRPr="004F4AF0">
          <w:rPr>
            <w:rStyle w:val="Hyperlink"/>
            <w:noProof/>
          </w:rPr>
          <w:t>Grants</w:t>
        </w:r>
        <w:r w:rsidR="0079170F">
          <w:rPr>
            <w:noProof/>
            <w:webHidden/>
          </w:rPr>
          <w:tab/>
        </w:r>
        <w:r w:rsidR="0079170F">
          <w:rPr>
            <w:noProof/>
            <w:webHidden/>
          </w:rPr>
          <w:fldChar w:fldCharType="begin"/>
        </w:r>
        <w:r w:rsidR="0079170F">
          <w:rPr>
            <w:noProof/>
            <w:webHidden/>
          </w:rPr>
          <w:instrText xml:space="preserve"> PAGEREF _Toc418274770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1" w:history="1">
        <w:r w:rsidR="0079170F" w:rsidRPr="004F4AF0">
          <w:rPr>
            <w:rStyle w:val="Hyperlink"/>
            <w:noProof/>
          </w:rPr>
          <w:t>Sales of goods and services</w:t>
        </w:r>
        <w:r w:rsidR="0079170F">
          <w:rPr>
            <w:noProof/>
            <w:webHidden/>
          </w:rPr>
          <w:tab/>
        </w:r>
        <w:r w:rsidR="0079170F">
          <w:rPr>
            <w:noProof/>
            <w:webHidden/>
          </w:rPr>
          <w:fldChar w:fldCharType="begin"/>
        </w:r>
        <w:r w:rsidR="0079170F">
          <w:rPr>
            <w:noProof/>
            <w:webHidden/>
          </w:rPr>
          <w:instrText xml:space="preserve"> PAGEREF _Toc418274771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2" w:history="1">
        <w:r w:rsidR="0079170F" w:rsidRPr="004F4AF0">
          <w:rPr>
            <w:rStyle w:val="Hyperlink"/>
            <w:noProof/>
          </w:rPr>
          <w:t>Dividends, income tax equivalent and rate equivalent revenue</w:t>
        </w:r>
        <w:r w:rsidR="0079170F">
          <w:rPr>
            <w:noProof/>
            <w:webHidden/>
          </w:rPr>
          <w:tab/>
        </w:r>
        <w:r w:rsidR="0079170F">
          <w:rPr>
            <w:noProof/>
            <w:webHidden/>
          </w:rPr>
          <w:fldChar w:fldCharType="begin"/>
        </w:r>
        <w:r w:rsidR="0079170F">
          <w:rPr>
            <w:noProof/>
            <w:webHidden/>
          </w:rPr>
          <w:instrText xml:space="preserve"> PAGEREF _Toc418274772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3" w:history="1">
        <w:r w:rsidR="0079170F" w:rsidRPr="004F4AF0">
          <w:rPr>
            <w:rStyle w:val="Hyperlink"/>
            <w:noProof/>
          </w:rPr>
          <w:t>Interest revenue</w:t>
        </w:r>
        <w:r w:rsidR="0079170F">
          <w:rPr>
            <w:noProof/>
            <w:webHidden/>
          </w:rPr>
          <w:tab/>
        </w:r>
        <w:r w:rsidR="0079170F">
          <w:rPr>
            <w:noProof/>
            <w:webHidden/>
          </w:rPr>
          <w:fldChar w:fldCharType="begin"/>
        </w:r>
        <w:r w:rsidR="0079170F">
          <w:rPr>
            <w:noProof/>
            <w:webHidden/>
          </w:rPr>
          <w:instrText xml:space="preserve"> PAGEREF _Toc418274773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4" w:history="1">
        <w:r w:rsidR="0079170F" w:rsidRPr="004F4AF0">
          <w:rPr>
            <w:rStyle w:val="Hyperlink"/>
            <w:noProof/>
          </w:rPr>
          <w:t>Other revenue</w:t>
        </w:r>
        <w:r w:rsidR="0079170F">
          <w:rPr>
            <w:noProof/>
            <w:webHidden/>
          </w:rPr>
          <w:tab/>
        </w:r>
        <w:r w:rsidR="0079170F">
          <w:rPr>
            <w:noProof/>
            <w:webHidden/>
          </w:rPr>
          <w:fldChar w:fldCharType="begin"/>
        </w:r>
        <w:r w:rsidR="0079170F">
          <w:rPr>
            <w:noProof/>
            <w:webHidden/>
          </w:rPr>
          <w:instrText xml:space="preserve"> PAGEREF _Toc418274774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75" w:history="1">
        <w:r w:rsidR="0079170F" w:rsidRPr="004F4AF0">
          <w:rPr>
            <w:rStyle w:val="Hyperlink"/>
            <w:noProof/>
          </w:rPr>
          <w:t>Chapter 5 – Tax expenditures and concessions</w:t>
        </w:r>
        <w:r w:rsidR="0079170F">
          <w:rPr>
            <w:noProof/>
            <w:webHidden/>
          </w:rPr>
          <w:tab/>
        </w:r>
        <w:r w:rsidR="0079170F">
          <w:rPr>
            <w:noProof/>
            <w:webHidden/>
          </w:rPr>
          <w:fldChar w:fldCharType="begin"/>
        </w:r>
        <w:r w:rsidR="0079170F">
          <w:rPr>
            <w:noProof/>
            <w:webHidden/>
          </w:rPr>
          <w:instrText xml:space="preserve"> PAGEREF _Toc418274775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6" w:history="1">
        <w:r w:rsidR="0079170F" w:rsidRPr="004F4AF0">
          <w:rPr>
            <w:rStyle w:val="Hyperlink"/>
            <w:noProof/>
          </w:rPr>
          <w:t>Tax expenditures</w:t>
        </w:r>
        <w:r w:rsidR="0079170F">
          <w:rPr>
            <w:noProof/>
            <w:webHidden/>
          </w:rPr>
          <w:tab/>
        </w:r>
        <w:r w:rsidR="0079170F">
          <w:rPr>
            <w:noProof/>
            <w:webHidden/>
          </w:rPr>
          <w:fldChar w:fldCharType="begin"/>
        </w:r>
        <w:r w:rsidR="0079170F">
          <w:rPr>
            <w:noProof/>
            <w:webHidden/>
          </w:rPr>
          <w:instrText xml:space="preserve"> PAGEREF _Toc418274776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7" w:history="1">
        <w:r w:rsidR="0079170F" w:rsidRPr="004F4AF0">
          <w:rPr>
            <w:rStyle w:val="Hyperlink"/>
            <w:noProof/>
          </w:rPr>
          <w:t>Concessions</w:t>
        </w:r>
        <w:r w:rsidR="0079170F">
          <w:rPr>
            <w:noProof/>
            <w:webHidden/>
          </w:rPr>
          <w:tab/>
        </w:r>
        <w:r w:rsidR="0079170F">
          <w:rPr>
            <w:noProof/>
            <w:webHidden/>
          </w:rPr>
          <w:fldChar w:fldCharType="begin"/>
        </w:r>
        <w:r w:rsidR="0079170F">
          <w:rPr>
            <w:noProof/>
            <w:webHidden/>
          </w:rPr>
          <w:instrText xml:space="preserve"> PAGEREF _Toc418274777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78" w:history="1">
        <w:r w:rsidR="0079170F" w:rsidRPr="004F4AF0">
          <w:rPr>
            <w:rStyle w:val="Hyperlink"/>
            <w:noProof/>
          </w:rPr>
          <w:t>Chapter 6 – Contingent assets and contingent liabilities</w:t>
        </w:r>
        <w:r w:rsidR="0079170F">
          <w:rPr>
            <w:noProof/>
            <w:webHidden/>
          </w:rPr>
          <w:tab/>
        </w:r>
        <w:r w:rsidR="0079170F">
          <w:rPr>
            <w:noProof/>
            <w:webHidden/>
          </w:rPr>
          <w:fldChar w:fldCharType="begin"/>
        </w:r>
        <w:r w:rsidR="0079170F">
          <w:rPr>
            <w:noProof/>
            <w:webHidden/>
          </w:rPr>
          <w:instrText xml:space="preserve"> PAGEREF _Toc418274778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79" w:history="1">
        <w:r w:rsidR="0079170F" w:rsidRPr="004F4AF0">
          <w:rPr>
            <w:rStyle w:val="Hyperlink"/>
            <w:noProof/>
          </w:rPr>
          <w:t>Contingent assets</w:t>
        </w:r>
        <w:r w:rsidR="0079170F">
          <w:rPr>
            <w:noProof/>
            <w:webHidden/>
          </w:rPr>
          <w:tab/>
        </w:r>
        <w:r w:rsidR="0079170F">
          <w:rPr>
            <w:noProof/>
            <w:webHidden/>
          </w:rPr>
          <w:fldChar w:fldCharType="begin"/>
        </w:r>
        <w:r w:rsidR="0079170F">
          <w:rPr>
            <w:noProof/>
            <w:webHidden/>
          </w:rPr>
          <w:instrText xml:space="preserve"> PAGEREF _Toc418274779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80" w:history="1">
        <w:r w:rsidR="0079170F" w:rsidRPr="004F4AF0">
          <w:rPr>
            <w:rStyle w:val="Hyperlink"/>
            <w:noProof/>
          </w:rPr>
          <w:t>Contingent liabilities</w:t>
        </w:r>
        <w:r w:rsidR="0079170F">
          <w:rPr>
            <w:noProof/>
            <w:webHidden/>
          </w:rPr>
          <w:tab/>
        </w:r>
        <w:r w:rsidR="0079170F">
          <w:rPr>
            <w:noProof/>
            <w:webHidden/>
          </w:rPr>
          <w:fldChar w:fldCharType="begin"/>
        </w:r>
        <w:r w:rsidR="0079170F">
          <w:rPr>
            <w:noProof/>
            <w:webHidden/>
          </w:rPr>
          <w:instrText xml:space="preserve"> PAGEREF _Toc418274780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79170F">
      <w:pPr>
        <w:spacing w:after="0"/>
        <w:rPr>
          <w:rStyle w:val="Hyperlink"/>
          <w:rFonts w:ascii="Calibri" w:hAnsi="Calibri"/>
          <w:b/>
          <w:noProof/>
          <w:sz w:val="24"/>
        </w:rPr>
      </w:pPr>
      <w:r>
        <w:rPr>
          <w:rStyle w:val="Hyperlink"/>
          <w:noProof/>
        </w:rPr>
        <w:br w:type="page"/>
      </w:r>
    </w:p>
    <w:p w:rsidR="0079170F" w:rsidRPr="0079170F" w:rsidRDefault="0079170F">
      <w:pPr>
        <w:pStyle w:val="TOC1"/>
        <w:rPr>
          <w:rStyle w:val="Hyperlink"/>
          <w:noProof/>
          <w:color w:val="auto"/>
          <w:u w:val="none"/>
        </w:rPr>
      </w:pPr>
      <w:r w:rsidRPr="0079170F">
        <w:rPr>
          <w:rStyle w:val="Hyperlink"/>
          <w:noProof/>
          <w:color w:val="auto"/>
          <w:u w:val="none"/>
        </w:rPr>
        <w:lastRenderedPageBreak/>
        <w:t xml:space="preserve">Table of contents </w:t>
      </w:r>
      <w:r w:rsidRPr="0079170F">
        <w:rPr>
          <w:rStyle w:val="Hyperlink"/>
          <w:i/>
          <w:noProof/>
          <w:color w:val="auto"/>
          <w:u w:val="none"/>
        </w:rPr>
        <w:t>(continued)</w:t>
      </w:r>
    </w:p>
    <w:p w:rsidR="0079170F" w:rsidRPr="0079170F" w:rsidRDefault="0079170F" w:rsidP="0079170F">
      <w:pPr>
        <w:rPr>
          <w:noProof/>
        </w:rPr>
      </w:pPr>
    </w:p>
    <w:p w:rsidR="0079170F" w:rsidRDefault="001C18AD">
      <w:pPr>
        <w:pStyle w:val="TOC1"/>
        <w:rPr>
          <w:rFonts w:asciiTheme="minorHAnsi" w:eastAsiaTheme="minorEastAsia" w:hAnsiTheme="minorHAnsi" w:cstheme="minorBidi"/>
          <w:b w:val="0"/>
          <w:noProof/>
          <w:sz w:val="22"/>
          <w:szCs w:val="22"/>
          <w:lang w:eastAsia="en-AU"/>
        </w:rPr>
      </w:pPr>
      <w:hyperlink w:anchor="_Toc418274781" w:history="1">
        <w:r w:rsidR="0079170F" w:rsidRPr="004F4AF0">
          <w:rPr>
            <w:rStyle w:val="Hyperlink"/>
            <w:noProof/>
          </w:rPr>
          <w:t>Appendix A – Public Account</w:t>
        </w:r>
        <w:r w:rsidR="0079170F">
          <w:rPr>
            <w:noProof/>
            <w:webHidden/>
          </w:rPr>
          <w:tab/>
        </w:r>
        <w:r w:rsidR="0079170F">
          <w:rPr>
            <w:noProof/>
            <w:webHidden/>
          </w:rPr>
          <w:fldChar w:fldCharType="begin"/>
        </w:r>
        <w:r w:rsidR="0079170F">
          <w:rPr>
            <w:noProof/>
            <w:webHidden/>
          </w:rPr>
          <w:instrText xml:space="preserve"> PAGEREF _Toc418274781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82" w:history="1">
        <w:r w:rsidR="0079170F" w:rsidRPr="004F4AF0">
          <w:rPr>
            <w:rStyle w:val="Hyperlink"/>
            <w:noProof/>
          </w:rPr>
          <w:t xml:space="preserve">Appendix B – </w:t>
        </w:r>
        <w:r w:rsidR="0079170F" w:rsidRPr="004F4AF0">
          <w:rPr>
            <w:rStyle w:val="Hyperlink"/>
            <w:i/>
            <w:noProof/>
          </w:rPr>
          <w:t>2014-15 Budget</w:t>
        </w:r>
        <w:r w:rsidR="0079170F" w:rsidRPr="004F4AF0">
          <w:rPr>
            <w:rStyle w:val="Hyperlink"/>
            <w:noProof/>
          </w:rPr>
          <w:t xml:space="preserve"> outcome incorporating the financial report for the March quarter 2015</w:t>
        </w:r>
        <w:r w:rsidR="0079170F">
          <w:rPr>
            <w:noProof/>
            <w:webHidden/>
          </w:rPr>
          <w:tab/>
        </w:r>
        <w:r w:rsidR="0079170F">
          <w:rPr>
            <w:noProof/>
            <w:webHidden/>
          </w:rPr>
          <w:fldChar w:fldCharType="begin"/>
        </w:r>
        <w:r w:rsidR="0079170F">
          <w:rPr>
            <w:noProof/>
            <w:webHidden/>
          </w:rPr>
          <w:instrText xml:space="preserve"> PAGEREF _Toc418274782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83" w:history="1">
        <w:r w:rsidR="0079170F" w:rsidRPr="004F4AF0">
          <w:rPr>
            <w:rStyle w:val="Hyperlink"/>
            <w:noProof/>
          </w:rPr>
          <w:t>Financial results for the general government sector</w:t>
        </w:r>
        <w:r w:rsidR="0079170F">
          <w:rPr>
            <w:noProof/>
            <w:webHidden/>
          </w:rPr>
          <w:tab/>
        </w:r>
        <w:r w:rsidR="0079170F">
          <w:rPr>
            <w:noProof/>
            <w:webHidden/>
          </w:rPr>
          <w:fldChar w:fldCharType="begin"/>
        </w:r>
        <w:r w:rsidR="0079170F">
          <w:rPr>
            <w:noProof/>
            <w:webHidden/>
          </w:rPr>
          <w:instrText xml:space="preserve"> PAGEREF _Toc418274783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84" w:history="1">
        <w:r w:rsidR="0079170F" w:rsidRPr="004F4AF0">
          <w:rPr>
            <w:rStyle w:val="Hyperlink"/>
            <w:noProof/>
          </w:rPr>
          <w:t>Notes to the financial statements</w:t>
        </w:r>
        <w:r w:rsidR="0079170F">
          <w:rPr>
            <w:noProof/>
            <w:webHidden/>
          </w:rPr>
          <w:tab/>
        </w:r>
        <w:r w:rsidR="0079170F">
          <w:rPr>
            <w:noProof/>
            <w:webHidden/>
          </w:rPr>
          <w:fldChar w:fldCharType="begin"/>
        </w:r>
        <w:r w:rsidR="0079170F">
          <w:rPr>
            <w:noProof/>
            <w:webHidden/>
          </w:rPr>
          <w:instrText xml:space="preserve"> PAGEREF _Toc418274784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2"/>
        <w:rPr>
          <w:rFonts w:asciiTheme="minorHAnsi" w:eastAsiaTheme="minorEastAsia" w:hAnsiTheme="minorHAnsi" w:cstheme="minorBidi"/>
          <w:noProof/>
          <w:sz w:val="22"/>
          <w:szCs w:val="22"/>
          <w:lang w:eastAsia="en-AU"/>
        </w:rPr>
      </w:pPr>
      <w:hyperlink w:anchor="_Toc418274785" w:history="1">
        <w:r w:rsidR="0079170F" w:rsidRPr="004F4AF0">
          <w:rPr>
            <w:rStyle w:val="Hyperlink"/>
            <w:noProof/>
          </w:rPr>
          <w:t>Results quarter by quarter – Victorian general government sector</w:t>
        </w:r>
        <w:r w:rsidR="0079170F">
          <w:rPr>
            <w:noProof/>
            <w:webHidden/>
          </w:rPr>
          <w:tab/>
        </w:r>
        <w:r w:rsidR="0079170F">
          <w:rPr>
            <w:noProof/>
            <w:webHidden/>
          </w:rPr>
          <w:fldChar w:fldCharType="begin"/>
        </w:r>
        <w:r w:rsidR="0079170F">
          <w:rPr>
            <w:noProof/>
            <w:webHidden/>
          </w:rPr>
          <w:instrText xml:space="preserve"> PAGEREF _Toc418274785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86" w:history="1">
        <w:r w:rsidR="0079170F" w:rsidRPr="004F4AF0">
          <w:rPr>
            <w:rStyle w:val="Hyperlink"/>
            <w:noProof/>
          </w:rPr>
          <w:t xml:space="preserve">Appendix C – Compliance index – Requirements of the </w:t>
        </w:r>
        <w:r w:rsidR="0079170F" w:rsidRPr="004F4AF0">
          <w:rPr>
            <w:rStyle w:val="Hyperlink"/>
            <w:i/>
            <w:noProof/>
          </w:rPr>
          <w:t>Financial Management Act 1994</w:t>
        </w:r>
        <w:r w:rsidR="0079170F">
          <w:rPr>
            <w:noProof/>
            <w:webHidden/>
          </w:rPr>
          <w:tab/>
        </w:r>
        <w:r w:rsidR="0079170F">
          <w:rPr>
            <w:noProof/>
            <w:webHidden/>
          </w:rPr>
          <w:fldChar w:fldCharType="begin"/>
        </w:r>
        <w:r w:rsidR="0079170F">
          <w:rPr>
            <w:noProof/>
            <w:webHidden/>
          </w:rPr>
          <w:instrText xml:space="preserve"> PAGEREF _Toc418274786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79170F" w:rsidRDefault="001C18AD">
      <w:pPr>
        <w:pStyle w:val="TOC1"/>
        <w:rPr>
          <w:rFonts w:asciiTheme="minorHAnsi" w:eastAsiaTheme="minorEastAsia" w:hAnsiTheme="minorHAnsi" w:cstheme="minorBidi"/>
          <w:b w:val="0"/>
          <w:noProof/>
          <w:sz w:val="22"/>
          <w:szCs w:val="22"/>
          <w:lang w:eastAsia="en-AU"/>
        </w:rPr>
      </w:pPr>
      <w:hyperlink w:anchor="_Toc418274787" w:history="1">
        <w:r w:rsidR="0079170F" w:rsidRPr="004F4AF0">
          <w:rPr>
            <w:rStyle w:val="Hyperlink"/>
            <w:noProof/>
          </w:rPr>
          <w:t>Style conventions</w:t>
        </w:r>
        <w:r w:rsidR="0079170F">
          <w:rPr>
            <w:noProof/>
            <w:webHidden/>
          </w:rPr>
          <w:tab/>
        </w:r>
        <w:r w:rsidR="0079170F">
          <w:rPr>
            <w:noProof/>
            <w:webHidden/>
          </w:rPr>
          <w:fldChar w:fldCharType="begin"/>
        </w:r>
        <w:r w:rsidR="0079170F">
          <w:rPr>
            <w:noProof/>
            <w:webHidden/>
          </w:rPr>
          <w:instrText xml:space="preserve"> PAGEREF _Toc418274787 \h </w:instrText>
        </w:r>
        <w:r w:rsidR="0079170F">
          <w:rPr>
            <w:noProof/>
            <w:webHidden/>
          </w:rPr>
        </w:r>
        <w:r w:rsidR="0079170F">
          <w:rPr>
            <w:noProof/>
            <w:webHidden/>
          </w:rPr>
          <w:fldChar w:fldCharType="separate"/>
        </w:r>
        <w:r>
          <w:rPr>
            <w:noProof/>
            <w:webHidden/>
          </w:rPr>
          <w:t>12</w:t>
        </w:r>
        <w:r w:rsidR="0079170F">
          <w:rPr>
            <w:noProof/>
            <w:webHidden/>
          </w:rPr>
          <w:fldChar w:fldCharType="end"/>
        </w:r>
      </w:hyperlink>
    </w:p>
    <w:p w:rsidR="00B03921" w:rsidRPr="007B2462" w:rsidRDefault="00B03921" w:rsidP="000542A7">
      <w:r w:rsidRPr="007B2462">
        <w:fldChar w:fldCharType="end"/>
      </w:r>
    </w:p>
    <w:p w:rsidR="00B03921" w:rsidRPr="007B2462" w:rsidRDefault="00B03921" w:rsidP="000542A7"/>
    <w:p w:rsidR="00B03921" w:rsidRDefault="00B03921" w:rsidP="00876B63"/>
    <w:p w:rsidR="00B03921" w:rsidRDefault="00B03921" w:rsidP="00D22EC9">
      <w:pPr>
        <w:sectPr w:rsidR="00B03921" w:rsidSect="004D1FCB">
          <w:headerReference w:type="even" r:id="rId13"/>
          <w:headerReference w:type="default" r:id="rId14"/>
          <w:footerReference w:type="even" r:id="rId15"/>
          <w:footerReference w:type="default" r:id="rId16"/>
          <w:headerReference w:type="first" r:id="rId17"/>
          <w:footerReference w:type="first" r:id="rId18"/>
          <w:type w:val="continuous"/>
          <w:pgSz w:w="9979" w:h="14181" w:code="138"/>
          <w:pgMar w:top="1138" w:right="1138" w:bottom="1138" w:left="1138" w:header="720" w:footer="432" w:gutter="0"/>
          <w:pgNumType w:fmt="lowerRoman" w:start="1"/>
          <w:cols w:space="708"/>
          <w:docGrid w:linePitch="360"/>
        </w:sectPr>
      </w:pPr>
    </w:p>
    <w:p w:rsidR="00B03921" w:rsidRDefault="00B03921" w:rsidP="00016914">
      <w:pPr>
        <w:pStyle w:val="ChapterHeading"/>
      </w:pPr>
      <w:bookmarkStart w:id="1" w:name="_Toc418274749"/>
      <w:r w:rsidRPr="0051682B">
        <w:lastRenderedPageBreak/>
        <w:t>Chapter 1 – Estimated Financial Statements for the general government sector</w:t>
      </w:r>
      <w:bookmarkEnd w:id="1"/>
    </w:p>
    <w:p w:rsidR="00B03921" w:rsidRDefault="00B03921" w:rsidP="00016914">
      <w:pPr>
        <w:pStyle w:val="BodyText"/>
      </w:pPr>
      <w:r>
        <w:t>The following Estimated Financial Statements and accompanying explanatory notes set out the forecast financial results for the Victorian general government sector for the period 2015</w:t>
      </w:r>
      <w:r>
        <w:noBreakHyphen/>
        <w:t>16 to 2018</w:t>
      </w:r>
      <w:r>
        <w:noBreakHyphen/>
        <w:t>19.</w:t>
      </w:r>
    </w:p>
    <w:p w:rsidR="00B03921" w:rsidRDefault="00B03921" w:rsidP="00016914">
      <w:pPr>
        <w:pStyle w:val="BodyText"/>
      </w:pPr>
      <w:r>
        <w:t xml:space="preserve">The Estimated Financial Statements have been prepared in accordance with the provisions of the </w:t>
      </w:r>
      <w:r>
        <w:rPr>
          <w:i/>
        </w:rPr>
        <w:t>Financial Management Act 1994.</w:t>
      </w:r>
      <w:r>
        <w:t xml:space="preserve"> This Act requires the Estimated Financial Statements to be consistent with the financial policy objectives and strategies statement (see Budget Paper No. 2, Chapter 1 </w:t>
      </w:r>
      <w:r>
        <w:rPr>
          <w:i/>
        </w:rPr>
        <w:t>Economic and Fiscal Overview)</w:t>
      </w:r>
      <w:r>
        <w:t>, in a manner and form determined by the Treasurer, having regard to appropriate financial reporting frameworks.</w:t>
      </w:r>
    </w:p>
    <w:p w:rsidR="00B03921" w:rsidRDefault="00B03921" w:rsidP="00016914">
      <w:pPr>
        <w:pStyle w:val="BodyText"/>
      </w:pPr>
      <w:r>
        <w:t xml:space="preserve">The statements have been prepared having regard to applicable Australian Accounting Standards. As there is no specific Australian accounting standard or other authoritative pronouncement that prescribes the preparation and presentation of prospective financial statements, the Estimated Financial Statements have been prepared based on the principles set out in the New Zealand Public Benefit Entity Financial Reporting Standard 42 </w:t>
      </w:r>
      <w:r>
        <w:rPr>
          <w:i/>
        </w:rPr>
        <w:t>Prospective Financial Statements</w:t>
      </w:r>
      <w:r>
        <w:t xml:space="preserve"> (FRS</w:t>
      </w:r>
      <w:r>
        <w:noBreakHyphen/>
        <w:t>42).</w:t>
      </w:r>
    </w:p>
    <w:p w:rsidR="00B03921" w:rsidRDefault="00B03921" w:rsidP="00016914">
      <w:pPr>
        <w:pStyle w:val="BodyText"/>
        <w:rPr>
          <w:i/>
        </w:rPr>
      </w:pPr>
      <w:r>
        <w:t xml:space="preserve">The statements are presented in a manner consistent with the principles of AASB 1049 </w:t>
      </w:r>
      <w:r>
        <w:rPr>
          <w:i/>
        </w:rPr>
        <w:t>Whole of Government and General Government Sector Financial Reporting.</w:t>
      </w:r>
      <w:r>
        <w:t xml:space="preserve"> This standard is also consistent with the Uniform Presentation Framework (UPF) as it relates to the general government sector. Additional disclosures in relation to the UPF are included in </w:t>
      </w:r>
      <w:r>
        <w:br/>
        <w:t xml:space="preserve">Chapter 2 </w:t>
      </w:r>
      <w:r>
        <w:rPr>
          <w:i/>
        </w:rPr>
        <w:t>Supplementary uniform presentation framework tables.</w:t>
      </w:r>
    </w:p>
    <w:p w:rsidR="00B03921" w:rsidRDefault="00B03921" w:rsidP="00016914">
      <w:pPr>
        <w:pStyle w:val="BodyText"/>
      </w:pPr>
      <w:r>
        <w:t>The prospective nature of these statements reflects a number of judgements about the most likely operating and financial conditions for the Victorian general government sector. Variations in these assumed conditions, such as international developments and other risks to the national economy, from which Victoria would not be immune, may cause the Victorian general government sector actual results to differ from the projections. However, appropriate professional judgement has been applied in the preparation of the Estimated Financial Statements.</w:t>
      </w:r>
    </w:p>
    <w:p w:rsidR="00B03921" w:rsidRPr="008A6483" w:rsidRDefault="00B03921" w:rsidP="00016914">
      <w:pPr>
        <w:pStyle w:val="BodyText"/>
      </w:pPr>
      <w:r>
        <w:t>The Victorian Auditor</w:t>
      </w:r>
      <w:r>
        <w:noBreakHyphen/>
        <w:t>General has reviewed the Estimated Financial Statements and his review report follows.</w:t>
      </w:r>
    </w:p>
    <w:p w:rsidR="00B03921" w:rsidRDefault="00B03921" w:rsidP="00016914">
      <w:pPr>
        <w:pStyle w:val="BodyText"/>
      </w:pPr>
    </w:p>
    <w:p w:rsidR="00B03921" w:rsidRDefault="00B03921" w:rsidP="00016914">
      <w:pPr>
        <w:pStyle w:val="BodyText"/>
      </w:pPr>
    </w:p>
    <w:p w:rsidR="00B03921" w:rsidRDefault="00B03921">
      <w:pPr>
        <w:spacing w:after="0"/>
      </w:pPr>
      <w:r>
        <w:br w:type="page"/>
      </w:r>
    </w:p>
    <w:p w:rsidR="00B03921" w:rsidRDefault="00B03921" w:rsidP="00016914">
      <w:pPr>
        <w:pStyle w:val="Heading1"/>
      </w:pPr>
      <w:bookmarkStart w:id="2" w:name="_Toc418274750"/>
      <w:r>
        <w:lastRenderedPageBreak/>
        <w:t>Auditor</w:t>
      </w:r>
      <w:r>
        <w:noBreakHyphen/>
      </w:r>
      <w:r w:rsidRPr="0051682B">
        <w:t>General</w:t>
      </w:r>
      <w:r w:rsidR="00BA5A16">
        <w:t>’</w:t>
      </w:r>
      <w:r w:rsidRPr="0051682B">
        <w:t>s report</w:t>
      </w:r>
      <w:bookmarkEnd w:id="2"/>
    </w:p>
    <w:p w:rsidR="00523575" w:rsidRDefault="00523575">
      <w:pPr>
        <w:spacing w:after="0"/>
      </w:pPr>
      <w:r>
        <w:rPr>
          <w:noProof/>
          <w:lang w:eastAsia="en-AU"/>
        </w:rPr>
        <w:drawing>
          <wp:inline distT="0" distB="0" distL="0" distR="0" wp14:anchorId="0150B436" wp14:editId="101E1B9D">
            <wp:extent cx="4886553" cy="972921"/>
            <wp:effectExtent l="0" t="0" r="0" b="0"/>
            <wp:docPr id="5" name="Picture 5" descr="R:\Budget\BP5\VAG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udget\BP5\VAGOp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16" t="2534" r="1778" b="84551"/>
                    <a:stretch/>
                  </pic:blipFill>
                  <pic:spPr bwMode="auto">
                    <a:xfrm>
                      <a:off x="0" y="0"/>
                      <a:ext cx="4888865" cy="97338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E161F04" wp14:editId="61B0BEA5">
            <wp:extent cx="4893940" cy="6262577"/>
            <wp:effectExtent l="0" t="0" r="2540" b="5080"/>
            <wp:docPr id="4" name="Picture 4" descr="H:\temp\BP5 scans\SSAOP00410015050119220-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emp\BP5 scans\SSAOP00410015050119220-p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30" t="19379" r="7330" b="3505"/>
                    <a:stretch/>
                  </pic:blipFill>
                  <pic:spPr bwMode="auto">
                    <a:xfrm>
                      <a:off x="0" y="0"/>
                      <a:ext cx="4915075" cy="6289622"/>
                    </a:xfrm>
                    <a:prstGeom prst="rect">
                      <a:avLst/>
                    </a:prstGeom>
                    <a:noFill/>
                    <a:ln>
                      <a:noFill/>
                    </a:ln>
                    <a:extLst>
                      <a:ext uri="{53640926-AAD7-44D8-BBD7-CCE9431645EC}">
                        <a14:shadowObscured xmlns:a14="http://schemas.microsoft.com/office/drawing/2010/main"/>
                      </a:ext>
                    </a:extLst>
                  </pic:spPr>
                </pic:pic>
              </a:graphicData>
            </a:graphic>
          </wp:inline>
        </w:drawing>
      </w:r>
    </w:p>
    <w:p w:rsidR="00E20B42" w:rsidRDefault="00E20B42" w:rsidP="00E20B42">
      <w:pPr>
        <w:pStyle w:val="BodyText"/>
        <w:spacing w:before="360"/>
        <w:rPr>
          <w:rFonts w:asciiTheme="minorHAnsi" w:hAnsiTheme="minorHAnsi" w:cstheme="minorHAnsi"/>
          <w:b/>
          <w:i/>
          <w:sz w:val="26"/>
          <w:szCs w:val="26"/>
        </w:rPr>
      </w:pPr>
      <w:r w:rsidRPr="00402D9E">
        <w:rPr>
          <w:rFonts w:asciiTheme="minorHAnsi" w:hAnsiTheme="minorHAnsi" w:cstheme="minorHAnsi"/>
          <w:b/>
          <w:sz w:val="26"/>
          <w:szCs w:val="26"/>
        </w:rPr>
        <w:lastRenderedPageBreak/>
        <w:t>AUDITOR</w:t>
      </w:r>
      <w:r w:rsidRPr="00402D9E">
        <w:rPr>
          <w:rFonts w:asciiTheme="minorHAnsi" w:hAnsiTheme="minorHAnsi" w:cstheme="minorHAnsi"/>
          <w:b/>
          <w:sz w:val="26"/>
          <w:szCs w:val="26"/>
        </w:rPr>
        <w:noBreakHyphen/>
        <w:t>GENERAL</w:t>
      </w:r>
      <w:r>
        <w:rPr>
          <w:rFonts w:asciiTheme="minorHAnsi" w:hAnsiTheme="minorHAnsi" w:cstheme="minorHAnsi"/>
          <w:b/>
          <w:sz w:val="26"/>
          <w:szCs w:val="26"/>
        </w:rPr>
        <w:t>’</w:t>
      </w:r>
      <w:r w:rsidRPr="00402D9E">
        <w:rPr>
          <w:rFonts w:asciiTheme="minorHAnsi" w:hAnsiTheme="minorHAnsi" w:cstheme="minorHAnsi"/>
          <w:b/>
          <w:sz w:val="26"/>
          <w:szCs w:val="26"/>
        </w:rPr>
        <w:t xml:space="preserve">S REPORT </w:t>
      </w:r>
      <w:r w:rsidRPr="00402D9E">
        <w:rPr>
          <w:rFonts w:asciiTheme="minorHAnsi" w:hAnsiTheme="minorHAnsi" w:cstheme="minorHAnsi"/>
          <w:b/>
          <w:i/>
          <w:sz w:val="26"/>
          <w:szCs w:val="26"/>
        </w:rPr>
        <w:t>(continued)</w:t>
      </w:r>
    </w:p>
    <w:p w:rsidR="00B03921" w:rsidRDefault="00523575">
      <w:pPr>
        <w:spacing w:after="0"/>
      </w:pPr>
      <w:r>
        <w:rPr>
          <w:noProof/>
          <w:lang w:eastAsia="en-AU"/>
        </w:rPr>
        <w:drawing>
          <wp:inline distT="0" distB="0" distL="0" distR="0" wp14:anchorId="548EAE76" wp14:editId="00C7BBA3">
            <wp:extent cx="5040000" cy="7181706"/>
            <wp:effectExtent l="0" t="0" r="8255" b="635"/>
            <wp:docPr id="6" name="Picture 6" descr="H:\temp\BP5 scans\SSAOP00410015050119220-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emp\BP5 scans\SSAOP00410015050119220-p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13" t="7963" r="3403" b="2030"/>
                    <a:stretch/>
                  </pic:blipFill>
                  <pic:spPr bwMode="auto">
                    <a:xfrm>
                      <a:off x="0" y="0"/>
                      <a:ext cx="5040000" cy="7181706"/>
                    </a:xfrm>
                    <a:prstGeom prst="rect">
                      <a:avLst/>
                    </a:prstGeom>
                    <a:noFill/>
                    <a:ln>
                      <a:noFill/>
                    </a:ln>
                    <a:extLst>
                      <a:ext uri="{53640926-AAD7-44D8-BBD7-CCE9431645EC}">
                        <a14:shadowObscured xmlns:a14="http://schemas.microsoft.com/office/drawing/2010/main"/>
                      </a:ext>
                    </a:extLst>
                  </pic:spPr>
                </pic:pic>
              </a:graphicData>
            </a:graphic>
          </wp:inline>
        </w:drawing>
      </w:r>
    </w:p>
    <w:p w:rsidR="00B03921" w:rsidRPr="00DA6D31" w:rsidRDefault="00B03921" w:rsidP="00016914">
      <w:pPr>
        <w:pStyle w:val="Heading1"/>
      </w:pPr>
      <w:bookmarkStart w:id="3" w:name="_Toc418274751"/>
      <w:r w:rsidRPr="00DA6D31">
        <w:lastRenderedPageBreak/>
        <w:t>Certification by the Treasurer and the Department of Treasury and Finance</w:t>
      </w:r>
      <w:bookmarkEnd w:id="3"/>
    </w:p>
    <w:p w:rsidR="00B03921" w:rsidRDefault="00B03921" w:rsidP="00016914">
      <w:r w:rsidRPr="006A75A2">
        <w:t xml:space="preserve">The </w:t>
      </w:r>
      <w:r w:rsidRPr="00C7381B">
        <w:t>Estimated Financial Statements</w:t>
      </w:r>
      <w:r>
        <w:t xml:space="preserve"> of the Victorian general government sector </w:t>
      </w:r>
      <w:r w:rsidRPr="006A75A2">
        <w:t>ha</w:t>
      </w:r>
      <w:r>
        <w:t>ve</w:t>
      </w:r>
      <w:r w:rsidRPr="006A75A2">
        <w:t xml:space="preserve"> been </w:t>
      </w:r>
      <w:r>
        <w:t xml:space="preserve">prepared on the basis of the economic and fiscal information available to </w:t>
      </w:r>
      <w:r w:rsidRPr="006A75A2">
        <w:t>the Dep</w:t>
      </w:r>
      <w:r>
        <w:t xml:space="preserve">artment of Treasury and Finance. </w:t>
      </w:r>
    </w:p>
    <w:p w:rsidR="00B03921" w:rsidRPr="006A75A2" w:rsidRDefault="00B03921" w:rsidP="00016914">
      <w:r>
        <w:t>In our opinion, t</w:t>
      </w:r>
      <w:r w:rsidRPr="006A75A2">
        <w:t xml:space="preserve">he </w:t>
      </w:r>
      <w:r w:rsidRPr="00C7381B">
        <w:t>Estimated Financial Statements</w:t>
      </w:r>
      <w:r w:rsidRPr="006A75A2">
        <w:t>, which comprise the</w:t>
      </w:r>
      <w:r>
        <w:t xml:space="preserve"> estimated general government sector </w:t>
      </w:r>
      <w:r w:rsidRPr="006A75A2">
        <w:t>comprehensive operating statement</w:t>
      </w:r>
      <w:r>
        <w:t xml:space="preserve">, </w:t>
      </w:r>
      <w:r w:rsidRPr="006A75A2">
        <w:t>balance sheet</w:t>
      </w:r>
      <w:r>
        <w:t xml:space="preserve">, </w:t>
      </w:r>
      <w:r w:rsidRPr="006A75A2">
        <w:t>cash flow statement</w:t>
      </w:r>
      <w:r>
        <w:t>, s</w:t>
      </w:r>
      <w:r w:rsidRPr="006A75A2">
        <w:t>tatement of changes in equity</w:t>
      </w:r>
      <w:r>
        <w:t>, together with the n</w:t>
      </w:r>
      <w:r w:rsidRPr="006A75A2">
        <w:t xml:space="preserve">otes to the </w:t>
      </w:r>
      <w:r>
        <w:t xml:space="preserve">estimated </w:t>
      </w:r>
      <w:r w:rsidRPr="006A75A2">
        <w:t>financial statements</w:t>
      </w:r>
      <w:r>
        <w:t xml:space="preserve"> for the year ending 30 June 2016 and the three forward years ending 30 June 2017, 2018 and 2019:</w:t>
      </w:r>
    </w:p>
    <w:p w:rsidR="00B03921" w:rsidRDefault="00B03921" w:rsidP="00016914">
      <w:pPr>
        <w:pStyle w:val="ListParagraph"/>
        <w:numPr>
          <w:ilvl w:val="0"/>
          <w:numId w:val="8"/>
        </w:numPr>
        <w:ind w:left="567" w:hanging="567"/>
      </w:pPr>
      <w:r>
        <w:t>h</w:t>
      </w:r>
      <w:r w:rsidRPr="006A75A2">
        <w:t>a</w:t>
      </w:r>
      <w:r>
        <w:t>ve</w:t>
      </w:r>
      <w:r w:rsidRPr="006A75A2">
        <w:t xml:space="preserve"> been </w:t>
      </w:r>
      <w:r>
        <w:t xml:space="preserve">prepared in accordance with sections 23H – 23K </w:t>
      </w:r>
      <w:r w:rsidRPr="006A75A2">
        <w:t xml:space="preserve">of the </w:t>
      </w:r>
      <w:r w:rsidRPr="00730FD4">
        <w:rPr>
          <w:i/>
        </w:rPr>
        <w:t>Financial Management Act 1994,</w:t>
      </w:r>
      <w:r>
        <w:t xml:space="preserve"> having regard to relevant Australian Accounting Standards</w:t>
      </w:r>
      <w:r w:rsidRPr="006A75A2">
        <w:t xml:space="preserve"> and pronouncements</w:t>
      </w:r>
      <w:r>
        <w:t xml:space="preserve">, and in the absence of an Australian Accounting Standard for the preparation of prospective financial statements, New Zealand Public Benefit Entity Financial Reporting Standard 42 </w:t>
      </w:r>
      <w:r w:rsidRPr="00730FD4">
        <w:rPr>
          <w:i/>
        </w:rPr>
        <w:t>Prospective Financial Statements</w:t>
      </w:r>
      <w:r>
        <w:t xml:space="preserve">; </w:t>
      </w:r>
    </w:p>
    <w:p w:rsidR="00B03921" w:rsidRDefault="00B03921" w:rsidP="00016914">
      <w:pPr>
        <w:ind w:left="567" w:hanging="567"/>
      </w:pPr>
      <w:r w:rsidRPr="006A75A2">
        <w:t>(</w:t>
      </w:r>
      <w:r>
        <w:t>b</w:t>
      </w:r>
      <w:r w:rsidRPr="006A75A2">
        <w:t>)</w:t>
      </w:r>
      <w:r w:rsidRPr="006A75A2">
        <w:tab/>
      </w:r>
      <w:r>
        <w:t>take into account government decisions and other circumstances that may have a material effect; and</w:t>
      </w:r>
    </w:p>
    <w:p w:rsidR="00B03921" w:rsidRPr="006A75A2" w:rsidRDefault="00B03921" w:rsidP="00016914">
      <w:pPr>
        <w:ind w:left="567" w:hanging="567"/>
      </w:pPr>
      <w:r w:rsidRPr="006A75A2">
        <w:t>(</w:t>
      </w:r>
      <w:r>
        <w:t>c</w:t>
      </w:r>
      <w:r w:rsidRPr="006A75A2">
        <w:t>)</w:t>
      </w:r>
      <w:r>
        <w:tab/>
        <w:t xml:space="preserve">have been prepared using best professional judgement given the prospective nature of the </w:t>
      </w:r>
      <w:r w:rsidRPr="004E084D">
        <w:t>Estimated Financial Statements</w:t>
      </w:r>
      <w:r>
        <w:t>.</w:t>
      </w:r>
    </w:p>
    <w:p w:rsidR="00B03921" w:rsidRDefault="00B03921" w:rsidP="00016914">
      <w:r w:rsidRPr="006A75A2">
        <w:t xml:space="preserve">At the time of signing, </w:t>
      </w:r>
      <w:r>
        <w:t xml:space="preserve">we are not </w:t>
      </w:r>
      <w:r w:rsidRPr="006A75A2">
        <w:t xml:space="preserve">aware of any circumstances which would render any particulars included in the </w:t>
      </w:r>
      <w:r w:rsidRPr="00C7381B">
        <w:t>Estimated Financial Statements</w:t>
      </w:r>
      <w:r>
        <w:t xml:space="preserve"> to be misleading</w:t>
      </w:r>
      <w:r w:rsidRPr="006A75A2">
        <w:t>.</w:t>
      </w:r>
    </w:p>
    <w:p w:rsidR="00B03921" w:rsidRDefault="00B03921" w:rsidP="00016914"/>
    <w:p w:rsidR="00B03921" w:rsidRDefault="00B03921" w:rsidP="00016914">
      <w:r>
        <w:rPr>
          <w:noProof/>
          <w:lang w:eastAsia="en-AU"/>
        </w:rPr>
        <w:drawing>
          <wp:inline distT="0" distB="0" distL="0" distR="0" wp14:anchorId="09761CBB" wp14:editId="1338F479">
            <wp:extent cx="4823460" cy="278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mp\BP5 scans\SSAOP00410015050113150_crop.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23460" cy="2787650"/>
                    </a:xfrm>
                    <a:prstGeom prst="rect">
                      <a:avLst/>
                    </a:prstGeom>
                    <a:noFill/>
                    <a:ln>
                      <a:noFill/>
                    </a:ln>
                  </pic:spPr>
                </pic:pic>
              </a:graphicData>
            </a:graphic>
          </wp:inline>
        </w:drawing>
      </w:r>
    </w:p>
    <w:p w:rsidR="00B03921" w:rsidRDefault="00B03921" w:rsidP="00016914">
      <w:pPr>
        <w:spacing w:after="0"/>
      </w:pPr>
    </w:p>
    <w:p w:rsidR="00B03921" w:rsidRPr="00ED23A5" w:rsidRDefault="00B03921" w:rsidP="00016914">
      <w:r>
        <w:t>1 May 2015</w:t>
      </w:r>
    </w:p>
    <w:p w:rsidR="00B03921" w:rsidRDefault="00B03921" w:rsidP="00016914">
      <w:pPr>
        <w:pStyle w:val="Heading1"/>
      </w:pPr>
      <w:bookmarkStart w:id="4" w:name="_Toc418274752"/>
      <w:r w:rsidRPr="00571BEA">
        <w:lastRenderedPageBreak/>
        <w:t>Estimated Financial Statements</w:t>
      </w:r>
      <w:bookmarkEnd w:id="4"/>
    </w:p>
    <w:p w:rsidR="00B03921" w:rsidRDefault="00B03921" w:rsidP="00016914">
      <w:pPr>
        <w:pStyle w:val="Tableheading"/>
      </w:pPr>
      <w:r>
        <w:t>Table 1.1:</w:t>
      </w:r>
      <w:r>
        <w:tab/>
      </w:r>
      <w:r w:rsidRPr="002B6E58">
        <w:t>Estimated general government sector comprehensive operating</w:t>
      </w:r>
      <w:r>
        <w:t xml:space="preserve"> </w:t>
      </w:r>
      <w:r w:rsidRPr="002B6E58">
        <w:t>statement for the fi</w:t>
      </w:r>
      <w:r>
        <w:t>nancial year ending 30 June</w:t>
      </w:r>
    </w:p>
    <w:p w:rsidR="00B03921" w:rsidRPr="005C543F" w:rsidRDefault="00B03921" w:rsidP="00016914">
      <w:pPr>
        <w:pStyle w:val="million"/>
        <w:rPr>
          <w:rFonts w:ascii="Times New Roman" w:hAnsi="Times New Roman"/>
          <w:i w:val="0"/>
          <w:sz w:val="20"/>
          <w:szCs w:val="20"/>
          <w:lang w:eastAsia="en-AU"/>
        </w:rPr>
      </w:pPr>
      <w:r>
        <w:t>($ million)</w:t>
      </w:r>
    </w:p>
    <w:tbl>
      <w:tblPr>
        <w:tblW w:w="7805" w:type="dxa"/>
        <w:tblInd w:w="28" w:type="dxa"/>
        <w:tblLayout w:type="fixed"/>
        <w:tblCellMar>
          <w:left w:w="45" w:type="dxa"/>
          <w:right w:w="45" w:type="dxa"/>
        </w:tblCellMar>
        <w:tblLook w:val="0000" w:firstRow="0" w:lastRow="0" w:firstColumn="0" w:lastColumn="0" w:noHBand="0" w:noVBand="0"/>
      </w:tblPr>
      <w:tblGrid>
        <w:gridCol w:w="3041"/>
        <w:gridCol w:w="739"/>
        <w:gridCol w:w="994"/>
        <w:gridCol w:w="994"/>
        <w:gridCol w:w="994"/>
        <w:gridCol w:w="995"/>
        <w:gridCol w:w="48"/>
      </w:tblGrid>
      <w:tr w:rsidR="00B03921" w:rsidRPr="005C543F" w:rsidTr="00016914">
        <w:trPr>
          <w:gridAfter w:val="1"/>
          <w:wAfter w:w="48" w:type="dxa"/>
          <w:tblHeader/>
        </w:trPr>
        <w:tc>
          <w:tcPr>
            <w:tcW w:w="3041"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739"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centred"/>
              <w:rPr>
                <w:rFonts w:eastAsiaTheme="minorEastAsia"/>
                <w:lang w:eastAsia="en-AU"/>
              </w:rPr>
            </w:pPr>
            <w:r>
              <w:rPr>
                <w:rFonts w:eastAsiaTheme="minorEastAsia"/>
                <w:lang w:eastAsia="en-AU"/>
              </w:rPr>
              <w:br/>
            </w:r>
            <w:r w:rsidRPr="005C543F">
              <w:rPr>
                <w:rFonts w:eastAsiaTheme="minorEastAsia"/>
                <w:lang w:eastAsia="en-AU"/>
              </w:rPr>
              <w:t>Notes</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5"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9245A" w:rsidRPr="005C543F" w:rsidTr="00016914">
        <w:trPr>
          <w:gridAfter w:val="1"/>
          <w:wAfter w:w="48" w:type="dxa"/>
        </w:trPr>
        <w:tc>
          <w:tcPr>
            <w:tcW w:w="7757" w:type="dxa"/>
            <w:gridSpan w:val="6"/>
            <w:tcBorders>
              <w:top w:val="single" w:sz="6" w:space="0" w:color="auto"/>
              <w:left w:val="nil"/>
              <w:bottom w:val="nil"/>
              <w:right w:val="nil"/>
            </w:tcBorders>
            <w:shd w:val="solid" w:color="FFFFFF" w:fill="auto"/>
          </w:tcPr>
          <w:p w:rsidR="00B9245A" w:rsidRPr="005C543F" w:rsidRDefault="00B9245A" w:rsidP="00B9245A">
            <w:pPr>
              <w:pStyle w:val="Tabletext"/>
              <w:rPr>
                <w:rFonts w:eastAsiaTheme="minorEastAsia"/>
                <w:b/>
                <w:bCs/>
                <w:lang w:eastAsia="en-AU"/>
              </w:rPr>
            </w:pPr>
            <w:r w:rsidRPr="005C543F">
              <w:rPr>
                <w:rFonts w:eastAsiaTheme="minorEastAsia"/>
                <w:b/>
                <w:bCs/>
                <w:lang w:eastAsia="en-AU"/>
              </w:rPr>
              <w:t>Revenue from transactions</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Taxation revenue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19 024.5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19 804.5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20 402.8</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21 339.6</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revenue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862.6</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866.8</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Dividends and income tax equivalent and rate equivalent revenue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1 144.3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988.8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1 011.8</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1 052.4</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Sales of goods and services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6 779.1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6 908.9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7 016.3</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7 025.7</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cs="Calibri"/>
                <w:color w:val="000000"/>
                <w:lang w:eastAsia="en-AU"/>
              </w:rPr>
            </w:pPr>
            <w:r w:rsidRPr="005C543F">
              <w:rPr>
                <w:rFonts w:eastAsiaTheme="minorEastAsia"/>
                <w:lang w:eastAsia="en-AU"/>
              </w:rPr>
              <w:t xml:space="preserve">Grant </w:t>
            </w:r>
            <w:r w:rsidRPr="005C543F">
              <w:rPr>
                <w:rFonts w:eastAsiaTheme="minorEastAsia" w:cs="Calibri"/>
                <w:color w:val="000000"/>
                <w:lang w:eastAsia="en-AU"/>
              </w:rPr>
              <w:t>revenue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25 579.5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26 089.6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27 507.6</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28 605.4</w:t>
            </w:r>
          </w:p>
        </w:tc>
      </w:tr>
      <w:tr w:rsidR="00B03921" w:rsidRPr="005C543F" w:rsidTr="00016914">
        <w:trPr>
          <w:gridAfter w:val="1"/>
          <w:wAfter w:w="48" w:type="dxa"/>
        </w:trPr>
        <w:tc>
          <w:tcPr>
            <w:tcW w:w="3041"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revenue</w:t>
            </w:r>
          </w:p>
        </w:tc>
        <w:tc>
          <w:tcPr>
            <w:tcW w:w="739" w:type="dxa"/>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2 170.6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2 249.4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2 235.4</w:t>
            </w:r>
          </w:p>
        </w:tc>
        <w:tc>
          <w:tcPr>
            <w:tcW w:w="995"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2 289.1</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revenue from transactions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55 528.7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56 893.9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59 036.6</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61 179.1</w:t>
            </w:r>
          </w:p>
        </w:tc>
      </w:tr>
      <w:tr w:rsidR="00B9245A" w:rsidRPr="005C543F" w:rsidTr="00016914">
        <w:trPr>
          <w:gridAfter w:val="1"/>
          <w:wAfter w:w="48" w:type="dxa"/>
        </w:trPr>
        <w:tc>
          <w:tcPr>
            <w:tcW w:w="7757" w:type="dxa"/>
            <w:gridSpan w:val="6"/>
            <w:tcBorders>
              <w:top w:val="nil"/>
              <w:left w:val="nil"/>
              <w:bottom w:val="nil"/>
              <w:right w:val="nil"/>
            </w:tcBorders>
            <w:shd w:val="solid" w:color="FFFFFF" w:fill="auto"/>
          </w:tcPr>
          <w:p w:rsidR="00B9245A" w:rsidRPr="005C543F" w:rsidRDefault="00B9245A" w:rsidP="00B9245A">
            <w:pPr>
              <w:pStyle w:val="Tabletext"/>
              <w:rPr>
                <w:rFonts w:eastAsiaTheme="minorEastAsia"/>
                <w:b/>
                <w:bCs/>
                <w:lang w:eastAsia="en-AU"/>
              </w:rPr>
            </w:pPr>
            <w:r w:rsidRPr="005C543F">
              <w:rPr>
                <w:rFonts w:eastAsiaTheme="minorEastAsia"/>
                <w:b/>
                <w:bCs/>
                <w:lang w:eastAsia="en-AU"/>
              </w:rPr>
              <w:t>Expenses from transactions</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Employee expenses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19 903.4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20 568.2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21 491.6</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22 346.0</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superannuation interest expense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7a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886.5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831.5</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798.2</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superannuation</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7a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2 101.7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2 107.1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2 121.9</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2 147.4</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Depreciation</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2 576.9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2 721.6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2 880.2</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3 146.1</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expense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2 096.1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2 099.1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2 162.8</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2 118.3</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 expense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8 686.9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9 148.6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9 547.3</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9 849.3</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operating expenses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18 058.3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17 993.3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18 635.8</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18 945.4</w:t>
            </w:r>
          </w:p>
        </w:tc>
      </w:tr>
      <w:tr w:rsidR="00B03921" w:rsidRPr="005C543F" w:rsidTr="00016914">
        <w:trPr>
          <w:gridAfter w:val="1"/>
          <w:wAfter w:w="48" w:type="dxa"/>
        </w:trPr>
        <w:tc>
          <w:tcPr>
            <w:tcW w:w="3041"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expenses from transactions</w:t>
            </w:r>
          </w:p>
        </w:tc>
        <w:tc>
          <w:tcPr>
            <w:tcW w:w="739"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54 309.8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55 497.4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57 671.0</w:t>
            </w:r>
          </w:p>
        </w:tc>
        <w:tc>
          <w:tcPr>
            <w:tcW w:w="995"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59 350.7</w:t>
            </w:r>
          </w:p>
        </w:tc>
      </w:tr>
      <w:tr w:rsidR="00B03921" w:rsidRPr="005C543F" w:rsidTr="00016914">
        <w:trPr>
          <w:gridAfter w:val="1"/>
          <w:wAfter w:w="48" w:type="dxa"/>
        </w:trPr>
        <w:tc>
          <w:tcPr>
            <w:tcW w:w="3041"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result from transactions – net operating balance</w:t>
            </w:r>
          </w:p>
        </w:tc>
        <w:tc>
          <w:tcPr>
            <w:tcW w:w="7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1 218.9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1 396.5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sidRPr="005C543F">
              <w:rPr>
                <w:rFonts w:eastAsiaTheme="minorEastAsia"/>
                <w:b/>
                <w:bCs/>
                <w:lang w:eastAsia="en-AU"/>
              </w:rPr>
              <w:t>1 365.6</w:t>
            </w:r>
          </w:p>
        </w:tc>
        <w:tc>
          <w:tcPr>
            <w:tcW w:w="995"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1 828.4</w:t>
            </w:r>
          </w:p>
        </w:tc>
      </w:tr>
      <w:tr w:rsidR="00B9245A" w:rsidRPr="005C543F" w:rsidTr="00016914">
        <w:tc>
          <w:tcPr>
            <w:tcW w:w="7805" w:type="dxa"/>
            <w:gridSpan w:val="7"/>
            <w:tcBorders>
              <w:top w:val="nil"/>
              <w:left w:val="nil"/>
              <w:bottom w:val="nil"/>
              <w:right w:val="nil"/>
            </w:tcBorders>
            <w:shd w:val="solid" w:color="FFFFFF" w:fill="auto"/>
          </w:tcPr>
          <w:p w:rsidR="00B9245A" w:rsidRPr="005C543F" w:rsidRDefault="00B9245A" w:rsidP="00B9245A">
            <w:pPr>
              <w:pStyle w:val="Tabletext"/>
              <w:rPr>
                <w:rFonts w:eastAsiaTheme="minorEastAsia"/>
                <w:b/>
                <w:bCs/>
                <w:lang w:eastAsia="en-AU"/>
              </w:rPr>
            </w:pPr>
            <w:r w:rsidRPr="005C543F">
              <w:rPr>
                <w:rFonts w:eastAsiaTheme="minorEastAsia"/>
                <w:b/>
                <w:bCs/>
                <w:lang w:eastAsia="en-AU"/>
              </w:rPr>
              <w:t>Other economic flows included in net result</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Net gain/(loss) on disposal of </w:t>
            </w:r>
            <w:r w:rsidR="00886B02">
              <w:rPr>
                <w:rFonts w:eastAsiaTheme="minorEastAsia"/>
                <w:lang w:eastAsia="en-AU"/>
              </w:rPr>
              <w:br/>
            </w:r>
            <w:r w:rsidRPr="005C543F">
              <w:rPr>
                <w:rFonts w:eastAsiaTheme="minorEastAsia"/>
                <w:lang w:eastAsia="en-AU"/>
              </w:rPr>
              <w:t>non-financial assets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74.4</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65.5</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Net gain/(loss) on financial assets </w:t>
            </w:r>
            <w:r w:rsidR="00886B02">
              <w:rPr>
                <w:rFonts w:eastAsiaTheme="minorEastAsia"/>
                <w:lang w:eastAsia="en-AU"/>
              </w:rPr>
              <w:br/>
            </w:r>
            <w:r w:rsidRPr="005C543F">
              <w:rPr>
                <w:rFonts w:eastAsiaTheme="minorEastAsia"/>
                <w:lang w:eastAsia="en-AU"/>
              </w:rPr>
              <w:t>or liabilities at fair value</w:t>
            </w:r>
          </w:p>
        </w:tc>
        <w:tc>
          <w:tcPr>
            <w:tcW w:w="739" w:type="dxa"/>
            <w:tcBorders>
              <w:top w:val="nil"/>
              <w:left w:val="nil"/>
              <w:bottom w:val="nil"/>
              <w:right w:val="nil"/>
            </w:tcBorders>
            <w:shd w:val="solid" w:color="FFFFFF" w:fill="auto"/>
          </w:tcPr>
          <w:p w:rsidR="00B03921" w:rsidRPr="005C543F" w:rsidRDefault="00B03921" w:rsidP="00E02FE5">
            <w:pPr>
              <w:pStyle w:val="Tabletextcentred"/>
              <w:rPr>
                <w:rFonts w:eastAsiaTheme="minorEastAsia"/>
                <w:lang w:eastAsia="en-AU"/>
              </w:rPr>
            </w:pP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5 402.2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10.2</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10.2</w:t>
            </w:r>
          </w:p>
        </w:tc>
      </w:tr>
      <w:tr w:rsidR="00B03921" w:rsidRPr="005C543F" w:rsidTr="00016914">
        <w:trPr>
          <w:gridAfter w:val="1"/>
          <w:wAfter w:w="48" w:type="dxa"/>
        </w:trPr>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gains/(losses) from other economic flows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(318.4)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(331.5)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(340.2)</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(350.7)</w:t>
            </w:r>
          </w:p>
        </w:tc>
      </w:tr>
      <w:tr w:rsidR="00B03921" w:rsidRPr="005C543F" w:rsidTr="00016914">
        <w:trPr>
          <w:gridAfter w:val="1"/>
          <w:wAfter w:w="48" w:type="dxa"/>
        </w:trPr>
        <w:tc>
          <w:tcPr>
            <w:tcW w:w="3041" w:type="dxa"/>
            <w:tcBorders>
              <w:top w:val="single" w:sz="6" w:space="0" w:color="000000"/>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economic flows included in net result</w:t>
            </w:r>
          </w:p>
        </w:tc>
        <w:tc>
          <w:tcPr>
            <w:tcW w:w="739" w:type="dxa"/>
            <w:tcBorders>
              <w:top w:val="single" w:sz="6" w:space="0" w:color="000000"/>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5 147.4</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(255.7)</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(255.6)</w:t>
            </w:r>
          </w:p>
        </w:tc>
        <w:tc>
          <w:tcPr>
            <w:tcW w:w="995"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(275.0)</w:t>
            </w:r>
          </w:p>
        </w:tc>
      </w:tr>
      <w:tr w:rsidR="00B03921" w:rsidRPr="005C543F" w:rsidTr="00016914">
        <w:trPr>
          <w:gridAfter w:val="1"/>
          <w:wAfter w:w="48" w:type="dxa"/>
        </w:trPr>
        <w:tc>
          <w:tcPr>
            <w:tcW w:w="3041"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result</w:t>
            </w:r>
          </w:p>
        </w:tc>
        <w:tc>
          <w:tcPr>
            <w:tcW w:w="739"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6 366.3</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1 140.8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sidRPr="005C543F">
              <w:rPr>
                <w:rFonts w:eastAsiaTheme="minorEastAsia"/>
                <w:b/>
                <w:bCs/>
                <w:lang w:eastAsia="en-AU"/>
              </w:rPr>
              <w:t>1 110.1</w:t>
            </w:r>
          </w:p>
        </w:tc>
        <w:tc>
          <w:tcPr>
            <w:tcW w:w="995"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1 553.4</w:t>
            </w:r>
          </w:p>
        </w:tc>
      </w:tr>
    </w:tbl>
    <w:p w:rsidR="00B9245A" w:rsidRDefault="00B9245A" w:rsidP="00B9245A">
      <w:pPr>
        <w:pStyle w:val="Tableheadingcontinued"/>
      </w:pPr>
    </w:p>
    <w:p w:rsidR="00B9245A" w:rsidRDefault="00B9245A">
      <w:pPr>
        <w:spacing w:after="0"/>
        <w:rPr>
          <w:rFonts w:ascii="Calibri" w:hAnsi="Calibri"/>
          <w:b/>
        </w:rPr>
      </w:pPr>
      <w:r>
        <w:br w:type="page"/>
      </w:r>
    </w:p>
    <w:p w:rsidR="00B9245A" w:rsidRPr="00A45275" w:rsidRDefault="00B9245A" w:rsidP="00A45275">
      <w:pPr>
        <w:pStyle w:val="Tableheadingcontinued"/>
        <w:rPr>
          <w:i/>
        </w:rPr>
      </w:pPr>
      <w:r w:rsidRPr="00A45275">
        <w:lastRenderedPageBreak/>
        <w:t>Table 1.1:</w:t>
      </w:r>
      <w:r w:rsidRPr="00A45275">
        <w:tab/>
        <w:t xml:space="preserve">Estimated general government sector comprehensive operating statement for the financial year ending 30 June </w:t>
      </w:r>
      <w:r w:rsidRPr="00A45275">
        <w:rPr>
          <w:i/>
        </w:rPr>
        <w:t>(continued)</w:t>
      </w:r>
    </w:p>
    <w:p w:rsidR="00B9245A" w:rsidRDefault="00B9245A" w:rsidP="00B9245A">
      <w:pPr>
        <w:pStyle w:val="million"/>
      </w:pPr>
      <w:r>
        <w:t>($ million)</w:t>
      </w:r>
    </w:p>
    <w:tbl>
      <w:tblPr>
        <w:tblW w:w="7757" w:type="dxa"/>
        <w:tblInd w:w="28" w:type="dxa"/>
        <w:tblLayout w:type="fixed"/>
        <w:tblCellMar>
          <w:left w:w="45" w:type="dxa"/>
          <w:right w:w="45" w:type="dxa"/>
        </w:tblCellMar>
        <w:tblLook w:val="0000" w:firstRow="0" w:lastRow="0" w:firstColumn="0" w:lastColumn="0" w:noHBand="0" w:noVBand="0"/>
      </w:tblPr>
      <w:tblGrid>
        <w:gridCol w:w="3041"/>
        <w:gridCol w:w="739"/>
        <w:gridCol w:w="994"/>
        <w:gridCol w:w="994"/>
        <w:gridCol w:w="994"/>
        <w:gridCol w:w="995"/>
      </w:tblGrid>
      <w:tr w:rsidR="00B9245A" w:rsidRPr="005C543F" w:rsidTr="00B9245A">
        <w:trPr>
          <w:tblHeader/>
        </w:trPr>
        <w:tc>
          <w:tcPr>
            <w:tcW w:w="3041" w:type="dxa"/>
            <w:tcBorders>
              <w:top w:val="single" w:sz="6" w:space="0" w:color="auto"/>
              <w:left w:val="single" w:sz="6" w:space="0" w:color="auto"/>
              <w:bottom w:val="single" w:sz="6" w:space="0" w:color="auto"/>
              <w:right w:val="nil"/>
            </w:tcBorders>
            <w:shd w:val="clear" w:color="000000" w:fill="000000"/>
          </w:tcPr>
          <w:p w:rsidR="00B9245A" w:rsidRPr="005C543F" w:rsidRDefault="00B9245A" w:rsidP="00016914">
            <w:pPr>
              <w:pStyle w:val="Tabletext"/>
              <w:rPr>
                <w:rFonts w:eastAsiaTheme="minorEastAsia"/>
                <w:lang w:eastAsia="en-AU"/>
              </w:rPr>
            </w:pPr>
            <w:r w:rsidRPr="005C543F">
              <w:rPr>
                <w:rFonts w:eastAsiaTheme="minorEastAsia"/>
                <w:lang w:eastAsia="en-AU"/>
              </w:rPr>
              <w:t xml:space="preserve"> </w:t>
            </w:r>
          </w:p>
        </w:tc>
        <w:tc>
          <w:tcPr>
            <w:tcW w:w="739" w:type="dxa"/>
            <w:tcBorders>
              <w:top w:val="single" w:sz="6" w:space="0" w:color="auto"/>
              <w:left w:val="nil"/>
              <w:bottom w:val="single" w:sz="6" w:space="0" w:color="auto"/>
              <w:right w:val="nil"/>
            </w:tcBorders>
            <w:shd w:val="clear" w:color="000000" w:fill="000000"/>
          </w:tcPr>
          <w:p w:rsidR="00B9245A" w:rsidRPr="005C543F" w:rsidRDefault="00B9245A" w:rsidP="00016914">
            <w:pPr>
              <w:pStyle w:val="Tabletextheadingcentred"/>
              <w:rPr>
                <w:rFonts w:eastAsiaTheme="minorEastAsia"/>
                <w:lang w:eastAsia="en-AU"/>
              </w:rPr>
            </w:pPr>
            <w:r>
              <w:rPr>
                <w:rFonts w:eastAsiaTheme="minorEastAsia"/>
                <w:lang w:eastAsia="en-AU"/>
              </w:rPr>
              <w:br/>
            </w:r>
            <w:r w:rsidRPr="005C543F">
              <w:rPr>
                <w:rFonts w:eastAsiaTheme="minorEastAsia"/>
                <w:lang w:eastAsia="en-AU"/>
              </w:rPr>
              <w:t>Notes</w:t>
            </w:r>
          </w:p>
        </w:tc>
        <w:tc>
          <w:tcPr>
            <w:tcW w:w="994" w:type="dxa"/>
            <w:tcBorders>
              <w:top w:val="single" w:sz="6" w:space="0" w:color="auto"/>
              <w:left w:val="nil"/>
              <w:bottom w:val="single" w:sz="6" w:space="0" w:color="auto"/>
              <w:right w:val="nil"/>
            </w:tcBorders>
            <w:shd w:val="clear" w:color="000000" w:fill="000000"/>
          </w:tcPr>
          <w:p w:rsidR="00B9245A" w:rsidRPr="005C543F" w:rsidRDefault="00B9245A"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9245A" w:rsidRPr="005C543F" w:rsidRDefault="00B9245A"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9245A" w:rsidRPr="005C543F" w:rsidRDefault="00B9245A"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5" w:type="dxa"/>
            <w:tcBorders>
              <w:top w:val="single" w:sz="6" w:space="0" w:color="auto"/>
              <w:left w:val="nil"/>
              <w:bottom w:val="single" w:sz="6" w:space="0" w:color="auto"/>
              <w:right w:val="single" w:sz="6" w:space="0" w:color="auto"/>
            </w:tcBorders>
            <w:shd w:val="clear" w:color="000000" w:fill="000000"/>
          </w:tcPr>
          <w:p w:rsidR="00B9245A" w:rsidRPr="005C543F" w:rsidRDefault="00B9245A"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9245A" w:rsidRPr="005C543F" w:rsidTr="00B9245A">
        <w:tc>
          <w:tcPr>
            <w:tcW w:w="7757" w:type="dxa"/>
            <w:gridSpan w:val="6"/>
            <w:tcBorders>
              <w:top w:val="nil"/>
              <w:left w:val="nil"/>
              <w:bottom w:val="nil"/>
              <w:right w:val="nil"/>
            </w:tcBorders>
            <w:shd w:val="solid" w:color="FFFFFF" w:fill="auto"/>
          </w:tcPr>
          <w:p w:rsidR="00B9245A" w:rsidRPr="005C543F" w:rsidRDefault="00B9245A" w:rsidP="00B9245A">
            <w:pPr>
              <w:pStyle w:val="Tabletext"/>
              <w:ind w:left="187" w:hanging="187"/>
              <w:rPr>
                <w:rFonts w:eastAsiaTheme="minorEastAsia"/>
                <w:b/>
                <w:bCs/>
                <w:lang w:eastAsia="en-AU"/>
              </w:rPr>
            </w:pPr>
            <w:r w:rsidRPr="005C543F">
              <w:rPr>
                <w:rFonts w:eastAsiaTheme="minorEastAsia"/>
                <w:b/>
                <w:bCs/>
                <w:lang w:eastAsia="en-AU"/>
              </w:rPr>
              <w:t>Other economic flows – other comprehensive income</w:t>
            </w:r>
          </w:p>
        </w:tc>
      </w:tr>
      <w:tr w:rsidR="00B9245A" w:rsidRPr="005C543F" w:rsidTr="00B9245A">
        <w:tc>
          <w:tcPr>
            <w:tcW w:w="7757" w:type="dxa"/>
            <w:gridSpan w:val="6"/>
            <w:tcBorders>
              <w:top w:val="nil"/>
              <w:left w:val="nil"/>
              <w:bottom w:val="nil"/>
              <w:right w:val="nil"/>
            </w:tcBorders>
            <w:shd w:val="solid" w:color="FFFFFF" w:fill="auto"/>
          </w:tcPr>
          <w:p w:rsidR="00B9245A" w:rsidRPr="005C543F" w:rsidRDefault="00B9245A" w:rsidP="00B9245A">
            <w:pPr>
              <w:pStyle w:val="Tabletext"/>
              <w:rPr>
                <w:rFonts w:eastAsiaTheme="minorEastAsia"/>
                <w:b/>
                <w:bCs/>
                <w:lang w:eastAsia="en-AU"/>
              </w:rPr>
            </w:pPr>
            <w:r w:rsidRPr="005C543F">
              <w:rPr>
                <w:rFonts w:eastAsiaTheme="minorEastAsia"/>
                <w:b/>
                <w:bCs/>
                <w:lang w:eastAsia="en-AU"/>
              </w:rPr>
              <w:t>Items that will not be reclassified to net result</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Changes in non-financial assets revaluation surplus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755.8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9 501.1</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421.8</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Remeasurement of superannuation defined benefit plans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7a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962.4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995.0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1 027.3</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1 062.8</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gain/(loss) on equity investments in other sector entities at proportional share of the carrying amount of net assets</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(378.0)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(222.8)</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(255.4)</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movements in equity</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5.3</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24.1</w:t>
            </w:r>
          </w:p>
        </w:tc>
      </w:tr>
      <w:tr w:rsidR="00B9245A" w:rsidRPr="005C543F" w:rsidTr="00B9245A">
        <w:tc>
          <w:tcPr>
            <w:tcW w:w="7757" w:type="dxa"/>
            <w:gridSpan w:val="6"/>
            <w:tcBorders>
              <w:top w:val="nil"/>
              <w:left w:val="nil"/>
              <w:bottom w:val="nil"/>
              <w:right w:val="nil"/>
            </w:tcBorders>
            <w:shd w:val="solid" w:color="FFFFFF" w:fill="auto"/>
          </w:tcPr>
          <w:p w:rsidR="00B9245A" w:rsidRPr="005C543F" w:rsidRDefault="00B9245A" w:rsidP="00B9245A">
            <w:pPr>
              <w:pStyle w:val="Tabletext"/>
              <w:rPr>
                <w:rFonts w:eastAsiaTheme="minorEastAsia"/>
                <w:b/>
                <w:bCs/>
                <w:lang w:eastAsia="en-AU"/>
              </w:rPr>
            </w:pPr>
            <w:r w:rsidRPr="005C543F">
              <w:rPr>
                <w:rFonts w:eastAsiaTheme="minorEastAsia"/>
                <w:b/>
                <w:bCs/>
                <w:lang w:eastAsia="en-AU"/>
              </w:rPr>
              <w:t>Items that may be reclassified subsequently to net result</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gain/(loss) on financial assets at fair value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w:t>
            </w:r>
          </w:p>
        </w:tc>
      </w:tr>
      <w:tr w:rsidR="00B03921" w:rsidRPr="005C543F" w:rsidTr="00B9245A">
        <w:tc>
          <w:tcPr>
            <w:tcW w:w="3041"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economic flows – other comprehensive income</w:t>
            </w:r>
          </w:p>
        </w:tc>
        <w:tc>
          <w:tcPr>
            <w:tcW w:w="739"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1 726.7</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sidRPr="005C543F">
              <w:rPr>
                <w:rFonts w:eastAsiaTheme="minorEastAsia"/>
                <w:b/>
                <w:bCs/>
                <w:lang w:eastAsia="en-AU"/>
              </w:rPr>
              <w:t>1 132.4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10 312.2</w:t>
            </w:r>
          </w:p>
        </w:tc>
        <w:tc>
          <w:tcPr>
            <w:tcW w:w="995"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1 254.7</w:t>
            </w:r>
          </w:p>
        </w:tc>
      </w:tr>
      <w:tr w:rsidR="00B03921" w:rsidRPr="005C543F" w:rsidTr="00B9245A">
        <w:tc>
          <w:tcPr>
            <w:tcW w:w="3041"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Comprehensive result – total change in net worth</w:t>
            </w:r>
          </w:p>
        </w:tc>
        <w:tc>
          <w:tcPr>
            <w:tcW w:w="7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8 092.9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2 273.2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11 422.2</w:t>
            </w:r>
          </w:p>
        </w:tc>
        <w:tc>
          <w:tcPr>
            <w:tcW w:w="995"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2 808.1</w:t>
            </w:r>
          </w:p>
        </w:tc>
      </w:tr>
      <w:tr w:rsidR="00B03921" w:rsidRPr="005C543F" w:rsidTr="00B9245A">
        <w:tc>
          <w:tcPr>
            <w:tcW w:w="3041" w:type="dxa"/>
            <w:tcBorders>
              <w:top w:val="single" w:sz="12" w:space="0" w:color="000000"/>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KEY FISCAL AGGREGATES</w:t>
            </w:r>
          </w:p>
        </w:tc>
        <w:tc>
          <w:tcPr>
            <w:tcW w:w="739" w:type="dxa"/>
            <w:tcBorders>
              <w:top w:val="single" w:sz="12" w:space="0" w:color="000000"/>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b/>
                <w:lang w:eastAsia="en-AU"/>
              </w:rPr>
            </w:pPr>
            <w:r w:rsidRPr="005C543F">
              <w:rPr>
                <w:rFonts w:eastAsiaTheme="minorEastAsia"/>
                <w:b/>
                <w:lang w:eastAsia="en-AU"/>
              </w:rPr>
              <w:t xml:space="preserve"> </w:t>
            </w:r>
          </w:p>
        </w:tc>
        <w:tc>
          <w:tcPr>
            <w:tcW w:w="994"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b/>
                <w:lang w:eastAsia="en-AU"/>
              </w:rPr>
            </w:pPr>
            <w:r w:rsidRPr="005C543F">
              <w:rPr>
                <w:rFonts w:eastAsiaTheme="minorEastAsia"/>
                <w:b/>
                <w:lang w:eastAsia="en-AU"/>
              </w:rPr>
              <w:t xml:space="preserve"> </w:t>
            </w:r>
          </w:p>
        </w:tc>
        <w:tc>
          <w:tcPr>
            <w:tcW w:w="994"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b/>
                <w:lang w:eastAsia="en-AU"/>
              </w:rPr>
            </w:pPr>
            <w:r w:rsidRPr="005C543F">
              <w:rPr>
                <w:rFonts w:eastAsiaTheme="minorEastAsia"/>
                <w:b/>
                <w:lang w:eastAsia="en-AU"/>
              </w:rPr>
              <w:t xml:space="preserve"> </w:t>
            </w:r>
          </w:p>
        </w:tc>
        <w:tc>
          <w:tcPr>
            <w:tcW w:w="995"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b/>
                <w:lang w:eastAsia="en-AU"/>
              </w:rPr>
            </w:pPr>
            <w:r w:rsidRPr="005C543F">
              <w:rPr>
                <w:rFonts w:eastAsiaTheme="minorEastAsia"/>
                <w:b/>
                <w:lang w:eastAsia="en-AU"/>
              </w:rPr>
              <w:t xml:space="preserve"> </w:t>
            </w:r>
          </w:p>
        </w:tc>
      </w:tr>
      <w:tr w:rsidR="00B03921" w:rsidRPr="005C543F" w:rsidTr="00B9245A">
        <w:tc>
          <w:tcPr>
            <w:tcW w:w="3041"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operating balance</w:t>
            </w:r>
          </w:p>
        </w:tc>
        <w:tc>
          <w:tcPr>
            <w:tcW w:w="739"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1 218.9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1 396.5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sidRPr="005C543F">
              <w:rPr>
                <w:rFonts w:eastAsiaTheme="minorEastAsia"/>
                <w:b/>
                <w:bCs/>
                <w:lang w:eastAsia="en-AU"/>
              </w:rPr>
              <w:t>1 365.6</w:t>
            </w:r>
          </w:p>
        </w:tc>
        <w:tc>
          <w:tcPr>
            <w:tcW w:w="995"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1 828.4</w:t>
            </w:r>
          </w:p>
        </w:tc>
      </w:tr>
      <w:tr w:rsidR="00B03921" w:rsidRPr="005C543F" w:rsidTr="00B9245A">
        <w:tc>
          <w:tcPr>
            <w:tcW w:w="3041"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Less: Net acquisition of </w:t>
            </w:r>
            <w:r>
              <w:rPr>
                <w:rFonts w:eastAsiaTheme="minorEastAsia"/>
                <w:lang w:eastAsia="en-AU"/>
              </w:rPr>
              <w:br/>
            </w:r>
            <w:r w:rsidRPr="005C543F">
              <w:rPr>
                <w:rFonts w:eastAsiaTheme="minorEastAsia"/>
                <w:lang w:eastAsia="en-AU"/>
              </w:rPr>
              <w:t>non-financial assets from transactions</w:t>
            </w:r>
          </w:p>
        </w:tc>
        <w:tc>
          <w:tcPr>
            <w:tcW w:w="739" w:type="dxa"/>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15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1 410.3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1 510.1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1 042.5</w:t>
            </w:r>
          </w:p>
        </w:tc>
        <w:tc>
          <w:tcPr>
            <w:tcW w:w="995"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(228.8)</w:t>
            </w:r>
          </w:p>
        </w:tc>
      </w:tr>
      <w:tr w:rsidR="00B03921" w:rsidRPr="005C543F" w:rsidTr="00B9245A">
        <w:tc>
          <w:tcPr>
            <w:tcW w:w="3041"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lending/(borrowing)</w:t>
            </w:r>
          </w:p>
        </w:tc>
        <w:tc>
          <w:tcPr>
            <w:tcW w:w="7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(191.4)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(113.6)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323.2</w:t>
            </w:r>
          </w:p>
        </w:tc>
        <w:tc>
          <w:tcPr>
            <w:tcW w:w="995"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2 057.2</w:t>
            </w:r>
          </w:p>
        </w:tc>
      </w:tr>
    </w:tbl>
    <w:p w:rsidR="00B03921" w:rsidRDefault="00B03921" w:rsidP="00016914">
      <w:pPr>
        <w:pStyle w:val="Source"/>
      </w:pPr>
      <w:r w:rsidRPr="002B6E58">
        <w:t xml:space="preserve">The </w:t>
      </w:r>
      <w:r w:rsidRPr="005F203B">
        <w:t>accompanying</w:t>
      </w:r>
      <w:r w:rsidRPr="002B6E58">
        <w:t xml:space="preserve"> notes form part of these Esti</w:t>
      </w:r>
      <w:r>
        <w:t>mated Financial Statements.</w:t>
      </w:r>
    </w:p>
    <w:p w:rsidR="00B03921" w:rsidRDefault="00B03921">
      <w:pPr>
        <w:spacing w:after="0"/>
      </w:pPr>
      <w:r>
        <w:br w:type="page"/>
      </w:r>
    </w:p>
    <w:p w:rsidR="00B03921" w:rsidRDefault="00B03921" w:rsidP="00016914">
      <w:pPr>
        <w:pStyle w:val="Tableheading"/>
      </w:pPr>
      <w:r>
        <w:lastRenderedPageBreak/>
        <w:t>Table 1.2:</w:t>
      </w:r>
      <w:r>
        <w:tab/>
      </w:r>
      <w:r w:rsidRPr="002B6E58">
        <w:t xml:space="preserve">Estimated general government sector balance sheet </w:t>
      </w:r>
      <w:r>
        <w:t>as at 30 June</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560"/>
        <w:gridCol w:w="740"/>
        <w:gridCol w:w="892"/>
        <w:gridCol w:w="892"/>
        <w:gridCol w:w="892"/>
        <w:gridCol w:w="892"/>
        <w:gridCol w:w="892"/>
      </w:tblGrid>
      <w:tr w:rsidR="00B03921" w:rsidRPr="005C543F" w:rsidTr="00016914">
        <w:trPr>
          <w:tblHeader/>
        </w:trPr>
        <w:tc>
          <w:tcPr>
            <w:tcW w:w="256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 xml:space="preserve"> </w:t>
            </w:r>
          </w:p>
        </w:tc>
        <w:tc>
          <w:tcPr>
            <w:tcW w:w="740"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centred"/>
              <w:rPr>
                <w:rFonts w:eastAsiaTheme="minorEastAsia"/>
                <w:sz w:val="19"/>
                <w:lang w:eastAsia="en-AU"/>
              </w:rPr>
            </w:pPr>
            <w:r>
              <w:rPr>
                <w:rFonts w:eastAsiaTheme="minorEastAsia"/>
                <w:sz w:val="19"/>
                <w:lang w:eastAsia="en-AU"/>
              </w:rPr>
              <w:br/>
            </w:r>
            <w:r w:rsidRPr="005C543F">
              <w:rPr>
                <w:rFonts w:eastAsiaTheme="minorEastAsia"/>
                <w:sz w:val="19"/>
                <w:lang w:eastAsia="en-AU"/>
              </w:rPr>
              <w:t>Notes</w:t>
            </w:r>
          </w:p>
        </w:tc>
        <w:tc>
          <w:tcPr>
            <w:tcW w:w="892"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sz w:val="19"/>
                <w:lang w:eastAsia="en-AU"/>
              </w:rPr>
            </w:pPr>
            <w:r w:rsidRPr="005C543F">
              <w:rPr>
                <w:rFonts w:eastAsiaTheme="minorEastAsia"/>
                <w:color w:val="FFFFFF"/>
                <w:sz w:val="19"/>
                <w:lang w:eastAsia="en-AU"/>
              </w:rPr>
              <w:t>2015 revised</w:t>
            </w:r>
          </w:p>
        </w:tc>
        <w:tc>
          <w:tcPr>
            <w:tcW w:w="892"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sz w:val="19"/>
                <w:lang w:eastAsia="en-AU"/>
              </w:rPr>
            </w:pPr>
            <w:r w:rsidRPr="005C543F">
              <w:rPr>
                <w:rFonts w:eastAsiaTheme="minorEastAsia"/>
                <w:color w:val="FFFFFF"/>
                <w:sz w:val="19"/>
                <w:lang w:eastAsia="en-AU"/>
              </w:rPr>
              <w:t>2016 budget</w:t>
            </w:r>
          </w:p>
        </w:tc>
        <w:tc>
          <w:tcPr>
            <w:tcW w:w="892"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sz w:val="19"/>
                <w:lang w:eastAsia="en-AU"/>
              </w:rPr>
            </w:pPr>
            <w:r w:rsidRPr="005C543F">
              <w:rPr>
                <w:rFonts w:eastAsiaTheme="minorEastAsia"/>
                <w:color w:val="FFFFFF"/>
                <w:sz w:val="19"/>
                <w:lang w:eastAsia="en-AU"/>
              </w:rPr>
              <w:t>2017 estimate</w:t>
            </w:r>
          </w:p>
        </w:tc>
        <w:tc>
          <w:tcPr>
            <w:tcW w:w="892"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sz w:val="19"/>
                <w:lang w:eastAsia="en-AU"/>
              </w:rPr>
            </w:pPr>
            <w:r w:rsidRPr="005C543F">
              <w:rPr>
                <w:rFonts w:eastAsiaTheme="minorEastAsia"/>
                <w:color w:val="FFFFFF"/>
                <w:sz w:val="19"/>
                <w:lang w:eastAsia="en-AU"/>
              </w:rPr>
              <w:t>2018 estimate</w:t>
            </w:r>
          </w:p>
        </w:tc>
        <w:tc>
          <w:tcPr>
            <w:tcW w:w="892"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sz w:val="19"/>
                <w:lang w:eastAsia="en-AU"/>
              </w:rPr>
            </w:pPr>
            <w:r w:rsidRPr="005C543F">
              <w:rPr>
                <w:rFonts w:eastAsiaTheme="minorEastAsia"/>
                <w:color w:val="FFFFFF"/>
                <w:sz w:val="19"/>
                <w:lang w:eastAsia="en-AU"/>
              </w:rPr>
              <w:t>2019 estimate</w:t>
            </w:r>
          </w:p>
        </w:tc>
      </w:tr>
      <w:tr w:rsidR="00355F9B" w:rsidRPr="005C543F" w:rsidTr="00016914">
        <w:tc>
          <w:tcPr>
            <w:tcW w:w="7760" w:type="dxa"/>
            <w:gridSpan w:val="7"/>
            <w:tcBorders>
              <w:top w:val="single" w:sz="6" w:space="0" w:color="auto"/>
              <w:left w:val="nil"/>
              <w:bottom w:val="nil"/>
              <w:right w:val="nil"/>
            </w:tcBorders>
            <w:shd w:val="solid" w:color="FFFFFF" w:fill="auto"/>
          </w:tcPr>
          <w:p w:rsidR="00355F9B" w:rsidRPr="005C543F" w:rsidRDefault="00355F9B" w:rsidP="00355F9B">
            <w:pPr>
              <w:pStyle w:val="Tabletext"/>
              <w:rPr>
                <w:rFonts w:eastAsiaTheme="minorEastAsia"/>
                <w:b/>
                <w:bCs/>
                <w:sz w:val="19"/>
                <w:lang w:eastAsia="en-AU"/>
              </w:rPr>
            </w:pPr>
            <w:r w:rsidRPr="005C543F">
              <w:rPr>
                <w:rFonts w:eastAsiaTheme="minorEastAsia"/>
                <w:b/>
                <w:bCs/>
                <w:sz w:val="19"/>
                <w:lang w:eastAsia="en-AU"/>
              </w:rPr>
              <w:t>Assets</w:t>
            </w:r>
          </w:p>
        </w:tc>
      </w:tr>
      <w:tr w:rsidR="00355F9B" w:rsidRPr="005C543F" w:rsidTr="00016914">
        <w:tc>
          <w:tcPr>
            <w:tcW w:w="7760" w:type="dxa"/>
            <w:gridSpan w:val="7"/>
            <w:tcBorders>
              <w:top w:val="nil"/>
              <w:left w:val="nil"/>
              <w:bottom w:val="nil"/>
              <w:right w:val="nil"/>
            </w:tcBorders>
            <w:shd w:val="solid" w:color="FFFFFF" w:fill="auto"/>
          </w:tcPr>
          <w:p w:rsidR="00355F9B" w:rsidRPr="005C543F" w:rsidRDefault="00355F9B" w:rsidP="00355F9B">
            <w:pPr>
              <w:pStyle w:val="Tabletext"/>
              <w:rPr>
                <w:rFonts w:eastAsiaTheme="minorEastAsia"/>
                <w:b/>
                <w:bCs/>
                <w:sz w:val="19"/>
                <w:lang w:eastAsia="en-AU"/>
              </w:rPr>
            </w:pPr>
            <w:r w:rsidRPr="005C543F">
              <w:rPr>
                <w:rFonts w:eastAsiaTheme="minorEastAsia"/>
                <w:b/>
                <w:bCs/>
                <w:sz w:val="19"/>
                <w:lang w:eastAsia="en-AU"/>
              </w:rPr>
              <w:t>Financial assets</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Cash and deposits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4 912.6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5 110.2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5 428.9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5 794.1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6 181.6</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Advances paid</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16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4 567.9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4 520.6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4 484.3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4 438.5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4 387.0</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Receivables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5 010.0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4 857.6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4 825.1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4 876.3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4 996.2</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Investments, loans and placements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16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3 039.3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3 146.4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3 275.3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3 410.6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3 547.8</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Investments accounted for using equity method</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44.1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44.1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44.1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44.1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44.1</w:t>
            </w:r>
          </w:p>
        </w:tc>
      </w:tr>
      <w:tr w:rsidR="00B03921" w:rsidRPr="005C543F" w:rsidTr="00016914">
        <w:tc>
          <w:tcPr>
            <w:tcW w:w="256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Investments in other sector entities</w:t>
            </w:r>
          </w:p>
        </w:tc>
        <w:tc>
          <w:tcPr>
            <w:tcW w:w="740" w:type="dxa"/>
            <w:tcBorders>
              <w:top w:val="nil"/>
              <w:left w:val="nil"/>
              <w:bottom w:val="single" w:sz="6" w:space="0" w:color="000000"/>
              <w:right w:val="nil"/>
            </w:tcBorders>
            <w:shd w:val="solid" w:color="FFFFFF" w:fill="auto"/>
          </w:tcPr>
          <w:p w:rsidR="00B03921" w:rsidRPr="005C543F" w:rsidRDefault="00B03921" w:rsidP="00E02FE5">
            <w:pPr>
              <w:pStyle w:val="Tabletextcentred"/>
              <w:rPr>
                <w:rFonts w:eastAsiaTheme="minorEastAsia"/>
                <w:sz w:val="19"/>
                <w:lang w:eastAsia="en-AU"/>
              </w:rPr>
            </w:pPr>
            <w:r w:rsidRPr="005C543F">
              <w:rPr>
                <w:rFonts w:eastAsiaTheme="minorEastAsia"/>
                <w:sz w:val="19"/>
                <w:lang w:eastAsia="en-AU"/>
              </w:rPr>
              <w:t>14</w:t>
            </w:r>
            <w:r w:rsidR="00E02FE5">
              <w:rPr>
                <w:rFonts w:eastAsiaTheme="minorEastAsia"/>
                <w:sz w:val="19"/>
                <w:lang w:eastAsia="en-AU"/>
              </w:rPr>
              <w:t>, 1H</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80 446.8</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80 697.3</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82 335.7</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82 994.0</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84 905.9</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Total financial assets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98 020.7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98 376.3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100 393.4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101 557.7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104 062.6</w:t>
            </w:r>
          </w:p>
        </w:tc>
      </w:tr>
      <w:tr w:rsidR="00355F9B" w:rsidRPr="005C543F" w:rsidTr="00016914">
        <w:tc>
          <w:tcPr>
            <w:tcW w:w="7760" w:type="dxa"/>
            <w:gridSpan w:val="7"/>
            <w:tcBorders>
              <w:top w:val="nil"/>
              <w:left w:val="nil"/>
              <w:bottom w:val="nil"/>
              <w:right w:val="nil"/>
            </w:tcBorders>
            <w:shd w:val="solid" w:color="FFFFFF" w:fill="auto"/>
          </w:tcPr>
          <w:p w:rsidR="00355F9B" w:rsidRPr="005C543F" w:rsidRDefault="00355F9B" w:rsidP="00355F9B">
            <w:pPr>
              <w:pStyle w:val="Tabletext"/>
              <w:rPr>
                <w:rFonts w:eastAsiaTheme="minorEastAsia"/>
                <w:b/>
                <w:bCs/>
                <w:sz w:val="19"/>
                <w:lang w:eastAsia="en-AU"/>
              </w:rPr>
            </w:pPr>
            <w:r w:rsidRPr="005C543F">
              <w:rPr>
                <w:rFonts w:eastAsiaTheme="minorEastAsia"/>
                <w:b/>
                <w:bCs/>
                <w:sz w:val="19"/>
                <w:lang w:eastAsia="en-AU"/>
              </w:rPr>
              <w:t>Non-financial assets</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Inventories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155.1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158.5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162.0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166.4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170.9</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Non-financial assets held for sale</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128.5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128.5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128.5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128.5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128.5</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Land, buildings, infrastructure, plant and equipment</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Pr>
                <w:rFonts w:eastAsiaTheme="minorEastAsia"/>
                <w:sz w:val="19"/>
                <w:lang w:eastAsia="en-AU"/>
              </w:rPr>
              <w:t>17, 18</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109 633.6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111 780.6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113 878.7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124 523.0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124 768.3</w:t>
            </w:r>
          </w:p>
        </w:tc>
      </w:tr>
      <w:tr w:rsidR="00B03921" w:rsidRPr="005C543F" w:rsidTr="00016914">
        <w:tc>
          <w:tcPr>
            <w:tcW w:w="256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Other non-financial assets</w:t>
            </w:r>
          </w:p>
        </w:tc>
        <w:tc>
          <w:tcPr>
            <w:tcW w:w="740" w:type="dxa"/>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19</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1 208.5</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1 147.4</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1 113.8</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950.6</w:t>
            </w:r>
          </w:p>
        </w:tc>
        <w:tc>
          <w:tcPr>
            <w:tcW w:w="892"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877.3</w:t>
            </w:r>
          </w:p>
        </w:tc>
      </w:tr>
      <w:tr w:rsidR="00B03921" w:rsidRPr="005C543F" w:rsidTr="00016914">
        <w:tc>
          <w:tcPr>
            <w:tcW w:w="256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Total non-financial assets</w:t>
            </w:r>
          </w:p>
        </w:tc>
        <w:tc>
          <w:tcPr>
            <w:tcW w:w="74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111 125.6</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113 214.9</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115 282.9</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125 768.5</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125 944.9</w:t>
            </w:r>
          </w:p>
        </w:tc>
      </w:tr>
      <w:tr w:rsidR="00B03921" w:rsidRPr="005C543F" w:rsidTr="00016914">
        <w:tc>
          <w:tcPr>
            <w:tcW w:w="2560" w:type="dxa"/>
            <w:tcBorders>
              <w:top w:val="single" w:sz="6" w:space="0" w:color="000000"/>
              <w:left w:val="nil"/>
              <w:bottom w:val="nil"/>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Total assets</w:t>
            </w:r>
          </w:p>
        </w:tc>
        <w:tc>
          <w:tcPr>
            <w:tcW w:w="740" w:type="dxa"/>
            <w:tcBorders>
              <w:top w:val="single" w:sz="6" w:space="0" w:color="000000"/>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20d</w:t>
            </w:r>
          </w:p>
        </w:tc>
        <w:tc>
          <w:tcPr>
            <w:tcW w:w="892"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209 146.3</w:t>
            </w:r>
          </w:p>
        </w:tc>
        <w:tc>
          <w:tcPr>
            <w:tcW w:w="892"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211 591.2</w:t>
            </w:r>
          </w:p>
        </w:tc>
        <w:tc>
          <w:tcPr>
            <w:tcW w:w="892"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215 676.4</w:t>
            </w:r>
          </w:p>
        </w:tc>
        <w:tc>
          <w:tcPr>
            <w:tcW w:w="892"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227 326.2</w:t>
            </w:r>
          </w:p>
        </w:tc>
        <w:tc>
          <w:tcPr>
            <w:tcW w:w="892"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230 007.5</w:t>
            </w:r>
          </w:p>
        </w:tc>
      </w:tr>
      <w:tr w:rsidR="00355F9B" w:rsidRPr="005C543F" w:rsidTr="00016914">
        <w:tc>
          <w:tcPr>
            <w:tcW w:w="7760" w:type="dxa"/>
            <w:gridSpan w:val="7"/>
            <w:tcBorders>
              <w:top w:val="nil"/>
              <w:left w:val="nil"/>
              <w:bottom w:val="nil"/>
              <w:right w:val="nil"/>
            </w:tcBorders>
            <w:shd w:val="solid" w:color="FFFFFF" w:fill="auto"/>
          </w:tcPr>
          <w:p w:rsidR="00355F9B" w:rsidRPr="005C543F" w:rsidRDefault="00355F9B" w:rsidP="00355F9B">
            <w:pPr>
              <w:pStyle w:val="Tabletext"/>
              <w:rPr>
                <w:rFonts w:eastAsiaTheme="minorEastAsia"/>
                <w:b/>
                <w:bCs/>
                <w:sz w:val="19"/>
                <w:lang w:eastAsia="en-AU"/>
              </w:rPr>
            </w:pPr>
            <w:r w:rsidRPr="005C543F">
              <w:rPr>
                <w:rFonts w:eastAsiaTheme="minorEastAsia"/>
                <w:b/>
                <w:bCs/>
                <w:sz w:val="19"/>
                <w:lang w:eastAsia="en-AU"/>
              </w:rPr>
              <w:t>Liabilities</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Deposits held and advances received</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426.4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426.3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426.2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426.1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426.1</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Payables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21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5 864.2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5 593.9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5 510.5</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5 433.1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5 209.3</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Borrowings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22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33 333.4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29 248.7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32 021.2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32 667.2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33 525.0</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Employee benefits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23</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5 519.7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5 766.8</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6 008.9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6 255.6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6 498.7</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Superannuation</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7d</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30 752.2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29 808.9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28 668.9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28 057.1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27 024.8</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Other provisions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sz w:val="19"/>
                <w:lang w:eastAsia="en-AU"/>
              </w:rPr>
              <w:t>1 261.7</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664.9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685.8</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709.9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738.5</w:t>
            </w:r>
          </w:p>
        </w:tc>
      </w:tr>
      <w:tr w:rsidR="00B03921" w:rsidRPr="005C543F" w:rsidTr="00016914">
        <w:tc>
          <w:tcPr>
            <w:tcW w:w="256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Total liabilities</w:t>
            </w:r>
          </w:p>
        </w:tc>
        <w:tc>
          <w:tcPr>
            <w:tcW w:w="74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77 157.6</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71 509.6</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73 321.5</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73 549.1</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73 422.3</w:t>
            </w:r>
          </w:p>
        </w:tc>
      </w:tr>
      <w:tr w:rsidR="00B03921" w:rsidRPr="005C543F" w:rsidTr="00016914">
        <w:tc>
          <w:tcPr>
            <w:tcW w:w="256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Net assets</w:t>
            </w:r>
          </w:p>
        </w:tc>
        <w:tc>
          <w:tcPr>
            <w:tcW w:w="74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131 988.7</w:t>
            </w:r>
          </w:p>
        </w:tc>
        <w:tc>
          <w:tcPr>
            <w:tcW w:w="89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140 081.7</w:t>
            </w:r>
          </w:p>
        </w:tc>
        <w:tc>
          <w:tcPr>
            <w:tcW w:w="89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142 354.8</w:t>
            </w:r>
          </w:p>
        </w:tc>
        <w:tc>
          <w:tcPr>
            <w:tcW w:w="89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153 777.1</w:t>
            </w:r>
          </w:p>
        </w:tc>
        <w:tc>
          <w:tcPr>
            <w:tcW w:w="89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156 585.1</w:t>
            </w:r>
          </w:p>
        </w:tc>
      </w:tr>
      <w:tr w:rsidR="00B03921" w:rsidRPr="005C543F" w:rsidTr="00016914">
        <w:tc>
          <w:tcPr>
            <w:tcW w:w="2560" w:type="dxa"/>
            <w:tcBorders>
              <w:top w:val="single" w:sz="12" w:space="0" w:color="000000"/>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Accumulated surplus/(deficit)</w:t>
            </w:r>
          </w:p>
        </w:tc>
        <w:tc>
          <w:tcPr>
            <w:tcW w:w="740" w:type="dxa"/>
            <w:tcBorders>
              <w:top w:val="single" w:sz="12" w:space="0" w:color="000000"/>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39 828.6</w:t>
            </w:r>
          </w:p>
        </w:tc>
        <w:tc>
          <w:tcPr>
            <w:tcW w:w="892"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47 152.0</w:t>
            </w:r>
          </w:p>
        </w:tc>
        <w:tc>
          <w:tcPr>
            <w:tcW w:w="892"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49 274.5</w:t>
            </w:r>
          </w:p>
        </w:tc>
        <w:tc>
          <w:tcPr>
            <w:tcW w:w="892"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51 402.0</w:t>
            </w:r>
          </w:p>
        </w:tc>
        <w:tc>
          <w:tcPr>
            <w:tcW w:w="892" w:type="dxa"/>
            <w:tcBorders>
              <w:top w:val="single" w:sz="12" w:space="0" w:color="000000"/>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54 027.3</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Reserves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24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92 110.2</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92 879.6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93 030.4</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102 325.0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102 507.8</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Non-controlling interest</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50.0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50.0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50.0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50.0</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 xml:space="preserve"> 50.0</w:t>
            </w:r>
          </w:p>
        </w:tc>
      </w:tr>
      <w:tr w:rsidR="00B03921" w:rsidRPr="005C543F" w:rsidTr="00016914">
        <w:tc>
          <w:tcPr>
            <w:tcW w:w="256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Net worth</w:t>
            </w:r>
          </w:p>
        </w:tc>
        <w:tc>
          <w:tcPr>
            <w:tcW w:w="74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131 988.7</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140 081.7</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142 354.8</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153 777.1</w:t>
            </w:r>
          </w:p>
        </w:tc>
        <w:tc>
          <w:tcPr>
            <w:tcW w:w="89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sz w:val="19"/>
                <w:lang w:eastAsia="en-AU"/>
              </w:rPr>
            </w:pPr>
            <w:r w:rsidRPr="005C543F">
              <w:rPr>
                <w:rFonts w:eastAsiaTheme="minorEastAsia"/>
                <w:b/>
                <w:bCs/>
                <w:sz w:val="19"/>
                <w:lang w:eastAsia="en-AU"/>
              </w:rPr>
              <w:t>156 585.1</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sz w:val="19"/>
                <w:lang w:eastAsia="en-AU"/>
              </w:rPr>
            </w:pPr>
            <w:r w:rsidRPr="005C543F">
              <w:rPr>
                <w:rFonts w:eastAsiaTheme="minorEastAsia"/>
                <w:b/>
                <w:bCs/>
                <w:sz w:val="19"/>
                <w:lang w:eastAsia="en-AU"/>
              </w:rPr>
              <w:t>FISCAL AGGREGATES</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sz w:val="19"/>
                <w:lang w:eastAsia="en-AU"/>
              </w:rPr>
            </w:pPr>
            <w:r w:rsidRPr="005C543F">
              <w:rPr>
                <w:rFonts w:eastAsiaTheme="minorEastAsia"/>
                <w:b/>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sz w:val="19"/>
                <w:lang w:eastAsia="en-AU"/>
              </w:rPr>
            </w:pPr>
            <w:r w:rsidRPr="005C543F">
              <w:rPr>
                <w:rFonts w:eastAsiaTheme="minorEastAsia"/>
                <w:b/>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sz w:val="19"/>
                <w:lang w:eastAsia="en-AU"/>
              </w:rPr>
            </w:pPr>
            <w:r w:rsidRPr="005C543F">
              <w:rPr>
                <w:rFonts w:eastAsiaTheme="minorEastAsia"/>
                <w:b/>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sz w:val="19"/>
                <w:lang w:eastAsia="en-AU"/>
              </w:rPr>
            </w:pPr>
            <w:r w:rsidRPr="005C543F">
              <w:rPr>
                <w:rFonts w:eastAsiaTheme="minorEastAsia"/>
                <w:b/>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sz w:val="19"/>
                <w:lang w:eastAsia="en-AU"/>
              </w:rPr>
            </w:pPr>
            <w:r w:rsidRPr="005C543F">
              <w:rPr>
                <w:rFonts w:eastAsiaTheme="minorEastAsia"/>
                <w:b/>
                <w:sz w:val="19"/>
                <w:lang w:eastAsia="en-AU"/>
              </w:rPr>
              <w:t xml:space="preserve"> </w:t>
            </w:r>
          </w:p>
        </w:tc>
      </w:tr>
      <w:tr w:rsidR="00B03921" w:rsidRPr="005C543F" w:rsidTr="00016914">
        <w:tc>
          <w:tcPr>
            <w:tcW w:w="2560" w:type="dxa"/>
            <w:tcBorders>
              <w:top w:val="nil"/>
              <w:left w:val="nil"/>
              <w:bottom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Net financial worth</w:t>
            </w:r>
          </w:p>
        </w:tc>
        <w:tc>
          <w:tcPr>
            <w:tcW w:w="740"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20 863.1</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26 866.8</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27 071.9</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28 008.6</w:t>
            </w:r>
          </w:p>
        </w:tc>
        <w:tc>
          <w:tcPr>
            <w:tcW w:w="89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30 640.2</w:t>
            </w:r>
          </w:p>
        </w:tc>
      </w:tr>
      <w:tr w:rsidR="00B03921" w:rsidRPr="005C543F" w:rsidTr="00016914">
        <w:tc>
          <w:tcPr>
            <w:tcW w:w="2560" w:type="dxa"/>
            <w:tcBorders>
              <w:top w:val="nil"/>
              <w:left w:val="nil"/>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Net financial liabilities</w:t>
            </w:r>
          </w:p>
        </w:tc>
        <w:tc>
          <w:tcPr>
            <w:tcW w:w="740" w:type="dxa"/>
            <w:tcBorders>
              <w:top w:val="nil"/>
              <w:left w:val="nil"/>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59 583.7</w:t>
            </w:r>
          </w:p>
        </w:tc>
        <w:tc>
          <w:tcPr>
            <w:tcW w:w="892" w:type="dxa"/>
            <w:tcBorders>
              <w:top w:val="nil"/>
              <w:left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53 830.6</w:t>
            </w:r>
          </w:p>
        </w:tc>
        <w:tc>
          <w:tcPr>
            <w:tcW w:w="892" w:type="dxa"/>
            <w:tcBorders>
              <w:top w:val="nil"/>
              <w:left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55 263.8</w:t>
            </w:r>
          </w:p>
        </w:tc>
        <w:tc>
          <w:tcPr>
            <w:tcW w:w="892" w:type="dxa"/>
            <w:tcBorders>
              <w:top w:val="nil"/>
              <w:left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54 985.5</w:t>
            </w:r>
          </w:p>
        </w:tc>
        <w:tc>
          <w:tcPr>
            <w:tcW w:w="892" w:type="dxa"/>
            <w:tcBorders>
              <w:top w:val="nil"/>
              <w:left w:val="nil"/>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54 265.7</w:t>
            </w:r>
          </w:p>
        </w:tc>
      </w:tr>
      <w:tr w:rsidR="00B03921" w:rsidRPr="005C543F" w:rsidTr="00016914">
        <w:tc>
          <w:tcPr>
            <w:tcW w:w="2560" w:type="dxa"/>
            <w:tcBorders>
              <w:top w:val="nil"/>
              <w:left w:val="nil"/>
              <w:bottom w:val="single" w:sz="12" w:space="0" w:color="000000"/>
              <w:right w:val="nil"/>
            </w:tcBorders>
            <w:shd w:val="solid" w:color="FFFFFF" w:fill="auto"/>
          </w:tcPr>
          <w:p w:rsidR="00B03921" w:rsidRPr="005C543F" w:rsidRDefault="00B03921" w:rsidP="00016914">
            <w:pPr>
              <w:pStyle w:val="Tabletext"/>
              <w:rPr>
                <w:rFonts w:eastAsiaTheme="minorEastAsia"/>
                <w:sz w:val="19"/>
                <w:lang w:eastAsia="en-AU"/>
              </w:rPr>
            </w:pPr>
            <w:r w:rsidRPr="005C543F">
              <w:rPr>
                <w:rFonts w:eastAsiaTheme="minorEastAsia"/>
                <w:sz w:val="19"/>
                <w:lang w:eastAsia="en-AU"/>
              </w:rPr>
              <w:t>Net debt</w:t>
            </w:r>
          </w:p>
        </w:tc>
        <w:tc>
          <w:tcPr>
            <w:tcW w:w="740" w:type="dxa"/>
            <w:tcBorders>
              <w:top w:val="nil"/>
              <w:left w:val="nil"/>
              <w:bottom w:val="single" w:sz="12" w:space="0" w:color="000000"/>
              <w:right w:val="nil"/>
            </w:tcBorders>
            <w:shd w:val="solid" w:color="FFFFFF" w:fill="auto"/>
          </w:tcPr>
          <w:p w:rsidR="00B03921" w:rsidRPr="005C543F" w:rsidRDefault="00B03921" w:rsidP="00016914">
            <w:pPr>
              <w:pStyle w:val="Tabletextcentred"/>
              <w:rPr>
                <w:rFonts w:eastAsiaTheme="minorEastAsia"/>
                <w:sz w:val="19"/>
                <w:lang w:eastAsia="en-AU"/>
              </w:rPr>
            </w:pPr>
            <w:r w:rsidRPr="005C543F">
              <w:rPr>
                <w:rFonts w:eastAsiaTheme="minorEastAsia"/>
                <w:sz w:val="19"/>
                <w:lang w:eastAsia="en-AU"/>
              </w:rPr>
              <w:t xml:space="preserve"> </w:t>
            </w:r>
          </w:p>
        </w:tc>
        <w:tc>
          <w:tcPr>
            <w:tcW w:w="892"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21 240.0</w:t>
            </w:r>
          </w:p>
        </w:tc>
        <w:tc>
          <w:tcPr>
            <w:tcW w:w="892"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16 897.8</w:t>
            </w:r>
          </w:p>
        </w:tc>
        <w:tc>
          <w:tcPr>
            <w:tcW w:w="892"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19 259.0</w:t>
            </w:r>
          </w:p>
        </w:tc>
        <w:tc>
          <w:tcPr>
            <w:tcW w:w="892"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19 450.2</w:t>
            </w:r>
          </w:p>
        </w:tc>
        <w:tc>
          <w:tcPr>
            <w:tcW w:w="892"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sz w:val="19"/>
                <w:lang w:eastAsia="en-AU"/>
              </w:rPr>
            </w:pPr>
            <w:r w:rsidRPr="005C543F">
              <w:rPr>
                <w:rFonts w:eastAsiaTheme="minorEastAsia"/>
                <w:sz w:val="19"/>
                <w:lang w:eastAsia="en-AU"/>
              </w:rPr>
              <w:t>19 834.7</w:t>
            </w:r>
          </w:p>
        </w:tc>
      </w:tr>
    </w:tbl>
    <w:p w:rsidR="00B03921" w:rsidRDefault="00B03921" w:rsidP="00016914">
      <w:pPr>
        <w:pStyle w:val="Source"/>
      </w:pPr>
      <w:r w:rsidRPr="002B6E58">
        <w:t>The accompanying notes form part of these Estim</w:t>
      </w:r>
      <w:r>
        <w:t>ated Financial Statements.</w:t>
      </w:r>
    </w:p>
    <w:p w:rsidR="00B03921" w:rsidRDefault="00B03921" w:rsidP="00016914"/>
    <w:p w:rsidR="00B03921" w:rsidRDefault="00B03921" w:rsidP="00016914">
      <w:r>
        <w:br w:type="page"/>
      </w:r>
    </w:p>
    <w:p w:rsidR="00B03921" w:rsidRDefault="00B03921" w:rsidP="00016914">
      <w:pPr>
        <w:pStyle w:val="Tableheading"/>
      </w:pPr>
      <w:r>
        <w:lastRenderedPageBreak/>
        <w:t>Table 1.3:</w:t>
      </w:r>
      <w:r>
        <w:tab/>
      </w:r>
      <w:r w:rsidRPr="002B6E58">
        <w:t>Estimated general government sector cash</w:t>
      </w:r>
      <w:r>
        <w:t xml:space="preserve"> </w:t>
      </w:r>
      <w:r w:rsidRPr="002B6E58">
        <w:t xml:space="preserve">flow statement for the </w:t>
      </w:r>
      <w:r>
        <w:br/>
      </w:r>
      <w:r w:rsidRPr="002B6E58">
        <w:t>fi</w:t>
      </w:r>
      <w:r>
        <w:t>nancial year ending 30 June</w:t>
      </w:r>
    </w:p>
    <w:p w:rsidR="00B03921" w:rsidRPr="005C543F" w:rsidRDefault="00B03921" w:rsidP="00016914">
      <w:pPr>
        <w:pStyle w:val="million"/>
        <w:rPr>
          <w:rFonts w:ascii="Times New Roman" w:hAnsi="Times New Roman"/>
          <w:i w:val="0"/>
          <w:sz w:val="20"/>
          <w:szCs w:val="20"/>
          <w:lang w:eastAsia="en-AU"/>
        </w:rPr>
      </w:pPr>
      <w:r>
        <w:t>($ million)</w:t>
      </w:r>
      <w:r w:rsidRPr="00472927">
        <w:t xml:space="preserve"> </w:t>
      </w:r>
    </w:p>
    <w:tbl>
      <w:tblPr>
        <w:tblW w:w="7806" w:type="dxa"/>
        <w:tblInd w:w="28" w:type="dxa"/>
        <w:tblLayout w:type="fixed"/>
        <w:tblCellMar>
          <w:left w:w="45" w:type="dxa"/>
          <w:right w:w="45" w:type="dxa"/>
        </w:tblCellMar>
        <w:tblLook w:val="0000" w:firstRow="0" w:lastRow="0" w:firstColumn="0" w:lastColumn="0" w:noHBand="0" w:noVBand="0"/>
      </w:tblPr>
      <w:tblGrid>
        <w:gridCol w:w="3109"/>
        <w:gridCol w:w="6"/>
        <w:gridCol w:w="280"/>
        <w:gridCol w:w="142"/>
        <w:gridCol w:w="247"/>
        <w:gridCol w:w="994"/>
        <w:gridCol w:w="994"/>
        <w:gridCol w:w="994"/>
        <w:gridCol w:w="994"/>
        <w:gridCol w:w="46"/>
      </w:tblGrid>
      <w:tr w:rsidR="00B03921" w:rsidRPr="005C543F" w:rsidTr="008224DF">
        <w:trPr>
          <w:gridAfter w:val="1"/>
          <w:wAfter w:w="46" w:type="dxa"/>
          <w:tblHeader/>
        </w:trPr>
        <w:tc>
          <w:tcPr>
            <w:tcW w:w="3108"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676" w:type="dxa"/>
            <w:gridSpan w:val="4"/>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centred"/>
              <w:rPr>
                <w:rFonts w:eastAsiaTheme="minorEastAsia"/>
                <w:lang w:eastAsia="en-AU"/>
              </w:rPr>
            </w:pPr>
            <w:r>
              <w:rPr>
                <w:rFonts w:eastAsiaTheme="minorEastAsia"/>
                <w:lang w:eastAsia="en-AU"/>
              </w:rPr>
              <w:br/>
            </w:r>
            <w:r w:rsidRPr="005C543F">
              <w:rPr>
                <w:rFonts w:eastAsiaTheme="minorEastAsia"/>
                <w:lang w:eastAsia="en-AU"/>
              </w:rPr>
              <w:t>Notes</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355F9B" w:rsidRPr="005C543F" w:rsidTr="00016914">
        <w:tc>
          <w:tcPr>
            <w:tcW w:w="7806" w:type="dxa"/>
            <w:gridSpan w:val="10"/>
            <w:tcBorders>
              <w:top w:val="single" w:sz="6" w:space="0" w:color="auto"/>
              <w:left w:val="nil"/>
              <w:bottom w:val="nil"/>
              <w:right w:val="nil"/>
            </w:tcBorders>
            <w:shd w:val="solid" w:color="FFFFFF" w:fill="auto"/>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Cash flows from operating activities</w:t>
            </w:r>
          </w:p>
        </w:tc>
      </w:tr>
      <w:tr w:rsidR="00355F9B" w:rsidRPr="005C543F" w:rsidTr="00016914">
        <w:trPr>
          <w:gridAfter w:val="1"/>
          <w:wAfter w:w="46" w:type="dxa"/>
        </w:trPr>
        <w:tc>
          <w:tcPr>
            <w:tcW w:w="7760" w:type="dxa"/>
            <w:gridSpan w:val="9"/>
            <w:tcBorders>
              <w:top w:val="nil"/>
              <w:left w:val="nil"/>
              <w:bottom w:val="nil"/>
              <w:right w:val="nil"/>
            </w:tcBorders>
            <w:shd w:val="solid" w:color="FFFFFF" w:fill="auto"/>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Receipts</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Taxes received</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19 007.3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19 736.0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20 254.6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21 193.0</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25 668.3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26 089.6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27 507.6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28 605.4</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Sales of goods and services</w:t>
            </w:r>
            <w:r w:rsidRPr="005C543F">
              <w:rPr>
                <w:rFonts w:eastAsiaTheme="minorEastAsia"/>
                <w:vertAlign w:val="superscript"/>
                <w:lang w:eastAsia="en-AU"/>
              </w:rPr>
              <w:t>(a)</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7 531.3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7 730.4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7 811.0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7 667.2</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received</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845.3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849.5</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Dividends and income tax </w:t>
            </w:r>
            <w:r>
              <w:rPr>
                <w:rFonts w:eastAsiaTheme="minorEastAsia"/>
                <w:lang w:eastAsia="en-AU"/>
              </w:rPr>
              <w:t>equivalent and rate equivalent receipts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1 143.5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1 009.1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1 014.4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991.2</w:t>
            </w:r>
          </w:p>
        </w:tc>
      </w:tr>
      <w:tr w:rsidR="00B03921" w:rsidRPr="005C543F" w:rsidTr="008224DF">
        <w:trPr>
          <w:gridAfter w:val="1"/>
          <w:wAfter w:w="46" w:type="dxa"/>
        </w:trPr>
        <w:tc>
          <w:tcPr>
            <w:tcW w:w="3108"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receipts</w:t>
            </w:r>
          </w:p>
        </w:tc>
        <w:tc>
          <w:tcPr>
            <w:tcW w:w="676" w:type="dxa"/>
            <w:gridSpan w:val="4"/>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1 741.4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1 821.8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1 811.9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1 850.4</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receipts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55 903.6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57 222.3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59 244.9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61 156.8</w:t>
            </w:r>
          </w:p>
        </w:tc>
      </w:tr>
      <w:tr w:rsidR="00355F9B" w:rsidRPr="005C543F" w:rsidTr="00016914">
        <w:trPr>
          <w:gridAfter w:val="1"/>
          <w:wAfter w:w="46" w:type="dxa"/>
        </w:trPr>
        <w:tc>
          <w:tcPr>
            <w:tcW w:w="7760" w:type="dxa"/>
            <w:gridSpan w:val="9"/>
            <w:tcBorders>
              <w:top w:val="nil"/>
              <w:left w:val="nil"/>
              <w:bottom w:val="nil"/>
              <w:right w:val="nil"/>
            </w:tcBorders>
            <w:shd w:val="solid" w:color="FFFFFF" w:fill="auto"/>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Payments</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Payments for employees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(19 657.1)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(20 326.8)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(21 245.6)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(22 103.6)</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Superannuation</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(2 969.0)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(3 111.6)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(2 537.9)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(2 915.0)</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paid</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(2 058.6)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(2 062.7)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(2 126.3)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(2 081.8)</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 and subsidies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(8 748.0)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(9 233.7)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(9 503.0)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(9 805.0)</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Goods and services</w:t>
            </w:r>
            <w:r w:rsidRPr="005C543F">
              <w:rPr>
                <w:rFonts w:eastAsiaTheme="minorEastAsia"/>
                <w:vertAlign w:val="superscript"/>
                <w:lang w:eastAsia="en-AU"/>
              </w:rPr>
              <w:t>(a)</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(18 055.5)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(17 941.0)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(18 540.7)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(18 868.5)</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payments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(660.5)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(690.0)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(721.0)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(749.1)</w:t>
            </w:r>
          </w:p>
        </w:tc>
      </w:tr>
      <w:tr w:rsidR="00B03921" w:rsidRPr="005C543F" w:rsidTr="008224DF">
        <w:trPr>
          <w:gridAfter w:val="1"/>
          <w:wAfter w:w="46" w:type="dxa"/>
        </w:trPr>
        <w:tc>
          <w:tcPr>
            <w:tcW w:w="3108"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payments</w:t>
            </w:r>
          </w:p>
        </w:tc>
        <w:tc>
          <w:tcPr>
            <w:tcW w:w="676" w:type="dxa"/>
            <w:gridSpan w:val="4"/>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(52 148.7)</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(53 365.8)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(54 674.4)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(56 523.0)</w:t>
            </w:r>
          </w:p>
        </w:tc>
      </w:tr>
      <w:tr w:rsidR="00B03921" w:rsidRPr="005C543F" w:rsidTr="008224DF">
        <w:trPr>
          <w:gridAfter w:val="1"/>
          <w:wAfter w:w="46" w:type="dxa"/>
        </w:trPr>
        <w:tc>
          <w:tcPr>
            <w:tcW w:w="3398" w:type="dxa"/>
            <w:gridSpan w:val="3"/>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cash flows from operating activities</w:t>
            </w:r>
          </w:p>
        </w:tc>
        <w:tc>
          <w:tcPr>
            <w:tcW w:w="386" w:type="dxa"/>
            <w:gridSpan w:val="2"/>
            <w:tcBorders>
              <w:top w:val="nil"/>
              <w:left w:val="nil"/>
              <w:bottom w:val="nil"/>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3 754.9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3 856.5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4 570.4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4 633.8</w:t>
            </w:r>
          </w:p>
        </w:tc>
      </w:tr>
      <w:tr w:rsidR="00355F9B" w:rsidRPr="005C543F" w:rsidTr="00016914">
        <w:trPr>
          <w:gridAfter w:val="1"/>
          <w:wAfter w:w="46" w:type="dxa"/>
        </w:trPr>
        <w:tc>
          <w:tcPr>
            <w:tcW w:w="7760" w:type="dxa"/>
            <w:gridSpan w:val="9"/>
            <w:tcBorders>
              <w:top w:val="nil"/>
              <w:left w:val="nil"/>
              <w:bottom w:val="nil"/>
              <w:right w:val="nil"/>
            </w:tcBorders>
            <w:shd w:val="solid" w:color="FFFFFF" w:fill="auto"/>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Cash flows from investing activities</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Purchase of non-financial assets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20a, b</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(4 551.7)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(6 166.9)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(5 663.1)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(5 194.3)</w:t>
            </w:r>
          </w:p>
        </w:tc>
      </w:tr>
      <w:tr w:rsidR="00B03921" w:rsidRPr="005C543F" w:rsidTr="008224DF">
        <w:trPr>
          <w:gridAfter w:val="1"/>
          <w:wAfter w:w="46" w:type="dxa"/>
        </w:trPr>
        <w:tc>
          <w:tcPr>
            <w:tcW w:w="3108"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Sales of non-financial assets</w:t>
            </w:r>
          </w:p>
        </w:tc>
        <w:tc>
          <w:tcPr>
            <w:tcW w:w="676" w:type="dxa"/>
            <w:gridSpan w:val="4"/>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322.0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554.1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489.9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294.0</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Cash flows from investments in non-financial assets</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(4 229.7)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(5 612.7)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(5 173.2)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(4 900.3)</w:t>
            </w:r>
          </w:p>
        </w:tc>
      </w:tr>
      <w:tr w:rsidR="00B03921" w:rsidRPr="005C543F" w:rsidTr="008224DF">
        <w:trPr>
          <w:gridAfter w:val="1"/>
          <w:wAfter w:w="46" w:type="dxa"/>
        </w:trPr>
        <w:tc>
          <w:tcPr>
            <w:tcW w:w="3118" w:type="dxa"/>
            <w:gridSpan w:val="2"/>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cash flows from investments in financial assets for policy purposes</w:t>
            </w:r>
          </w:p>
        </w:tc>
        <w:tc>
          <w:tcPr>
            <w:tcW w:w="666" w:type="dxa"/>
            <w:gridSpan w:val="3"/>
            <w:tcBorders>
              <w:top w:val="nil"/>
              <w:left w:val="nil"/>
              <w:bottom w:val="single" w:sz="6" w:space="0" w:color="000000"/>
              <w:right w:val="nil"/>
            </w:tcBorders>
            <w:shd w:val="solid" w:color="FFFFFF" w:fill="auto"/>
          </w:tcPr>
          <w:p w:rsidR="00B03921" w:rsidRPr="005C543F" w:rsidRDefault="00E02FE5" w:rsidP="00016914">
            <w:pPr>
              <w:pStyle w:val="Tabletextcentred"/>
              <w:rPr>
                <w:rFonts w:eastAsiaTheme="minorEastAsia"/>
                <w:lang w:eastAsia="en-AU"/>
              </w:rPr>
            </w:pPr>
            <w:r>
              <w:rPr>
                <w:rFonts w:eastAsiaTheme="minorEastAsia"/>
                <w:lang w:eastAsia="en-AU"/>
              </w:rPr>
              <w:t>1H</w:t>
            </w:r>
            <w:r w:rsidR="00B03921"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6 510.8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(150.5)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1 110.8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(69.3)</w:t>
            </w:r>
          </w:p>
        </w:tc>
      </w:tr>
      <w:tr w:rsidR="00B03921" w:rsidRPr="005C543F" w:rsidTr="008224DF">
        <w:trPr>
          <w:gridAfter w:val="1"/>
          <w:wAfter w:w="46" w:type="dxa"/>
        </w:trPr>
        <w:tc>
          <w:tcPr>
            <w:tcW w:w="3108"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Subtotal</w:t>
            </w:r>
          </w:p>
        </w:tc>
        <w:tc>
          <w:tcPr>
            <w:tcW w:w="676"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2 281.1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(5 763.2)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(4 062.4)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(4 969.5)</w:t>
            </w:r>
          </w:p>
        </w:tc>
      </w:tr>
      <w:tr w:rsidR="00B03921" w:rsidRPr="005C543F" w:rsidTr="008224DF">
        <w:trPr>
          <w:gridAfter w:val="1"/>
          <w:wAfter w:w="46" w:type="dxa"/>
        </w:trPr>
        <w:tc>
          <w:tcPr>
            <w:tcW w:w="3108"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cash flows from investment in financial assets for liquidity management purposes</w:t>
            </w:r>
          </w:p>
        </w:tc>
        <w:tc>
          <w:tcPr>
            <w:tcW w:w="676" w:type="dxa"/>
            <w:gridSpan w:val="4"/>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(82.6)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(124.6)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(129.1)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(128.7)</w:t>
            </w:r>
          </w:p>
        </w:tc>
      </w:tr>
      <w:tr w:rsidR="00B03921" w:rsidRPr="005C543F" w:rsidTr="008224DF">
        <w:trPr>
          <w:gridAfter w:val="1"/>
          <w:wAfter w:w="46" w:type="dxa"/>
        </w:trPr>
        <w:tc>
          <w:tcPr>
            <w:tcW w:w="3540" w:type="dxa"/>
            <w:gridSpan w:val="4"/>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cash flows from investing activities</w:t>
            </w:r>
          </w:p>
        </w:tc>
        <w:tc>
          <w:tcPr>
            <w:tcW w:w="244"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2 198.5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(5 887.8)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(4 191.5)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(5 098.2)</w:t>
            </w:r>
          </w:p>
        </w:tc>
      </w:tr>
      <w:tr w:rsidR="00355F9B" w:rsidRPr="005C543F" w:rsidTr="00016914">
        <w:trPr>
          <w:gridAfter w:val="1"/>
          <w:wAfter w:w="46" w:type="dxa"/>
        </w:trPr>
        <w:tc>
          <w:tcPr>
            <w:tcW w:w="7760" w:type="dxa"/>
            <w:gridSpan w:val="9"/>
            <w:tcBorders>
              <w:top w:val="nil"/>
              <w:left w:val="nil"/>
              <w:bottom w:val="nil"/>
              <w:right w:val="nil"/>
            </w:tcBorders>
            <w:shd w:val="solid" w:color="FFFFFF" w:fill="auto"/>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Cash flows from financing activities</w:t>
            </w:r>
          </w:p>
        </w:tc>
      </w:tr>
      <w:tr w:rsidR="00B03921" w:rsidRPr="005C543F" w:rsidTr="008224DF">
        <w:trPr>
          <w:gridAfter w:val="1"/>
          <w:wAfter w:w="46" w:type="dxa"/>
        </w:trPr>
        <w:tc>
          <w:tcPr>
            <w:tcW w:w="311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borrowings</w:t>
            </w:r>
          </w:p>
        </w:tc>
        <w:tc>
          <w:tcPr>
            <w:tcW w:w="673"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(5 755.7)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2 350.1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852.0</w:t>
            </w:r>
          </w:p>
        </w:tc>
      </w:tr>
      <w:tr w:rsidR="00B03921" w:rsidRPr="005C543F" w:rsidTr="008224DF">
        <w:trPr>
          <w:gridAfter w:val="1"/>
          <w:wAfter w:w="46" w:type="dxa"/>
        </w:trPr>
        <w:tc>
          <w:tcPr>
            <w:tcW w:w="311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Deposits received (net)</w:t>
            </w:r>
          </w:p>
        </w:tc>
        <w:tc>
          <w:tcPr>
            <w:tcW w:w="673" w:type="dxa"/>
            <w:gridSpan w:val="4"/>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5C543F" w:rsidTr="008224DF">
        <w:trPr>
          <w:gridAfter w:val="1"/>
          <w:wAfter w:w="46" w:type="dxa"/>
        </w:trPr>
        <w:tc>
          <w:tcPr>
            <w:tcW w:w="3111"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Net cash flows from financing activities</w:t>
            </w:r>
          </w:p>
        </w:tc>
        <w:tc>
          <w:tcPr>
            <w:tcW w:w="673" w:type="dxa"/>
            <w:gridSpan w:val="4"/>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(5 755.8)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2 350.0</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(13.6)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851.9</w:t>
            </w:r>
          </w:p>
        </w:tc>
      </w:tr>
    </w:tbl>
    <w:p w:rsidR="008224DF" w:rsidRDefault="008224DF" w:rsidP="00355F9B">
      <w:pPr>
        <w:pStyle w:val="Tableheadingcontinued"/>
      </w:pPr>
    </w:p>
    <w:p w:rsidR="008224DF" w:rsidRDefault="008224DF">
      <w:pPr>
        <w:spacing w:after="0"/>
        <w:rPr>
          <w:rFonts w:ascii="Calibri" w:hAnsi="Calibri"/>
          <w:b/>
        </w:rPr>
      </w:pPr>
      <w:r>
        <w:br w:type="page"/>
      </w:r>
    </w:p>
    <w:p w:rsidR="00355F9B" w:rsidRDefault="00355F9B" w:rsidP="00355F9B">
      <w:pPr>
        <w:pStyle w:val="Tableheadingcontinued"/>
      </w:pPr>
      <w:r>
        <w:lastRenderedPageBreak/>
        <w:t>Table 1.3:</w:t>
      </w:r>
      <w:r>
        <w:tab/>
        <w:t xml:space="preserve">Estimated general government sector cash flow statement for the </w:t>
      </w:r>
      <w:r>
        <w:br/>
        <w:t xml:space="preserve">financial year ending 30 June </w:t>
      </w:r>
      <w:r w:rsidRPr="00355F9B">
        <w:rPr>
          <w:i/>
        </w:rPr>
        <w:t>(continued)</w:t>
      </w:r>
    </w:p>
    <w:p w:rsidR="00355F9B" w:rsidRDefault="00355F9B" w:rsidP="00355F9B">
      <w:pPr>
        <w:pStyle w:val="million"/>
      </w:pPr>
      <w: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044"/>
        <w:gridCol w:w="277"/>
        <w:gridCol w:w="463"/>
        <w:gridCol w:w="994"/>
        <w:gridCol w:w="994"/>
        <w:gridCol w:w="994"/>
        <w:gridCol w:w="994"/>
      </w:tblGrid>
      <w:tr w:rsidR="00355F9B" w:rsidRPr="005C543F" w:rsidTr="00355F9B">
        <w:trPr>
          <w:tblHeader/>
        </w:trPr>
        <w:tc>
          <w:tcPr>
            <w:tcW w:w="3044" w:type="dxa"/>
            <w:tcBorders>
              <w:top w:val="single" w:sz="6" w:space="0" w:color="auto"/>
              <w:left w:val="single" w:sz="6" w:space="0" w:color="auto"/>
              <w:bottom w:val="single" w:sz="6" w:space="0" w:color="auto"/>
              <w:right w:val="nil"/>
            </w:tcBorders>
            <w:shd w:val="clear" w:color="000000" w:fill="000000"/>
          </w:tcPr>
          <w:p w:rsidR="00355F9B" w:rsidRPr="005C543F" w:rsidRDefault="00355F9B" w:rsidP="00016914">
            <w:pPr>
              <w:pStyle w:val="Tabletext"/>
              <w:rPr>
                <w:rFonts w:eastAsiaTheme="minorEastAsia"/>
                <w:i/>
                <w:lang w:eastAsia="en-AU"/>
              </w:rPr>
            </w:pPr>
            <w:r w:rsidRPr="005C543F">
              <w:rPr>
                <w:rFonts w:eastAsiaTheme="minorEastAsia"/>
                <w:i/>
                <w:lang w:eastAsia="en-AU"/>
              </w:rPr>
              <w:t xml:space="preserve"> </w:t>
            </w:r>
          </w:p>
        </w:tc>
        <w:tc>
          <w:tcPr>
            <w:tcW w:w="740" w:type="dxa"/>
            <w:gridSpan w:val="2"/>
            <w:tcBorders>
              <w:top w:val="single" w:sz="6" w:space="0" w:color="auto"/>
              <w:left w:val="nil"/>
              <w:bottom w:val="single" w:sz="6" w:space="0" w:color="auto"/>
              <w:right w:val="nil"/>
            </w:tcBorders>
            <w:shd w:val="clear" w:color="000000" w:fill="000000"/>
          </w:tcPr>
          <w:p w:rsidR="00355F9B" w:rsidRPr="005C543F" w:rsidRDefault="00355F9B" w:rsidP="00016914">
            <w:pPr>
              <w:pStyle w:val="Tabletextheadingcentred"/>
              <w:rPr>
                <w:rFonts w:eastAsiaTheme="minorEastAsia"/>
                <w:lang w:eastAsia="en-AU"/>
              </w:rPr>
            </w:pPr>
            <w:r>
              <w:rPr>
                <w:rFonts w:eastAsiaTheme="minorEastAsia"/>
                <w:lang w:eastAsia="en-AU"/>
              </w:rPr>
              <w:br/>
            </w:r>
            <w:r w:rsidRPr="005C543F">
              <w:rPr>
                <w:rFonts w:eastAsiaTheme="minorEastAsia"/>
                <w:lang w:eastAsia="en-AU"/>
              </w:rPr>
              <w:t>Notes</w:t>
            </w:r>
          </w:p>
        </w:tc>
        <w:tc>
          <w:tcPr>
            <w:tcW w:w="994" w:type="dxa"/>
            <w:tcBorders>
              <w:top w:val="single" w:sz="6" w:space="0" w:color="auto"/>
              <w:left w:val="nil"/>
              <w:bottom w:val="single" w:sz="6" w:space="0" w:color="auto"/>
              <w:right w:val="nil"/>
            </w:tcBorders>
            <w:shd w:val="clear" w:color="000000" w:fill="000000"/>
          </w:tcPr>
          <w:p w:rsidR="00355F9B" w:rsidRPr="005C543F" w:rsidRDefault="00355F9B"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355F9B" w:rsidRPr="005C543F" w:rsidRDefault="00355F9B"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355F9B" w:rsidRPr="005C543F" w:rsidRDefault="00355F9B"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355F9B" w:rsidRPr="005C543F" w:rsidRDefault="00355F9B"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355F9B">
        <w:tc>
          <w:tcPr>
            <w:tcW w:w="3044" w:type="dxa"/>
            <w:tcBorders>
              <w:top w:val="nil"/>
              <w:left w:val="nil"/>
              <w:bottom w:val="nil"/>
              <w:right w:val="nil"/>
            </w:tcBorders>
            <w:shd w:val="solid" w:color="FFFFFF" w:fill="auto"/>
          </w:tcPr>
          <w:p w:rsidR="00B03921" w:rsidRPr="005C543F" w:rsidRDefault="00B03921" w:rsidP="00355F9B">
            <w:pPr>
              <w:pStyle w:val="Tabletext"/>
              <w:ind w:left="181" w:hanging="181"/>
              <w:rPr>
                <w:rFonts w:eastAsiaTheme="minorEastAsia"/>
                <w:b/>
                <w:bCs/>
                <w:lang w:eastAsia="en-AU"/>
              </w:rPr>
            </w:pPr>
            <w:r w:rsidRPr="005C543F">
              <w:rPr>
                <w:rFonts w:eastAsiaTheme="minorEastAsia"/>
                <w:b/>
                <w:bCs/>
                <w:lang w:eastAsia="en-AU"/>
              </w:rPr>
              <w:t>Net increase/(decrease) in cash and cash equivalents</w:t>
            </w:r>
          </w:p>
        </w:tc>
        <w:tc>
          <w:tcPr>
            <w:tcW w:w="740" w:type="dxa"/>
            <w:gridSpan w:val="2"/>
            <w:tcBorders>
              <w:top w:val="nil"/>
              <w:left w:val="nil"/>
              <w:bottom w:val="nil"/>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197.6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318.7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365.2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387.5</w:t>
            </w:r>
          </w:p>
        </w:tc>
      </w:tr>
      <w:tr w:rsidR="00B03921" w:rsidRPr="005C543F" w:rsidTr="00355F9B">
        <w:tc>
          <w:tcPr>
            <w:tcW w:w="304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Cash and cash equivalents at beginning of reporting period</w:t>
            </w:r>
          </w:p>
        </w:tc>
        <w:tc>
          <w:tcPr>
            <w:tcW w:w="740" w:type="dxa"/>
            <w:gridSpan w:val="2"/>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4 912.6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5 110.2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5 428.9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5 794.1</w:t>
            </w:r>
          </w:p>
        </w:tc>
      </w:tr>
      <w:tr w:rsidR="00B03921" w:rsidRPr="005C543F" w:rsidTr="00355F9B">
        <w:tc>
          <w:tcPr>
            <w:tcW w:w="304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Cash and cash equivalents at end of reporting period</w:t>
            </w:r>
          </w:p>
        </w:tc>
        <w:tc>
          <w:tcPr>
            <w:tcW w:w="740" w:type="dxa"/>
            <w:gridSpan w:val="2"/>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5 110.2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5 428.9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5 794.1</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6 181.6</w:t>
            </w:r>
          </w:p>
        </w:tc>
      </w:tr>
      <w:tr w:rsidR="00355F9B" w:rsidRPr="005C543F" w:rsidTr="00355F9B">
        <w:tc>
          <w:tcPr>
            <w:tcW w:w="7760" w:type="dxa"/>
            <w:gridSpan w:val="7"/>
            <w:tcBorders>
              <w:top w:val="single" w:sz="12" w:space="0" w:color="000000"/>
              <w:left w:val="nil"/>
              <w:bottom w:val="nil"/>
              <w:right w:val="nil"/>
            </w:tcBorders>
            <w:shd w:val="solid" w:color="FFFFFF" w:fill="auto"/>
          </w:tcPr>
          <w:p w:rsidR="00355F9B" w:rsidRPr="005C543F" w:rsidRDefault="00355F9B" w:rsidP="00355F9B">
            <w:pPr>
              <w:pStyle w:val="Tabletext"/>
              <w:rPr>
                <w:rFonts w:eastAsiaTheme="minorEastAsia"/>
                <w:b/>
                <w:lang w:eastAsia="en-AU"/>
              </w:rPr>
            </w:pPr>
            <w:r w:rsidRPr="005C543F">
              <w:rPr>
                <w:rFonts w:eastAsiaTheme="minorEastAsia"/>
                <w:b/>
                <w:bCs/>
                <w:lang w:eastAsia="en-AU"/>
              </w:rPr>
              <w:t>FISCAL AGGREGATES</w:t>
            </w:r>
          </w:p>
        </w:tc>
      </w:tr>
      <w:tr w:rsidR="00B03921" w:rsidRPr="005C543F" w:rsidTr="008224DF">
        <w:tc>
          <w:tcPr>
            <w:tcW w:w="3321" w:type="dxa"/>
            <w:gridSpan w:val="2"/>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cash flows from operating activities</w:t>
            </w:r>
          </w:p>
        </w:tc>
        <w:tc>
          <w:tcPr>
            <w:tcW w:w="463" w:type="dxa"/>
            <w:tcBorders>
              <w:top w:val="nil"/>
              <w:left w:val="nil"/>
              <w:bottom w:val="nil"/>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3 754.9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3 856.5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4 570.4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4 633.8</w:t>
            </w:r>
          </w:p>
        </w:tc>
      </w:tr>
      <w:tr w:rsidR="00B03921" w:rsidRPr="005C543F" w:rsidTr="00355F9B">
        <w:tc>
          <w:tcPr>
            <w:tcW w:w="304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cash flows from investments in non-financial assets</w:t>
            </w:r>
          </w:p>
        </w:tc>
        <w:tc>
          <w:tcPr>
            <w:tcW w:w="740" w:type="dxa"/>
            <w:gridSpan w:val="2"/>
            <w:tcBorders>
              <w:top w:val="nil"/>
              <w:left w:val="nil"/>
              <w:bottom w:val="single" w:sz="6" w:space="0" w:color="000000"/>
              <w:right w:val="nil"/>
            </w:tcBorders>
            <w:shd w:val="solid" w:color="FFFFFF" w:fill="auto"/>
          </w:tcPr>
          <w:p w:rsidR="00B03921" w:rsidRPr="005C543F" w:rsidRDefault="00B03921" w:rsidP="00016914">
            <w:pPr>
              <w:pStyle w:val="Tabletextcentred"/>
              <w:rPr>
                <w:rFonts w:eastAsiaTheme="minorEastAsia"/>
                <w:lang w:eastAsia="en-AU"/>
              </w:rPr>
            </w:pPr>
            <w:r w:rsidRPr="005C543F">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(4 229.7)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(5 612.7)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(5 173.2)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(4 900.3)</w:t>
            </w:r>
          </w:p>
        </w:tc>
      </w:tr>
      <w:tr w:rsidR="00B03921" w:rsidRPr="005C543F" w:rsidTr="00355F9B">
        <w:tc>
          <w:tcPr>
            <w:tcW w:w="304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Cash surplus/(deficit)</w:t>
            </w:r>
          </w:p>
        </w:tc>
        <w:tc>
          <w:tcPr>
            <w:tcW w:w="740" w:type="dxa"/>
            <w:gridSpan w:val="2"/>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centred"/>
              <w:rPr>
                <w:rFonts w:eastAsiaTheme="minorEastAsia"/>
                <w:b/>
                <w:lang w:eastAsia="en-AU"/>
              </w:rPr>
            </w:pPr>
            <w:r w:rsidRPr="005C543F">
              <w:rPr>
                <w:rFonts w:eastAsiaTheme="minorEastAsia"/>
                <w:b/>
                <w:lang w:eastAsia="en-AU"/>
              </w:rPr>
              <w:t xml:space="preserve"> </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(474.9)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(1 756.2)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(602.8)</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(266.5)</w:t>
            </w:r>
          </w:p>
        </w:tc>
      </w:tr>
    </w:tbl>
    <w:p w:rsidR="00B03921" w:rsidRPr="000B6DD1" w:rsidRDefault="00B03921" w:rsidP="00016914">
      <w:pPr>
        <w:pStyle w:val="Source"/>
      </w:pPr>
      <w:r w:rsidRPr="000B6DD1">
        <w:t>The accompanying notes form part of these Estimated Financial Statements.</w:t>
      </w:r>
    </w:p>
    <w:p w:rsidR="00B03921" w:rsidRDefault="00B03921" w:rsidP="00016914">
      <w:pPr>
        <w:pStyle w:val="Notes"/>
      </w:pPr>
      <w:r>
        <w:t>Note:</w:t>
      </w:r>
    </w:p>
    <w:p w:rsidR="00B03921" w:rsidRDefault="00B03921" w:rsidP="00016914">
      <w:pPr>
        <w:pStyle w:val="Notes"/>
      </w:pPr>
      <w:r>
        <w:t>(a)</w:t>
      </w:r>
      <w:r>
        <w:tab/>
        <w:t>Inclusive of goods and services tax.</w:t>
      </w:r>
    </w:p>
    <w:p w:rsidR="00B03921" w:rsidRDefault="00B03921">
      <w:pPr>
        <w:spacing w:after="0"/>
        <w:rPr>
          <w:rFonts w:ascii="Calibri" w:hAnsi="Calibri"/>
          <w:b/>
        </w:rPr>
      </w:pPr>
    </w:p>
    <w:p w:rsidR="00B03921" w:rsidRDefault="00B03921">
      <w:pPr>
        <w:spacing w:after="0"/>
        <w:rPr>
          <w:rFonts w:ascii="Calibri" w:hAnsi="Calibri"/>
          <w:b/>
        </w:rPr>
      </w:pPr>
      <w:r>
        <w:br w:type="page"/>
      </w:r>
    </w:p>
    <w:p w:rsidR="00B03921" w:rsidRPr="00311164" w:rsidRDefault="00B03921" w:rsidP="00016914">
      <w:pPr>
        <w:pStyle w:val="Tableheading"/>
      </w:pPr>
      <w:r w:rsidRPr="00311164">
        <w:lastRenderedPageBreak/>
        <w:t>Table 1.4:</w:t>
      </w:r>
      <w:r w:rsidRPr="00311164">
        <w:tab/>
        <w:t xml:space="preserve">Estimated general government sector statement of changes in </w:t>
      </w:r>
      <w:r>
        <w:br/>
      </w:r>
      <w:r w:rsidRPr="00311164">
        <w:t>equity for the financial year ending 30 June</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270"/>
        <w:gridCol w:w="1843"/>
        <w:gridCol w:w="1647"/>
      </w:tblGrid>
      <w:tr w:rsidR="00B03921" w:rsidRPr="005C543F" w:rsidTr="001C35F6">
        <w:trPr>
          <w:tblHeader/>
        </w:trPr>
        <w:tc>
          <w:tcPr>
            <w:tcW w:w="427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1843"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Accumulated surplus/(deficit)</w:t>
            </w:r>
          </w:p>
        </w:tc>
        <w:tc>
          <w:tcPr>
            <w:tcW w:w="1647" w:type="dxa"/>
            <w:tcBorders>
              <w:top w:val="single" w:sz="6" w:space="0" w:color="auto"/>
              <w:left w:val="nil"/>
              <w:bottom w:val="single" w:sz="6" w:space="0" w:color="auto"/>
              <w:right w:val="single" w:sz="6" w:space="0" w:color="auto"/>
            </w:tcBorders>
            <w:shd w:val="clear" w:color="000000" w:fill="000000"/>
          </w:tcPr>
          <w:p w:rsidR="001C35F6" w:rsidRDefault="001C35F6" w:rsidP="001C35F6">
            <w:pPr>
              <w:pStyle w:val="Tabletextheading"/>
              <w:rPr>
                <w:rFonts w:eastAsiaTheme="minorEastAsia"/>
                <w:color w:val="FFFFFF"/>
                <w:lang w:eastAsia="en-AU"/>
              </w:rPr>
            </w:pPr>
          </w:p>
          <w:p w:rsidR="00B03921" w:rsidRPr="005C543F" w:rsidRDefault="00B03921" w:rsidP="001C35F6">
            <w:pPr>
              <w:pStyle w:val="Tabletextheading"/>
              <w:rPr>
                <w:rFonts w:eastAsiaTheme="minorEastAsia"/>
                <w:color w:val="FFFFFF"/>
                <w:lang w:eastAsia="en-AU"/>
              </w:rPr>
            </w:pPr>
            <w:r w:rsidRPr="005C543F">
              <w:rPr>
                <w:rFonts w:eastAsiaTheme="minorEastAsia"/>
                <w:color w:val="FFFFFF"/>
                <w:lang w:eastAsia="en-AU"/>
              </w:rPr>
              <w:t xml:space="preserve">Non-controlling </w:t>
            </w:r>
            <w:r w:rsidR="001C35F6">
              <w:rPr>
                <w:rFonts w:eastAsiaTheme="minorEastAsia"/>
                <w:color w:val="FFFFFF"/>
                <w:lang w:eastAsia="en-AU"/>
              </w:rPr>
              <w:br/>
            </w:r>
            <w:r w:rsidRPr="005C543F">
              <w:rPr>
                <w:rFonts w:eastAsiaTheme="minorEastAsia"/>
                <w:color w:val="FFFFFF"/>
                <w:lang w:eastAsia="en-AU"/>
              </w:rPr>
              <w:t>interest</w:t>
            </w:r>
          </w:p>
        </w:tc>
      </w:tr>
      <w:tr w:rsidR="00355F9B" w:rsidRPr="005C543F" w:rsidTr="00016914">
        <w:tc>
          <w:tcPr>
            <w:tcW w:w="7760" w:type="dxa"/>
            <w:gridSpan w:val="3"/>
            <w:tcBorders>
              <w:top w:val="single" w:sz="6" w:space="0" w:color="auto"/>
              <w:left w:val="nil"/>
              <w:bottom w:val="nil"/>
              <w:right w:val="nil"/>
            </w:tcBorders>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2015-16</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Balance at 1 July 2015</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39 828.6</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Net result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6 366.3</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Other comprehensive income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957.2</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single" w:sz="6" w:space="0" w:color="auto"/>
              <w:left w:val="nil"/>
              <w:bottom w:val="single" w:sz="12" w:space="0" w:color="auto"/>
              <w:right w:val="nil"/>
            </w:tcBorders>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Balance as at 30 June 2016</w:t>
            </w:r>
          </w:p>
        </w:tc>
        <w:tc>
          <w:tcPr>
            <w:tcW w:w="1843"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47 152.0</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50.0</w:t>
            </w:r>
          </w:p>
        </w:tc>
      </w:tr>
      <w:tr w:rsidR="00355F9B" w:rsidRPr="005C543F" w:rsidTr="00016914">
        <w:tc>
          <w:tcPr>
            <w:tcW w:w="7760" w:type="dxa"/>
            <w:gridSpan w:val="3"/>
            <w:tcBorders>
              <w:top w:val="nil"/>
              <w:left w:val="nil"/>
              <w:bottom w:val="nil"/>
              <w:right w:val="nil"/>
            </w:tcBorders>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2016-17</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Balance at 1 July 2016</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47 152.0</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Net result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1 140.8</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Other comprehensive income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981.6</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single" w:sz="6" w:space="0" w:color="auto"/>
              <w:left w:val="nil"/>
              <w:bottom w:val="single" w:sz="12" w:space="0" w:color="auto"/>
              <w:right w:val="nil"/>
            </w:tcBorders>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Balance as at 30 June 2017</w:t>
            </w:r>
          </w:p>
        </w:tc>
        <w:tc>
          <w:tcPr>
            <w:tcW w:w="1843"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49 274.5</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50.0</w:t>
            </w:r>
          </w:p>
        </w:tc>
      </w:tr>
      <w:tr w:rsidR="00355F9B" w:rsidRPr="005C543F" w:rsidTr="00016914">
        <w:tc>
          <w:tcPr>
            <w:tcW w:w="7760" w:type="dxa"/>
            <w:gridSpan w:val="3"/>
            <w:tcBorders>
              <w:top w:val="nil"/>
              <w:left w:val="nil"/>
              <w:bottom w:val="nil"/>
              <w:right w:val="nil"/>
            </w:tcBorders>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2017-18</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Balance at 1 July 2017</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49 274.5</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Net result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1 110.1</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Other comprehensive income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1 017.5</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single" w:sz="6" w:space="0" w:color="auto"/>
              <w:left w:val="nil"/>
              <w:bottom w:val="single" w:sz="12" w:space="0" w:color="auto"/>
              <w:right w:val="nil"/>
            </w:tcBorders>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Balance as at 30 June 2018</w:t>
            </w:r>
          </w:p>
        </w:tc>
        <w:tc>
          <w:tcPr>
            <w:tcW w:w="1843"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51 402.0</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50.0</w:t>
            </w:r>
          </w:p>
        </w:tc>
      </w:tr>
      <w:tr w:rsidR="00355F9B" w:rsidRPr="005C543F" w:rsidTr="00016914">
        <w:tc>
          <w:tcPr>
            <w:tcW w:w="7760" w:type="dxa"/>
            <w:gridSpan w:val="3"/>
            <w:tcBorders>
              <w:top w:val="nil"/>
              <w:left w:val="nil"/>
              <w:bottom w:val="nil"/>
              <w:right w:val="nil"/>
            </w:tcBorders>
          </w:tcPr>
          <w:p w:rsidR="00355F9B" w:rsidRPr="005C543F" w:rsidRDefault="00355F9B" w:rsidP="00355F9B">
            <w:pPr>
              <w:pStyle w:val="Tabletext"/>
              <w:rPr>
                <w:rFonts w:eastAsiaTheme="minorEastAsia"/>
                <w:b/>
                <w:bCs/>
                <w:lang w:eastAsia="en-AU"/>
              </w:rPr>
            </w:pPr>
            <w:r w:rsidRPr="005C543F">
              <w:rPr>
                <w:rFonts w:eastAsiaTheme="minorEastAsia"/>
                <w:b/>
                <w:bCs/>
                <w:lang w:eastAsia="en-AU"/>
              </w:rPr>
              <w:t>2018-19</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Balance at 1 July 2018</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51 402.0</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w:t>
            </w:r>
          </w:p>
        </w:tc>
      </w:tr>
      <w:tr w:rsidR="00B03921" w:rsidRPr="005C543F" w:rsidTr="001C35F6">
        <w:tc>
          <w:tcPr>
            <w:tcW w:w="4270"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Net result for the year</w:t>
            </w:r>
          </w:p>
        </w:tc>
        <w:tc>
          <w:tcPr>
            <w:tcW w:w="1843"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1 553.4</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nil"/>
              <w:left w:val="nil"/>
              <w:bottom w:val="single" w:sz="6" w:space="0" w:color="auto"/>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Other comprehensive income for the year</w:t>
            </w:r>
          </w:p>
        </w:tc>
        <w:tc>
          <w:tcPr>
            <w:tcW w:w="1843"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1 071.9</w:t>
            </w:r>
          </w:p>
        </w:tc>
        <w:tc>
          <w:tcPr>
            <w:tcW w:w="1647"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r>
      <w:tr w:rsidR="00B03921" w:rsidRPr="005C543F" w:rsidTr="001C35F6">
        <w:tc>
          <w:tcPr>
            <w:tcW w:w="4270"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Balance as at 30 June 2019</w:t>
            </w:r>
          </w:p>
        </w:tc>
        <w:tc>
          <w:tcPr>
            <w:tcW w:w="1843"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54 027.3</w:t>
            </w:r>
          </w:p>
        </w:tc>
        <w:tc>
          <w:tcPr>
            <w:tcW w:w="1647"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50.0</w:t>
            </w:r>
          </w:p>
        </w:tc>
      </w:tr>
    </w:tbl>
    <w:p w:rsidR="00B03921" w:rsidRDefault="00B03921" w:rsidP="00016914">
      <w:pPr>
        <w:pStyle w:val="Source"/>
      </w:pPr>
      <w:r w:rsidRPr="00D93B98">
        <w:t xml:space="preserve">The accompanying notes form part of these </w:t>
      </w:r>
      <w:r>
        <w:t>Estimated Financial statements.</w:t>
      </w:r>
    </w:p>
    <w:p w:rsidR="00B03921" w:rsidRDefault="00B03921">
      <w:pPr>
        <w:spacing w:after="0"/>
      </w:pPr>
      <w:r>
        <w:br w:type="page"/>
      </w:r>
    </w:p>
    <w:p w:rsidR="00B03921" w:rsidRDefault="00B03921" w:rsidP="00016914">
      <w:pPr>
        <w:pStyle w:val="Tableheading"/>
      </w:pPr>
      <w:r>
        <w:br/>
      </w:r>
    </w:p>
    <w:p w:rsidR="00B03921" w:rsidRDefault="00B03921" w:rsidP="00016914">
      <w:pPr>
        <w:pStyle w:val="million"/>
        <w:rPr>
          <w:rFonts w:ascii="Times New Roman" w:hAnsi="Times New Roman"/>
          <w:sz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1940"/>
        <w:gridCol w:w="2472"/>
        <w:gridCol w:w="1701"/>
        <w:gridCol w:w="1647"/>
      </w:tblGrid>
      <w:tr w:rsidR="00B03921" w:rsidRPr="005C543F" w:rsidTr="00016914">
        <w:trPr>
          <w:tblHeader/>
        </w:trPr>
        <w:tc>
          <w:tcPr>
            <w:tcW w:w="194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heading"/>
              <w:rPr>
                <w:rFonts w:eastAsiaTheme="minorEastAsia"/>
                <w:lang w:eastAsia="en-AU"/>
              </w:rPr>
            </w:pPr>
            <w:r w:rsidRPr="005C543F">
              <w:rPr>
                <w:rFonts w:eastAsiaTheme="minorEastAsia"/>
                <w:lang w:eastAsia="en-AU"/>
              </w:rPr>
              <w:t>Property, plant and equipment</w:t>
            </w:r>
          </w:p>
          <w:p w:rsidR="00B03921" w:rsidRPr="005C543F" w:rsidRDefault="00B03921" w:rsidP="00016914">
            <w:pPr>
              <w:pStyle w:val="Tabletextheading"/>
              <w:rPr>
                <w:rFonts w:eastAsiaTheme="minorEastAsia"/>
                <w:lang w:eastAsia="en-AU"/>
              </w:rPr>
            </w:pPr>
            <w:r w:rsidRPr="005C543F">
              <w:rPr>
                <w:rFonts w:eastAsiaTheme="minorEastAsia"/>
                <w:lang w:eastAsia="en-AU"/>
              </w:rPr>
              <w:t>revaluation surplus</w:t>
            </w:r>
          </w:p>
        </w:tc>
        <w:tc>
          <w:tcPr>
            <w:tcW w:w="2472"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Investment in other</w:t>
            </w: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sector entities</w:t>
            </w: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revaluation surplus</w:t>
            </w:r>
          </w:p>
        </w:tc>
        <w:tc>
          <w:tcPr>
            <w:tcW w:w="1701"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Other</w:t>
            </w: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reserves</w:t>
            </w:r>
          </w:p>
        </w:tc>
        <w:tc>
          <w:tcPr>
            <w:tcW w:w="1647"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p>
          <w:p w:rsidR="00B03921" w:rsidRPr="005C543F" w:rsidRDefault="00B03921" w:rsidP="00016914">
            <w:pPr>
              <w:pStyle w:val="Tabletextheading"/>
              <w:rPr>
                <w:rFonts w:eastAsiaTheme="minorEastAsia"/>
                <w:color w:val="FFFFFF"/>
                <w:lang w:eastAsia="en-AU"/>
              </w:rPr>
            </w:pPr>
          </w:p>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Total</w:t>
            </w:r>
          </w:p>
        </w:tc>
      </w:tr>
      <w:tr w:rsidR="00355F9B" w:rsidRPr="005C543F" w:rsidTr="00016914">
        <w:tc>
          <w:tcPr>
            <w:tcW w:w="7760" w:type="dxa"/>
            <w:gridSpan w:val="4"/>
            <w:tcBorders>
              <w:top w:val="single" w:sz="6" w:space="0" w:color="auto"/>
              <w:left w:val="nil"/>
              <w:bottom w:val="nil"/>
              <w:right w:val="nil"/>
            </w:tcBorders>
          </w:tcPr>
          <w:p w:rsidR="00355F9B" w:rsidRPr="005C543F" w:rsidRDefault="00355F9B" w:rsidP="00016914">
            <w:pPr>
              <w:pStyle w:val="TableofFigures"/>
              <w:rPr>
                <w:rFonts w:eastAsiaTheme="minorEastAsia"/>
                <w:b/>
                <w:bCs/>
                <w:lang w:eastAsia="en-AU"/>
              </w:rPr>
            </w:pP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46 843.4</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44 625.4</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641.3</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131 988.7</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6 366.3</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755.8</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12.2</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1 726.7</w:t>
            </w:r>
          </w:p>
        </w:tc>
      </w:tr>
      <w:tr w:rsidR="00B03921" w:rsidRPr="005C543F" w:rsidTr="00016914">
        <w:tc>
          <w:tcPr>
            <w:tcW w:w="1940"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lang w:eastAsia="en-AU"/>
              </w:rPr>
            </w:pPr>
            <w:r w:rsidRPr="005C543F">
              <w:rPr>
                <w:rFonts w:eastAsiaTheme="minorEastAsia"/>
                <w:b/>
                <w:lang w:eastAsia="en-AU"/>
              </w:rPr>
              <w:t>47 599.2</w:t>
            </w:r>
          </w:p>
        </w:tc>
        <w:tc>
          <w:tcPr>
            <w:tcW w:w="2472"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44 626.9</w:t>
            </w:r>
          </w:p>
        </w:tc>
        <w:tc>
          <w:tcPr>
            <w:tcW w:w="1701"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653.5</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140 081.7</w:t>
            </w:r>
          </w:p>
        </w:tc>
      </w:tr>
      <w:tr w:rsidR="00355F9B" w:rsidRPr="005C543F" w:rsidTr="00016914">
        <w:tc>
          <w:tcPr>
            <w:tcW w:w="7760" w:type="dxa"/>
            <w:gridSpan w:val="4"/>
            <w:tcBorders>
              <w:top w:val="nil"/>
              <w:left w:val="nil"/>
              <w:bottom w:val="nil"/>
              <w:right w:val="nil"/>
            </w:tcBorders>
          </w:tcPr>
          <w:p w:rsidR="00355F9B" w:rsidRPr="005C543F" w:rsidRDefault="00355F9B" w:rsidP="00016914">
            <w:pPr>
              <w:pStyle w:val="TableofFigures"/>
              <w:rPr>
                <w:rFonts w:eastAsiaTheme="minorEastAsia"/>
                <w:b/>
                <w:bCs/>
                <w:lang w:eastAsia="en-AU"/>
              </w:rPr>
            </w:pPr>
            <w:r w:rsidRPr="005C543F">
              <w:rPr>
                <w:rFonts w:eastAsiaTheme="minorEastAsia"/>
                <w:b/>
                <w:bCs/>
                <w:lang w:eastAsia="en-AU"/>
              </w:rPr>
              <w:t xml:space="preserve"> </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47 599.2</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44 626.9</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653.5</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140 081.7</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1 140.8</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513.0</w:t>
            </w:r>
          </w:p>
        </w:tc>
        <w:tc>
          <w:tcPr>
            <w:tcW w:w="2472"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(378.0)</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15.8</w:t>
            </w:r>
          </w:p>
        </w:tc>
        <w:tc>
          <w:tcPr>
            <w:tcW w:w="1647"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1 132.4</w:t>
            </w:r>
          </w:p>
        </w:tc>
      </w:tr>
      <w:tr w:rsidR="00B03921" w:rsidRPr="005C543F" w:rsidTr="00016914">
        <w:tc>
          <w:tcPr>
            <w:tcW w:w="1940"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lang w:eastAsia="en-AU"/>
              </w:rPr>
            </w:pPr>
            <w:r w:rsidRPr="005C543F">
              <w:rPr>
                <w:rFonts w:eastAsiaTheme="minorEastAsia"/>
                <w:b/>
                <w:lang w:eastAsia="en-AU"/>
              </w:rPr>
              <w:t>48 112.3</w:t>
            </w:r>
          </w:p>
        </w:tc>
        <w:tc>
          <w:tcPr>
            <w:tcW w:w="2472"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44 248.9</w:t>
            </w:r>
          </w:p>
        </w:tc>
        <w:tc>
          <w:tcPr>
            <w:tcW w:w="1701"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669.3</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142 354.8</w:t>
            </w:r>
          </w:p>
        </w:tc>
      </w:tr>
      <w:tr w:rsidR="00355F9B" w:rsidRPr="005C543F" w:rsidTr="00016914">
        <w:tc>
          <w:tcPr>
            <w:tcW w:w="7760" w:type="dxa"/>
            <w:gridSpan w:val="4"/>
            <w:tcBorders>
              <w:top w:val="nil"/>
              <w:left w:val="nil"/>
              <w:bottom w:val="nil"/>
              <w:right w:val="nil"/>
            </w:tcBorders>
          </w:tcPr>
          <w:p w:rsidR="00355F9B" w:rsidRPr="005C543F" w:rsidRDefault="00355F9B" w:rsidP="00016914">
            <w:pPr>
              <w:pStyle w:val="TableofFigures"/>
              <w:rPr>
                <w:rFonts w:eastAsiaTheme="minorEastAsia"/>
                <w:b/>
                <w:bCs/>
                <w:lang w:eastAsia="en-AU"/>
              </w:rPr>
            </w:pP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48 112.3</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44 248.9</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669.3</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142 354.8</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647"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1 110.1</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9 501.1</w:t>
            </w:r>
          </w:p>
        </w:tc>
        <w:tc>
          <w:tcPr>
            <w:tcW w:w="2472"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(222.8)</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16.3</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10 312.2</w:t>
            </w:r>
          </w:p>
        </w:tc>
      </w:tr>
      <w:tr w:rsidR="00B03921" w:rsidRPr="005C543F" w:rsidTr="00016914">
        <w:tc>
          <w:tcPr>
            <w:tcW w:w="1940"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lang w:eastAsia="en-AU"/>
              </w:rPr>
            </w:pPr>
            <w:r w:rsidRPr="005C543F">
              <w:rPr>
                <w:rFonts w:eastAsiaTheme="minorEastAsia"/>
                <w:b/>
                <w:lang w:eastAsia="en-AU"/>
              </w:rPr>
              <w:t>57 613.4</w:t>
            </w:r>
          </w:p>
        </w:tc>
        <w:tc>
          <w:tcPr>
            <w:tcW w:w="2472"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44 026.1</w:t>
            </w:r>
          </w:p>
        </w:tc>
        <w:tc>
          <w:tcPr>
            <w:tcW w:w="1701"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685.6</w:t>
            </w:r>
          </w:p>
        </w:tc>
        <w:tc>
          <w:tcPr>
            <w:tcW w:w="1647" w:type="dxa"/>
            <w:tcBorders>
              <w:top w:val="single" w:sz="6" w:space="0" w:color="auto"/>
              <w:left w:val="nil"/>
              <w:bottom w:val="single" w:sz="12" w:space="0" w:color="auto"/>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153 777.1</w:t>
            </w:r>
          </w:p>
        </w:tc>
      </w:tr>
      <w:tr w:rsidR="00355F9B" w:rsidRPr="005C543F" w:rsidTr="00016914">
        <w:tc>
          <w:tcPr>
            <w:tcW w:w="7760" w:type="dxa"/>
            <w:gridSpan w:val="4"/>
            <w:tcBorders>
              <w:top w:val="nil"/>
              <w:left w:val="nil"/>
              <w:bottom w:val="nil"/>
              <w:right w:val="nil"/>
            </w:tcBorders>
          </w:tcPr>
          <w:p w:rsidR="00355F9B" w:rsidRPr="005C543F" w:rsidRDefault="00355F9B" w:rsidP="00016914">
            <w:pPr>
              <w:pStyle w:val="TableofFigures"/>
              <w:rPr>
                <w:rFonts w:eastAsiaTheme="minorEastAsia"/>
                <w:b/>
                <w:bCs/>
                <w:lang w:eastAsia="en-AU"/>
              </w:rPr>
            </w:pP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57 613.4</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44 026.1</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685.6</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153 777.1</w:t>
            </w:r>
          </w:p>
        </w:tc>
      </w:tr>
      <w:tr w:rsidR="00B03921" w:rsidRPr="005C543F" w:rsidTr="00016914">
        <w:tc>
          <w:tcPr>
            <w:tcW w:w="1940"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2472"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701"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1647"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1 553.4</w:t>
            </w:r>
          </w:p>
        </w:tc>
      </w:tr>
      <w:tr w:rsidR="00B03921" w:rsidRPr="005C543F" w:rsidTr="00016914">
        <w:tc>
          <w:tcPr>
            <w:tcW w:w="1940"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421.8</w:t>
            </w:r>
          </w:p>
        </w:tc>
        <w:tc>
          <w:tcPr>
            <w:tcW w:w="2472" w:type="dxa"/>
            <w:tcBorders>
              <w:top w:val="nil"/>
              <w:left w:val="nil"/>
              <w:bottom w:val="single" w:sz="6" w:space="0" w:color="auto"/>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(255.4)</w:t>
            </w:r>
          </w:p>
        </w:tc>
        <w:tc>
          <w:tcPr>
            <w:tcW w:w="1701"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16.4</w:t>
            </w:r>
          </w:p>
        </w:tc>
        <w:tc>
          <w:tcPr>
            <w:tcW w:w="1647" w:type="dxa"/>
            <w:tcBorders>
              <w:top w:val="nil"/>
              <w:left w:val="nil"/>
              <w:bottom w:val="single" w:sz="6" w:space="0" w:color="auto"/>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1 254.7</w:t>
            </w:r>
          </w:p>
        </w:tc>
      </w:tr>
      <w:tr w:rsidR="00B03921" w:rsidRPr="005C543F" w:rsidTr="00016914">
        <w:tc>
          <w:tcPr>
            <w:tcW w:w="1940"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lang w:eastAsia="en-AU"/>
              </w:rPr>
            </w:pPr>
            <w:r w:rsidRPr="005C543F">
              <w:rPr>
                <w:rFonts w:eastAsiaTheme="minorEastAsia"/>
                <w:b/>
                <w:lang w:eastAsia="en-AU"/>
              </w:rPr>
              <w:t>58 035.2</w:t>
            </w:r>
          </w:p>
        </w:tc>
        <w:tc>
          <w:tcPr>
            <w:tcW w:w="2472"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43 770.7</w:t>
            </w:r>
          </w:p>
        </w:tc>
        <w:tc>
          <w:tcPr>
            <w:tcW w:w="1701"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702.0</w:t>
            </w:r>
          </w:p>
        </w:tc>
        <w:tc>
          <w:tcPr>
            <w:tcW w:w="1647"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156 585.1</w:t>
            </w:r>
          </w:p>
        </w:tc>
      </w:tr>
    </w:tbl>
    <w:p w:rsidR="00B03921" w:rsidRDefault="00B03921">
      <w:pPr>
        <w:spacing w:after="0"/>
      </w:pPr>
    </w:p>
    <w:p w:rsidR="00B03921" w:rsidRDefault="00B03921">
      <w:pPr>
        <w:spacing w:after="0"/>
        <w:rPr>
          <w:rFonts w:ascii="Calibri" w:hAnsi="Calibri"/>
          <w:b/>
          <w:sz w:val="26"/>
          <w:szCs w:val="22"/>
        </w:rPr>
      </w:pPr>
      <w:r>
        <w:br w:type="page"/>
      </w:r>
    </w:p>
    <w:p w:rsidR="00B03921" w:rsidRDefault="00B03921" w:rsidP="00016914">
      <w:pPr>
        <w:pStyle w:val="Heading1"/>
      </w:pPr>
      <w:bookmarkStart w:id="5" w:name="_Toc418274753"/>
      <w:r>
        <w:t xml:space="preserve">Notes to the </w:t>
      </w:r>
      <w:r w:rsidRPr="00571BEA">
        <w:t>Estimated Financial Statements</w:t>
      </w:r>
      <w:bookmarkEnd w:id="5"/>
    </w:p>
    <w:p w:rsidR="00C200B1" w:rsidRDefault="00B03921">
      <w:pPr>
        <w:pStyle w:val="TOC4"/>
        <w:rPr>
          <w:rFonts w:asciiTheme="minorHAnsi" w:eastAsiaTheme="minorEastAsia" w:hAnsiTheme="minorHAnsi" w:cstheme="minorBidi"/>
          <w:sz w:val="22"/>
          <w:szCs w:val="22"/>
          <w:lang w:eastAsia="en-AU"/>
        </w:rPr>
      </w:pPr>
      <w:r w:rsidRPr="0040125C">
        <w:fldChar w:fldCharType="begin"/>
      </w:r>
      <w:r w:rsidRPr="0040125C">
        <w:instrText xml:space="preserve"> TOC \h \z \t "Heading 2 Notes,4" </w:instrText>
      </w:r>
      <w:r w:rsidRPr="0040125C">
        <w:fldChar w:fldCharType="separate"/>
      </w:r>
      <w:hyperlink w:anchor="_Toc418276604" w:history="1">
        <w:r w:rsidR="00C200B1" w:rsidRPr="001B563B">
          <w:rPr>
            <w:rStyle w:val="Hyperlink"/>
          </w:rPr>
          <w:t>Note 1:</w:t>
        </w:r>
        <w:r w:rsidR="00C200B1">
          <w:rPr>
            <w:rFonts w:asciiTheme="minorHAnsi" w:eastAsiaTheme="minorEastAsia" w:hAnsiTheme="minorHAnsi" w:cstheme="minorBidi"/>
            <w:sz w:val="22"/>
            <w:szCs w:val="22"/>
            <w:lang w:eastAsia="en-AU"/>
          </w:rPr>
          <w:tab/>
        </w:r>
        <w:r w:rsidR="00C200B1" w:rsidRPr="001B563B">
          <w:rPr>
            <w:rStyle w:val="Hyperlink"/>
          </w:rPr>
          <w:t>Statement of significant accounting policies and forecast assumptions</w:t>
        </w:r>
        <w:r w:rsidR="00C200B1">
          <w:rPr>
            <w:webHidden/>
          </w:rPr>
          <w:tab/>
        </w:r>
        <w:r w:rsidR="00C200B1">
          <w:rPr>
            <w:webHidden/>
          </w:rPr>
          <w:fldChar w:fldCharType="begin"/>
        </w:r>
        <w:r w:rsidR="00C200B1">
          <w:rPr>
            <w:webHidden/>
          </w:rPr>
          <w:instrText xml:space="preserve"> PAGEREF _Toc418276604 \h </w:instrText>
        </w:r>
        <w:r w:rsidR="00C200B1">
          <w:rPr>
            <w:webHidden/>
          </w:rPr>
        </w:r>
        <w:r w:rsidR="00C200B1">
          <w:rPr>
            <w:webHidden/>
          </w:rPr>
          <w:fldChar w:fldCharType="separate"/>
        </w:r>
        <w:r w:rsidR="001C18AD">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05" w:history="1">
        <w:r w:rsidR="00C200B1" w:rsidRPr="001B563B">
          <w:rPr>
            <w:rStyle w:val="Hyperlink"/>
          </w:rPr>
          <w:t>Note 2:</w:t>
        </w:r>
        <w:r w:rsidR="00C200B1">
          <w:rPr>
            <w:rFonts w:asciiTheme="minorHAnsi" w:eastAsiaTheme="minorEastAsia" w:hAnsiTheme="minorHAnsi" w:cstheme="minorBidi"/>
            <w:sz w:val="22"/>
            <w:szCs w:val="22"/>
            <w:lang w:eastAsia="en-AU"/>
          </w:rPr>
          <w:tab/>
        </w:r>
        <w:r w:rsidR="00C200B1" w:rsidRPr="001B563B">
          <w:rPr>
            <w:rStyle w:val="Hyperlink"/>
          </w:rPr>
          <w:t>Taxation revenue</w:t>
        </w:r>
        <w:r w:rsidR="00C200B1">
          <w:rPr>
            <w:webHidden/>
          </w:rPr>
          <w:tab/>
        </w:r>
        <w:r w:rsidR="00C200B1">
          <w:rPr>
            <w:webHidden/>
          </w:rPr>
          <w:fldChar w:fldCharType="begin"/>
        </w:r>
        <w:r w:rsidR="00C200B1">
          <w:rPr>
            <w:webHidden/>
          </w:rPr>
          <w:instrText xml:space="preserve"> PAGEREF _Toc418276605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06" w:history="1">
        <w:r w:rsidR="00C200B1" w:rsidRPr="001B563B">
          <w:rPr>
            <w:rStyle w:val="Hyperlink"/>
          </w:rPr>
          <w:t>Note 3:</w:t>
        </w:r>
        <w:r w:rsidR="00C200B1">
          <w:rPr>
            <w:rFonts w:asciiTheme="minorHAnsi" w:eastAsiaTheme="minorEastAsia" w:hAnsiTheme="minorHAnsi" w:cstheme="minorBidi"/>
            <w:sz w:val="22"/>
            <w:szCs w:val="22"/>
            <w:lang w:eastAsia="en-AU"/>
          </w:rPr>
          <w:tab/>
        </w:r>
        <w:r w:rsidR="00C200B1" w:rsidRPr="001B563B">
          <w:rPr>
            <w:rStyle w:val="Hyperlink"/>
          </w:rPr>
          <w:t>Dividends and income tax equivalent and rate equivalent revenue</w:t>
        </w:r>
        <w:r w:rsidR="00C200B1">
          <w:rPr>
            <w:webHidden/>
          </w:rPr>
          <w:tab/>
        </w:r>
        <w:r w:rsidR="00C200B1">
          <w:rPr>
            <w:webHidden/>
          </w:rPr>
          <w:fldChar w:fldCharType="begin"/>
        </w:r>
        <w:r w:rsidR="00C200B1">
          <w:rPr>
            <w:webHidden/>
          </w:rPr>
          <w:instrText xml:space="preserve"> PAGEREF _Toc418276606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07" w:history="1">
        <w:r w:rsidR="00C200B1" w:rsidRPr="001B563B">
          <w:rPr>
            <w:rStyle w:val="Hyperlink"/>
          </w:rPr>
          <w:t>Note 4:</w:t>
        </w:r>
        <w:r w:rsidR="00C200B1">
          <w:rPr>
            <w:rFonts w:asciiTheme="minorHAnsi" w:eastAsiaTheme="minorEastAsia" w:hAnsiTheme="minorHAnsi" w:cstheme="minorBidi"/>
            <w:sz w:val="22"/>
            <w:szCs w:val="22"/>
            <w:lang w:eastAsia="en-AU"/>
          </w:rPr>
          <w:tab/>
        </w:r>
        <w:r w:rsidR="00C200B1" w:rsidRPr="001B563B">
          <w:rPr>
            <w:rStyle w:val="Hyperlink"/>
          </w:rPr>
          <w:t>Sales of goods and services</w:t>
        </w:r>
        <w:r w:rsidR="00C200B1">
          <w:rPr>
            <w:webHidden/>
          </w:rPr>
          <w:tab/>
        </w:r>
        <w:r w:rsidR="00C200B1">
          <w:rPr>
            <w:webHidden/>
          </w:rPr>
          <w:fldChar w:fldCharType="begin"/>
        </w:r>
        <w:r w:rsidR="00C200B1">
          <w:rPr>
            <w:webHidden/>
          </w:rPr>
          <w:instrText xml:space="preserve"> PAGEREF _Toc418276607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08" w:history="1">
        <w:r w:rsidR="00C200B1" w:rsidRPr="001B563B">
          <w:rPr>
            <w:rStyle w:val="Hyperlink"/>
          </w:rPr>
          <w:t>Note 5:</w:t>
        </w:r>
        <w:r w:rsidR="00C200B1">
          <w:rPr>
            <w:rFonts w:asciiTheme="minorHAnsi" w:eastAsiaTheme="minorEastAsia" w:hAnsiTheme="minorHAnsi" w:cstheme="minorBidi"/>
            <w:sz w:val="22"/>
            <w:szCs w:val="22"/>
            <w:lang w:eastAsia="en-AU"/>
          </w:rPr>
          <w:tab/>
        </w:r>
        <w:r w:rsidR="00C200B1" w:rsidRPr="001B563B">
          <w:rPr>
            <w:rStyle w:val="Hyperlink"/>
          </w:rPr>
          <w:t>Grant revenue</w:t>
        </w:r>
        <w:r w:rsidR="00C200B1">
          <w:rPr>
            <w:webHidden/>
          </w:rPr>
          <w:tab/>
        </w:r>
        <w:r w:rsidR="00C200B1">
          <w:rPr>
            <w:webHidden/>
          </w:rPr>
          <w:fldChar w:fldCharType="begin"/>
        </w:r>
        <w:r w:rsidR="00C200B1">
          <w:rPr>
            <w:webHidden/>
          </w:rPr>
          <w:instrText xml:space="preserve"> PAGEREF _Toc418276608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09" w:history="1">
        <w:r w:rsidR="00C200B1" w:rsidRPr="001B563B">
          <w:rPr>
            <w:rStyle w:val="Hyperlink"/>
          </w:rPr>
          <w:t>Note 6:</w:t>
        </w:r>
        <w:r w:rsidR="00C200B1">
          <w:rPr>
            <w:rFonts w:asciiTheme="minorHAnsi" w:eastAsiaTheme="minorEastAsia" w:hAnsiTheme="minorHAnsi" w:cstheme="minorBidi"/>
            <w:sz w:val="22"/>
            <w:szCs w:val="22"/>
            <w:lang w:eastAsia="en-AU"/>
          </w:rPr>
          <w:tab/>
        </w:r>
        <w:r w:rsidR="00C200B1" w:rsidRPr="001B563B">
          <w:rPr>
            <w:rStyle w:val="Hyperlink"/>
          </w:rPr>
          <w:t>Other revenue</w:t>
        </w:r>
        <w:r w:rsidR="00C200B1">
          <w:rPr>
            <w:webHidden/>
          </w:rPr>
          <w:tab/>
        </w:r>
        <w:r w:rsidR="00C200B1">
          <w:rPr>
            <w:webHidden/>
          </w:rPr>
          <w:fldChar w:fldCharType="begin"/>
        </w:r>
        <w:r w:rsidR="00C200B1">
          <w:rPr>
            <w:webHidden/>
          </w:rPr>
          <w:instrText xml:space="preserve"> PAGEREF _Toc418276609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0" w:history="1">
        <w:r w:rsidR="00C200B1" w:rsidRPr="001B563B">
          <w:rPr>
            <w:rStyle w:val="Hyperlink"/>
          </w:rPr>
          <w:t>Note 7:</w:t>
        </w:r>
        <w:r w:rsidR="00C200B1">
          <w:rPr>
            <w:rFonts w:asciiTheme="minorHAnsi" w:eastAsiaTheme="minorEastAsia" w:hAnsiTheme="minorHAnsi" w:cstheme="minorBidi"/>
            <w:sz w:val="22"/>
            <w:szCs w:val="22"/>
            <w:lang w:eastAsia="en-AU"/>
          </w:rPr>
          <w:tab/>
        </w:r>
        <w:r w:rsidR="00C200B1" w:rsidRPr="001B563B">
          <w:rPr>
            <w:rStyle w:val="Hyperlink"/>
          </w:rPr>
          <w:t>Superannuation</w:t>
        </w:r>
        <w:r w:rsidR="00C200B1">
          <w:rPr>
            <w:webHidden/>
          </w:rPr>
          <w:tab/>
        </w:r>
        <w:r w:rsidR="00C200B1">
          <w:rPr>
            <w:webHidden/>
          </w:rPr>
          <w:fldChar w:fldCharType="begin"/>
        </w:r>
        <w:r w:rsidR="00C200B1">
          <w:rPr>
            <w:webHidden/>
          </w:rPr>
          <w:instrText xml:space="preserve"> PAGEREF _Toc418276610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1" w:history="1">
        <w:r w:rsidR="00C200B1" w:rsidRPr="001B563B">
          <w:rPr>
            <w:rStyle w:val="Hyperlink"/>
          </w:rPr>
          <w:t>Note 8:</w:t>
        </w:r>
        <w:r w:rsidR="00C200B1">
          <w:rPr>
            <w:rFonts w:asciiTheme="minorHAnsi" w:eastAsiaTheme="minorEastAsia" w:hAnsiTheme="minorHAnsi" w:cstheme="minorBidi"/>
            <w:sz w:val="22"/>
            <w:szCs w:val="22"/>
            <w:lang w:eastAsia="en-AU"/>
          </w:rPr>
          <w:tab/>
        </w:r>
        <w:r w:rsidR="00C200B1" w:rsidRPr="001B563B">
          <w:rPr>
            <w:rStyle w:val="Hyperlink"/>
          </w:rPr>
          <w:t>Depreciation</w:t>
        </w:r>
        <w:r w:rsidR="00C200B1">
          <w:rPr>
            <w:webHidden/>
          </w:rPr>
          <w:tab/>
        </w:r>
        <w:r w:rsidR="00C200B1">
          <w:rPr>
            <w:webHidden/>
          </w:rPr>
          <w:fldChar w:fldCharType="begin"/>
        </w:r>
        <w:r w:rsidR="00C200B1">
          <w:rPr>
            <w:webHidden/>
          </w:rPr>
          <w:instrText xml:space="preserve"> PAGEREF _Toc418276611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2" w:history="1">
        <w:r w:rsidR="00C200B1" w:rsidRPr="001B563B">
          <w:rPr>
            <w:rStyle w:val="Hyperlink"/>
          </w:rPr>
          <w:t>Note 9:</w:t>
        </w:r>
        <w:r w:rsidR="00C200B1">
          <w:rPr>
            <w:rFonts w:asciiTheme="minorHAnsi" w:eastAsiaTheme="minorEastAsia" w:hAnsiTheme="minorHAnsi" w:cstheme="minorBidi"/>
            <w:sz w:val="22"/>
            <w:szCs w:val="22"/>
            <w:lang w:eastAsia="en-AU"/>
          </w:rPr>
          <w:tab/>
        </w:r>
        <w:r w:rsidR="00C200B1" w:rsidRPr="001B563B">
          <w:rPr>
            <w:rStyle w:val="Hyperlink"/>
          </w:rPr>
          <w:t>Interest expense</w:t>
        </w:r>
        <w:r w:rsidR="00C200B1">
          <w:rPr>
            <w:webHidden/>
          </w:rPr>
          <w:tab/>
        </w:r>
        <w:r w:rsidR="00C200B1">
          <w:rPr>
            <w:webHidden/>
          </w:rPr>
          <w:fldChar w:fldCharType="begin"/>
        </w:r>
        <w:r w:rsidR="00C200B1">
          <w:rPr>
            <w:webHidden/>
          </w:rPr>
          <w:instrText xml:space="preserve"> PAGEREF _Toc418276612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3" w:history="1">
        <w:r w:rsidR="00C200B1" w:rsidRPr="001B563B">
          <w:rPr>
            <w:rStyle w:val="Hyperlink"/>
          </w:rPr>
          <w:t>Note 10:</w:t>
        </w:r>
        <w:r w:rsidR="00C200B1">
          <w:rPr>
            <w:rFonts w:asciiTheme="minorHAnsi" w:eastAsiaTheme="minorEastAsia" w:hAnsiTheme="minorHAnsi" w:cstheme="minorBidi"/>
            <w:sz w:val="22"/>
            <w:szCs w:val="22"/>
            <w:lang w:eastAsia="en-AU"/>
          </w:rPr>
          <w:tab/>
        </w:r>
        <w:r w:rsidR="00C200B1" w:rsidRPr="001B563B">
          <w:rPr>
            <w:rStyle w:val="Hyperlink"/>
          </w:rPr>
          <w:t>Grant expense</w:t>
        </w:r>
        <w:r w:rsidR="00C200B1">
          <w:rPr>
            <w:webHidden/>
          </w:rPr>
          <w:tab/>
        </w:r>
        <w:r w:rsidR="00C200B1">
          <w:rPr>
            <w:webHidden/>
          </w:rPr>
          <w:fldChar w:fldCharType="begin"/>
        </w:r>
        <w:r w:rsidR="00C200B1">
          <w:rPr>
            <w:webHidden/>
          </w:rPr>
          <w:instrText xml:space="preserve"> PAGEREF _Toc418276613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4" w:history="1">
        <w:r w:rsidR="00C200B1" w:rsidRPr="001B563B">
          <w:rPr>
            <w:rStyle w:val="Hyperlink"/>
          </w:rPr>
          <w:t>Note 11:</w:t>
        </w:r>
        <w:r w:rsidR="00C200B1">
          <w:rPr>
            <w:rFonts w:asciiTheme="minorHAnsi" w:eastAsiaTheme="minorEastAsia" w:hAnsiTheme="minorHAnsi" w:cstheme="minorBidi"/>
            <w:sz w:val="22"/>
            <w:szCs w:val="22"/>
            <w:lang w:eastAsia="en-AU"/>
          </w:rPr>
          <w:tab/>
        </w:r>
        <w:r w:rsidR="00C200B1" w:rsidRPr="001B563B">
          <w:rPr>
            <w:rStyle w:val="Hyperlink"/>
          </w:rPr>
          <w:t>Other operating expenses</w:t>
        </w:r>
        <w:r w:rsidR="00C200B1">
          <w:rPr>
            <w:webHidden/>
          </w:rPr>
          <w:tab/>
        </w:r>
        <w:r w:rsidR="00C200B1">
          <w:rPr>
            <w:webHidden/>
          </w:rPr>
          <w:fldChar w:fldCharType="begin"/>
        </w:r>
        <w:r w:rsidR="00C200B1">
          <w:rPr>
            <w:webHidden/>
          </w:rPr>
          <w:instrText xml:space="preserve"> PAGEREF _Toc418276614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5" w:history="1">
        <w:r w:rsidR="00C200B1" w:rsidRPr="001B563B">
          <w:rPr>
            <w:rStyle w:val="Hyperlink"/>
          </w:rPr>
          <w:t>Note 12:</w:t>
        </w:r>
        <w:r w:rsidR="00C200B1">
          <w:rPr>
            <w:rFonts w:asciiTheme="minorHAnsi" w:eastAsiaTheme="minorEastAsia" w:hAnsiTheme="minorHAnsi" w:cstheme="minorBidi"/>
            <w:sz w:val="22"/>
            <w:szCs w:val="22"/>
            <w:lang w:eastAsia="en-AU"/>
          </w:rPr>
          <w:tab/>
        </w:r>
        <w:r w:rsidR="00C200B1" w:rsidRPr="001B563B">
          <w:rPr>
            <w:rStyle w:val="Hyperlink"/>
          </w:rPr>
          <w:t>Expenses by government purpose and by department</w:t>
        </w:r>
        <w:r w:rsidR="00C200B1">
          <w:rPr>
            <w:webHidden/>
          </w:rPr>
          <w:tab/>
        </w:r>
        <w:r w:rsidR="00C200B1">
          <w:rPr>
            <w:webHidden/>
          </w:rPr>
          <w:fldChar w:fldCharType="begin"/>
        </w:r>
        <w:r w:rsidR="00C200B1">
          <w:rPr>
            <w:webHidden/>
          </w:rPr>
          <w:instrText xml:space="preserve"> PAGEREF _Toc418276615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6" w:history="1">
        <w:r w:rsidR="00C200B1" w:rsidRPr="001B563B">
          <w:rPr>
            <w:rStyle w:val="Hyperlink"/>
          </w:rPr>
          <w:t>Note 13:</w:t>
        </w:r>
        <w:r w:rsidR="00C200B1">
          <w:rPr>
            <w:rFonts w:asciiTheme="minorHAnsi" w:eastAsiaTheme="minorEastAsia" w:hAnsiTheme="minorHAnsi" w:cstheme="minorBidi"/>
            <w:sz w:val="22"/>
            <w:szCs w:val="22"/>
            <w:lang w:eastAsia="en-AU"/>
          </w:rPr>
          <w:tab/>
        </w:r>
        <w:r w:rsidR="00C200B1" w:rsidRPr="001B563B">
          <w:rPr>
            <w:rStyle w:val="Hyperlink"/>
          </w:rPr>
          <w:t>Other gains/(losses) from other economic flows</w:t>
        </w:r>
        <w:r w:rsidR="00C200B1">
          <w:rPr>
            <w:webHidden/>
          </w:rPr>
          <w:tab/>
        </w:r>
        <w:r w:rsidR="00C200B1">
          <w:rPr>
            <w:webHidden/>
          </w:rPr>
          <w:fldChar w:fldCharType="begin"/>
        </w:r>
        <w:r w:rsidR="00C200B1">
          <w:rPr>
            <w:webHidden/>
          </w:rPr>
          <w:instrText xml:space="preserve"> PAGEREF _Toc418276616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7" w:history="1">
        <w:r w:rsidR="00C200B1" w:rsidRPr="001B563B">
          <w:rPr>
            <w:rStyle w:val="Hyperlink"/>
          </w:rPr>
          <w:t>Note 14:</w:t>
        </w:r>
        <w:r w:rsidR="00C200B1">
          <w:rPr>
            <w:rFonts w:asciiTheme="minorHAnsi" w:eastAsiaTheme="minorEastAsia" w:hAnsiTheme="minorHAnsi" w:cstheme="minorBidi"/>
            <w:sz w:val="22"/>
            <w:szCs w:val="22"/>
            <w:lang w:eastAsia="en-AU"/>
          </w:rPr>
          <w:tab/>
        </w:r>
        <w:r w:rsidR="00C200B1" w:rsidRPr="001B563B">
          <w:rPr>
            <w:rStyle w:val="Hyperlink"/>
          </w:rPr>
          <w:t>Reconciliation of net gain/(loss) on equity investments in other sector entities at proportional share of net assets</w:t>
        </w:r>
        <w:r w:rsidR="00C200B1">
          <w:rPr>
            <w:webHidden/>
          </w:rPr>
          <w:tab/>
        </w:r>
        <w:r w:rsidR="00C200B1">
          <w:rPr>
            <w:webHidden/>
          </w:rPr>
          <w:fldChar w:fldCharType="begin"/>
        </w:r>
        <w:r w:rsidR="00C200B1">
          <w:rPr>
            <w:webHidden/>
          </w:rPr>
          <w:instrText xml:space="preserve"> PAGEREF _Toc418276617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8" w:history="1">
        <w:r w:rsidR="00C200B1" w:rsidRPr="001B563B">
          <w:rPr>
            <w:rStyle w:val="Hyperlink"/>
          </w:rPr>
          <w:t>Note 15:</w:t>
        </w:r>
        <w:r w:rsidR="00C200B1">
          <w:rPr>
            <w:rFonts w:asciiTheme="minorHAnsi" w:eastAsiaTheme="minorEastAsia" w:hAnsiTheme="minorHAnsi" w:cstheme="minorBidi"/>
            <w:sz w:val="22"/>
            <w:szCs w:val="22"/>
            <w:lang w:eastAsia="en-AU"/>
          </w:rPr>
          <w:tab/>
        </w:r>
        <w:r w:rsidR="00C200B1" w:rsidRPr="001B563B">
          <w:rPr>
            <w:rStyle w:val="Hyperlink"/>
          </w:rPr>
          <w:t>Net acquisition of non</w:t>
        </w:r>
        <w:r w:rsidR="00C200B1" w:rsidRPr="001B563B">
          <w:rPr>
            <w:rStyle w:val="Hyperlink"/>
          </w:rPr>
          <w:noBreakHyphen/>
          <w:t>financial assets from transactions</w:t>
        </w:r>
        <w:r w:rsidR="00C200B1">
          <w:rPr>
            <w:webHidden/>
          </w:rPr>
          <w:tab/>
        </w:r>
        <w:r w:rsidR="00C200B1">
          <w:rPr>
            <w:webHidden/>
          </w:rPr>
          <w:fldChar w:fldCharType="begin"/>
        </w:r>
        <w:r w:rsidR="00C200B1">
          <w:rPr>
            <w:webHidden/>
          </w:rPr>
          <w:instrText xml:space="preserve"> PAGEREF _Toc418276618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19" w:history="1">
        <w:r w:rsidR="00C200B1" w:rsidRPr="001B563B">
          <w:rPr>
            <w:rStyle w:val="Hyperlink"/>
          </w:rPr>
          <w:t>Note 16:</w:t>
        </w:r>
        <w:r w:rsidR="00C200B1">
          <w:rPr>
            <w:rFonts w:asciiTheme="minorHAnsi" w:eastAsiaTheme="minorEastAsia" w:hAnsiTheme="minorHAnsi" w:cstheme="minorBidi"/>
            <w:sz w:val="22"/>
            <w:szCs w:val="22"/>
            <w:lang w:eastAsia="en-AU"/>
          </w:rPr>
          <w:tab/>
        </w:r>
        <w:r w:rsidR="00C200B1" w:rsidRPr="001B563B">
          <w:rPr>
            <w:rStyle w:val="Hyperlink"/>
          </w:rPr>
          <w:t>Advances paid and investments, loans and placements</w:t>
        </w:r>
        <w:r w:rsidR="00C200B1">
          <w:rPr>
            <w:webHidden/>
          </w:rPr>
          <w:tab/>
        </w:r>
        <w:r w:rsidR="00C200B1">
          <w:rPr>
            <w:webHidden/>
          </w:rPr>
          <w:fldChar w:fldCharType="begin"/>
        </w:r>
        <w:r w:rsidR="00C200B1">
          <w:rPr>
            <w:webHidden/>
          </w:rPr>
          <w:instrText xml:space="preserve"> PAGEREF _Toc418276619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0" w:history="1">
        <w:r w:rsidR="00C200B1" w:rsidRPr="001B563B">
          <w:rPr>
            <w:rStyle w:val="Hyperlink"/>
          </w:rPr>
          <w:t>Note 17:</w:t>
        </w:r>
        <w:r w:rsidR="00C200B1">
          <w:rPr>
            <w:rFonts w:asciiTheme="minorHAnsi" w:eastAsiaTheme="minorEastAsia" w:hAnsiTheme="minorHAnsi" w:cstheme="minorBidi"/>
            <w:sz w:val="22"/>
            <w:szCs w:val="22"/>
            <w:lang w:eastAsia="en-AU"/>
          </w:rPr>
          <w:tab/>
        </w:r>
        <w:r w:rsidR="00C200B1" w:rsidRPr="001B563B">
          <w:rPr>
            <w:rStyle w:val="Hyperlink"/>
          </w:rPr>
          <w:t>Land, buildings, infrastructure, plant and equipment</w:t>
        </w:r>
        <w:r w:rsidR="00C200B1">
          <w:rPr>
            <w:webHidden/>
          </w:rPr>
          <w:tab/>
        </w:r>
        <w:r w:rsidR="00C200B1">
          <w:rPr>
            <w:webHidden/>
          </w:rPr>
          <w:fldChar w:fldCharType="begin"/>
        </w:r>
        <w:r w:rsidR="00C200B1">
          <w:rPr>
            <w:webHidden/>
          </w:rPr>
          <w:instrText xml:space="preserve"> PAGEREF _Toc418276620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1" w:history="1">
        <w:r w:rsidR="00C200B1" w:rsidRPr="001B563B">
          <w:rPr>
            <w:rStyle w:val="Hyperlink"/>
          </w:rPr>
          <w:t>Note 18:</w:t>
        </w:r>
        <w:r w:rsidR="00C200B1">
          <w:rPr>
            <w:rFonts w:asciiTheme="minorHAnsi" w:eastAsiaTheme="minorEastAsia" w:hAnsiTheme="minorHAnsi" w:cstheme="minorBidi"/>
            <w:sz w:val="22"/>
            <w:szCs w:val="22"/>
            <w:lang w:eastAsia="en-AU"/>
          </w:rPr>
          <w:tab/>
        </w:r>
        <w:r w:rsidR="00C200B1" w:rsidRPr="001B563B">
          <w:rPr>
            <w:rStyle w:val="Hyperlink"/>
          </w:rPr>
          <w:t>Reconciliation of movements in land, buildings, infrastructure, plant and equipment</w:t>
        </w:r>
        <w:r w:rsidR="00C200B1">
          <w:rPr>
            <w:webHidden/>
          </w:rPr>
          <w:tab/>
        </w:r>
        <w:r w:rsidR="00C200B1">
          <w:rPr>
            <w:webHidden/>
          </w:rPr>
          <w:fldChar w:fldCharType="begin"/>
        </w:r>
        <w:r w:rsidR="00C200B1">
          <w:rPr>
            <w:webHidden/>
          </w:rPr>
          <w:instrText xml:space="preserve"> PAGEREF _Toc418276621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2" w:history="1">
        <w:r w:rsidR="00C200B1" w:rsidRPr="001B563B">
          <w:rPr>
            <w:rStyle w:val="Hyperlink"/>
          </w:rPr>
          <w:t>Note 19:</w:t>
        </w:r>
        <w:r w:rsidR="00C200B1">
          <w:rPr>
            <w:rFonts w:asciiTheme="minorHAnsi" w:eastAsiaTheme="minorEastAsia" w:hAnsiTheme="minorHAnsi" w:cstheme="minorBidi"/>
            <w:sz w:val="22"/>
            <w:szCs w:val="22"/>
            <w:lang w:eastAsia="en-AU"/>
          </w:rPr>
          <w:tab/>
        </w:r>
        <w:r w:rsidR="00C200B1" w:rsidRPr="001B563B">
          <w:rPr>
            <w:rStyle w:val="Hyperlink"/>
          </w:rPr>
          <w:t>Other non</w:t>
        </w:r>
        <w:r w:rsidR="00C200B1" w:rsidRPr="001B563B">
          <w:rPr>
            <w:rStyle w:val="Hyperlink"/>
          </w:rPr>
          <w:noBreakHyphen/>
          <w:t>financial assets</w:t>
        </w:r>
        <w:r w:rsidR="00C200B1">
          <w:rPr>
            <w:webHidden/>
          </w:rPr>
          <w:tab/>
        </w:r>
        <w:r w:rsidR="00C200B1">
          <w:rPr>
            <w:webHidden/>
          </w:rPr>
          <w:fldChar w:fldCharType="begin"/>
        </w:r>
        <w:r w:rsidR="00C200B1">
          <w:rPr>
            <w:webHidden/>
          </w:rPr>
          <w:instrText xml:space="preserve"> PAGEREF _Toc418276622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3" w:history="1">
        <w:r w:rsidR="00C200B1" w:rsidRPr="001B563B">
          <w:rPr>
            <w:rStyle w:val="Hyperlink"/>
          </w:rPr>
          <w:t>Note 20:</w:t>
        </w:r>
        <w:r w:rsidR="00C200B1">
          <w:rPr>
            <w:rFonts w:asciiTheme="minorHAnsi" w:eastAsiaTheme="minorEastAsia" w:hAnsiTheme="minorHAnsi" w:cstheme="minorBidi"/>
            <w:sz w:val="22"/>
            <w:szCs w:val="22"/>
            <w:lang w:eastAsia="en-AU"/>
          </w:rPr>
          <w:tab/>
        </w:r>
        <w:r w:rsidR="00C200B1" w:rsidRPr="001B563B">
          <w:rPr>
            <w:rStyle w:val="Hyperlink"/>
          </w:rPr>
          <w:t>Assets classified by government purpose and by department</w:t>
        </w:r>
        <w:r w:rsidR="00C200B1">
          <w:rPr>
            <w:webHidden/>
          </w:rPr>
          <w:tab/>
        </w:r>
        <w:r w:rsidR="00C200B1">
          <w:rPr>
            <w:webHidden/>
          </w:rPr>
          <w:fldChar w:fldCharType="begin"/>
        </w:r>
        <w:r w:rsidR="00C200B1">
          <w:rPr>
            <w:webHidden/>
          </w:rPr>
          <w:instrText xml:space="preserve"> PAGEREF _Toc418276623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4" w:history="1">
        <w:r w:rsidR="00C200B1" w:rsidRPr="001B563B">
          <w:rPr>
            <w:rStyle w:val="Hyperlink"/>
          </w:rPr>
          <w:t>Note 21:</w:t>
        </w:r>
        <w:r w:rsidR="00C200B1">
          <w:rPr>
            <w:rFonts w:asciiTheme="minorHAnsi" w:eastAsiaTheme="minorEastAsia" w:hAnsiTheme="minorHAnsi" w:cstheme="minorBidi"/>
            <w:sz w:val="22"/>
            <w:szCs w:val="22"/>
            <w:lang w:eastAsia="en-AU"/>
          </w:rPr>
          <w:tab/>
        </w:r>
        <w:r w:rsidR="00C200B1" w:rsidRPr="001B563B">
          <w:rPr>
            <w:rStyle w:val="Hyperlink"/>
          </w:rPr>
          <w:t>Payables</w:t>
        </w:r>
        <w:r w:rsidR="00C200B1">
          <w:rPr>
            <w:webHidden/>
          </w:rPr>
          <w:tab/>
        </w:r>
        <w:r w:rsidR="00C200B1">
          <w:rPr>
            <w:webHidden/>
          </w:rPr>
          <w:fldChar w:fldCharType="begin"/>
        </w:r>
        <w:r w:rsidR="00C200B1">
          <w:rPr>
            <w:webHidden/>
          </w:rPr>
          <w:instrText xml:space="preserve"> PAGEREF _Toc418276624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5" w:history="1">
        <w:r w:rsidR="00C200B1" w:rsidRPr="001B563B">
          <w:rPr>
            <w:rStyle w:val="Hyperlink"/>
          </w:rPr>
          <w:t>Note 22:</w:t>
        </w:r>
        <w:r w:rsidR="00C200B1">
          <w:rPr>
            <w:rFonts w:asciiTheme="minorHAnsi" w:eastAsiaTheme="minorEastAsia" w:hAnsiTheme="minorHAnsi" w:cstheme="minorBidi"/>
            <w:sz w:val="22"/>
            <w:szCs w:val="22"/>
            <w:lang w:eastAsia="en-AU"/>
          </w:rPr>
          <w:tab/>
        </w:r>
        <w:r w:rsidR="00C200B1" w:rsidRPr="001B563B">
          <w:rPr>
            <w:rStyle w:val="Hyperlink"/>
          </w:rPr>
          <w:t>Borrowings</w:t>
        </w:r>
        <w:r w:rsidR="00C200B1">
          <w:rPr>
            <w:webHidden/>
          </w:rPr>
          <w:tab/>
        </w:r>
        <w:r w:rsidR="00C200B1">
          <w:rPr>
            <w:webHidden/>
          </w:rPr>
          <w:fldChar w:fldCharType="begin"/>
        </w:r>
        <w:r w:rsidR="00C200B1">
          <w:rPr>
            <w:webHidden/>
          </w:rPr>
          <w:instrText xml:space="preserve"> PAGEREF _Toc418276625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6" w:history="1">
        <w:r w:rsidR="00C200B1" w:rsidRPr="001B563B">
          <w:rPr>
            <w:rStyle w:val="Hyperlink"/>
          </w:rPr>
          <w:t>Note 23:</w:t>
        </w:r>
        <w:r w:rsidR="00C200B1">
          <w:rPr>
            <w:rFonts w:asciiTheme="minorHAnsi" w:eastAsiaTheme="minorEastAsia" w:hAnsiTheme="minorHAnsi" w:cstheme="minorBidi"/>
            <w:sz w:val="22"/>
            <w:szCs w:val="22"/>
            <w:lang w:eastAsia="en-AU"/>
          </w:rPr>
          <w:tab/>
        </w:r>
        <w:r w:rsidR="00C200B1" w:rsidRPr="001B563B">
          <w:rPr>
            <w:rStyle w:val="Hyperlink"/>
          </w:rPr>
          <w:t>Employee benefits</w:t>
        </w:r>
        <w:r w:rsidR="00C200B1">
          <w:rPr>
            <w:webHidden/>
          </w:rPr>
          <w:tab/>
        </w:r>
        <w:r w:rsidR="00C200B1">
          <w:rPr>
            <w:webHidden/>
          </w:rPr>
          <w:fldChar w:fldCharType="begin"/>
        </w:r>
        <w:r w:rsidR="00C200B1">
          <w:rPr>
            <w:webHidden/>
          </w:rPr>
          <w:instrText xml:space="preserve"> PAGEREF _Toc418276626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7" w:history="1">
        <w:r w:rsidR="00C200B1" w:rsidRPr="001B563B">
          <w:rPr>
            <w:rStyle w:val="Hyperlink"/>
          </w:rPr>
          <w:t>Note 24:</w:t>
        </w:r>
        <w:r w:rsidR="00C200B1">
          <w:rPr>
            <w:rFonts w:asciiTheme="minorHAnsi" w:eastAsiaTheme="minorEastAsia" w:hAnsiTheme="minorHAnsi" w:cstheme="minorBidi"/>
            <w:sz w:val="22"/>
            <w:szCs w:val="22"/>
            <w:lang w:eastAsia="en-AU"/>
          </w:rPr>
          <w:tab/>
        </w:r>
        <w:r w:rsidR="00C200B1" w:rsidRPr="001B563B">
          <w:rPr>
            <w:rStyle w:val="Hyperlink"/>
          </w:rPr>
          <w:t>Reserves</w:t>
        </w:r>
        <w:r w:rsidR="00C200B1">
          <w:rPr>
            <w:webHidden/>
          </w:rPr>
          <w:tab/>
        </w:r>
        <w:r w:rsidR="00C200B1">
          <w:rPr>
            <w:webHidden/>
          </w:rPr>
          <w:fldChar w:fldCharType="begin"/>
        </w:r>
        <w:r w:rsidR="00C200B1">
          <w:rPr>
            <w:webHidden/>
          </w:rPr>
          <w:instrText xml:space="preserve"> PAGEREF _Toc418276627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8" w:history="1">
        <w:r w:rsidR="00C200B1" w:rsidRPr="001B563B">
          <w:rPr>
            <w:rStyle w:val="Hyperlink"/>
          </w:rPr>
          <w:t>Note 25:</w:t>
        </w:r>
        <w:r w:rsidR="00C200B1">
          <w:rPr>
            <w:rFonts w:asciiTheme="minorHAnsi" w:eastAsiaTheme="minorEastAsia" w:hAnsiTheme="minorHAnsi" w:cstheme="minorBidi"/>
            <w:sz w:val="22"/>
            <w:szCs w:val="22"/>
            <w:lang w:eastAsia="en-AU"/>
          </w:rPr>
          <w:tab/>
        </w:r>
        <w:r w:rsidR="00C200B1" w:rsidRPr="001B563B">
          <w:rPr>
            <w:rStyle w:val="Hyperlink"/>
          </w:rPr>
          <w:t>Reconciliations to Government Finance Statistics – derivation of GFS cash surplus/(deficit)</w:t>
        </w:r>
        <w:r w:rsidR="00C200B1">
          <w:rPr>
            <w:webHidden/>
          </w:rPr>
          <w:tab/>
        </w:r>
        <w:r w:rsidR="00C200B1">
          <w:rPr>
            <w:webHidden/>
          </w:rPr>
          <w:fldChar w:fldCharType="begin"/>
        </w:r>
        <w:r w:rsidR="00C200B1">
          <w:rPr>
            <w:webHidden/>
          </w:rPr>
          <w:instrText xml:space="preserve"> PAGEREF _Toc418276628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29" w:history="1">
        <w:r w:rsidR="00C200B1" w:rsidRPr="001B563B">
          <w:rPr>
            <w:rStyle w:val="Hyperlink"/>
          </w:rPr>
          <w:t>Note 26:</w:t>
        </w:r>
        <w:r w:rsidR="00C200B1">
          <w:rPr>
            <w:rFonts w:asciiTheme="minorHAnsi" w:eastAsiaTheme="minorEastAsia" w:hAnsiTheme="minorHAnsi" w:cstheme="minorBidi"/>
            <w:sz w:val="22"/>
            <w:szCs w:val="22"/>
            <w:lang w:eastAsia="en-AU"/>
          </w:rPr>
          <w:tab/>
        </w:r>
        <w:r w:rsidR="00C200B1" w:rsidRPr="001B563B">
          <w:rPr>
            <w:rStyle w:val="Hyperlink"/>
          </w:rPr>
          <w:t>Financial instruments</w:t>
        </w:r>
        <w:r w:rsidR="00C200B1">
          <w:rPr>
            <w:webHidden/>
          </w:rPr>
          <w:tab/>
        </w:r>
        <w:r w:rsidR="00C200B1">
          <w:rPr>
            <w:webHidden/>
          </w:rPr>
          <w:fldChar w:fldCharType="begin"/>
        </w:r>
        <w:r w:rsidR="00C200B1">
          <w:rPr>
            <w:webHidden/>
          </w:rPr>
          <w:instrText xml:space="preserve"> PAGEREF _Toc418276629 \h </w:instrText>
        </w:r>
        <w:r w:rsidR="00C200B1">
          <w:rPr>
            <w:webHidden/>
          </w:rPr>
        </w:r>
        <w:r w:rsidR="00C200B1">
          <w:rPr>
            <w:webHidden/>
          </w:rPr>
          <w:fldChar w:fldCharType="separate"/>
        </w:r>
        <w:r>
          <w:rPr>
            <w:webHidden/>
          </w:rPr>
          <w:t>12</w:t>
        </w:r>
        <w:r w:rsidR="00C200B1">
          <w:rPr>
            <w:webHidden/>
          </w:rPr>
          <w:fldChar w:fldCharType="end"/>
        </w:r>
      </w:hyperlink>
    </w:p>
    <w:p w:rsidR="00C200B1" w:rsidRDefault="001C18AD">
      <w:pPr>
        <w:pStyle w:val="TOC4"/>
        <w:rPr>
          <w:rFonts w:asciiTheme="minorHAnsi" w:eastAsiaTheme="minorEastAsia" w:hAnsiTheme="minorHAnsi" w:cstheme="minorBidi"/>
          <w:sz w:val="22"/>
          <w:szCs w:val="22"/>
          <w:lang w:eastAsia="en-AU"/>
        </w:rPr>
      </w:pPr>
      <w:hyperlink w:anchor="_Toc418276630" w:history="1">
        <w:r w:rsidR="00C200B1" w:rsidRPr="001B563B">
          <w:rPr>
            <w:rStyle w:val="Hyperlink"/>
          </w:rPr>
          <w:t>Note 27:</w:t>
        </w:r>
        <w:r w:rsidR="00C200B1">
          <w:rPr>
            <w:rFonts w:asciiTheme="minorHAnsi" w:eastAsiaTheme="minorEastAsia" w:hAnsiTheme="minorHAnsi" w:cstheme="minorBidi"/>
            <w:sz w:val="22"/>
            <w:szCs w:val="22"/>
            <w:lang w:eastAsia="en-AU"/>
          </w:rPr>
          <w:tab/>
        </w:r>
        <w:r w:rsidR="00C200B1" w:rsidRPr="001B563B">
          <w:rPr>
            <w:rStyle w:val="Hyperlink"/>
          </w:rPr>
          <w:t>Controlled entities</w:t>
        </w:r>
        <w:r w:rsidR="00C200B1">
          <w:rPr>
            <w:webHidden/>
          </w:rPr>
          <w:tab/>
        </w:r>
        <w:r w:rsidR="00C200B1">
          <w:rPr>
            <w:webHidden/>
          </w:rPr>
          <w:fldChar w:fldCharType="begin"/>
        </w:r>
        <w:r w:rsidR="00C200B1">
          <w:rPr>
            <w:webHidden/>
          </w:rPr>
          <w:instrText xml:space="preserve"> PAGEREF _Toc418276630 \h </w:instrText>
        </w:r>
        <w:r w:rsidR="00C200B1">
          <w:rPr>
            <w:webHidden/>
          </w:rPr>
        </w:r>
        <w:r w:rsidR="00C200B1">
          <w:rPr>
            <w:webHidden/>
          </w:rPr>
          <w:fldChar w:fldCharType="separate"/>
        </w:r>
        <w:r>
          <w:rPr>
            <w:webHidden/>
          </w:rPr>
          <w:t>12</w:t>
        </w:r>
        <w:r w:rsidR="00C200B1">
          <w:rPr>
            <w:webHidden/>
          </w:rPr>
          <w:fldChar w:fldCharType="end"/>
        </w:r>
      </w:hyperlink>
    </w:p>
    <w:p w:rsidR="00C200B1" w:rsidRDefault="00C200B1">
      <w:pPr>
        <w:pStyle w:val="TOC4"/>
        <w:rPr>
          <w:rFonts w:asciiTheme="minorHAnsi" w:eastAsiaTheme="minorEastAsia" w:hAnsiTheme="minorHAnsi" w:cstheme="minorBidi"/>
          <w:sz w:val="22"/>
          <w:szCs w:val="22"/>
          <w:lang w:eastAsia="en-AU"/>
        </w:rPr>
      </w:pPr>
    </w:p>
    <w:p w:rsidR="00B03921" w:rsidRPr="0040125C" w:rsidRDefault="00B03921" w:rsidP="00016914">
      <w:pPr>
        <w:pStyle w:val="TOC4"/>
      </w:pPr>
      <w:r w:rsidRPr="0040125C">
        <w:fldChar w:fldCharType="end"/>
      </w:r>
    </w:p>
    <w:p w:rsidR="00B03921" w:rsidRDefault="00B03921">
      <w:pPr>
        <w:spacing w:after="0"/>
      </w:pPr>
      <w:r>
        <w:br w:type="page"/>
      </w:r>
    </w:p>
    <w:p w:rsidR="00B03921" w:rsidRDefault="00B03921" w:rsidP="00016914">
      <w:pPr>
        <w:pStyle w:val="Heading2Notes"/>
      </w:pPr>
      <w:bookmarkStart w:id="6" w:name="_Toc418103345"/>
      <w:bookmarkStart w:id="7" w:name="_Toc418191966"/>
      <w:bookmarkStart w:id="8" w:name="_Toc418274858"/>
      <w:bookmarkStart w:id="9" w:name="_Toc418276604"/>
      <w:r>
        <w:t>Note 1:</w:t>
      </w:r>
      <w:r>
        <w:tab/>
        <w:t>Statement of significant accounting policies and forecast assumptions</w:t>
      </w:r>
      <w:bookmarkEnd w:id="6"/>
      <w:bookmarkEnd w:id="7"/>
      <w:bookmarkEnd w:id="8"/>
      <w:bookmarkEnd w:id="9"/>
    </w:p>
    <w:p w:rsidR="00B03921" w:rsidRDefault="00B03921" w:rsidP="00016914">
      <w:r>
        <w:t>This note summarises</w:t>
      </w:r>
      <w:r w:rsidRPr="0040125C">
        <w:t xml:space="preserve"> the </w:t>
      </w:r>
      <w:r>
        <w:t>basis applied in preparing and presenting</w:t>
      </w:r>
      <w:r w:rsidRPr="0040125C">
        <w:t xml:space="preserve"> these Estimated Financial Statements, which includes the budget year and the estimates for the three subsequent years (referred to as the budget and forward estimates period).</w:t>
      </w:r>
      <w:r w:rsidRPr="005A0965">
        <w:t xml:space="preserve"> </w:t>
      </w:r>
    </w:p>
    <w:p w:rsidR="00B03921" w:rsidRPr="00920420" w:rsidRDefault="00B03921" w:rsidP="00016914">
      <w:r w:rsidRPr="00920420">
        <w:t>The detailed ac</w:t>
      </w:r>
      <w:r>
        <w:t>counting policies applied in preparing</w:t>
      </w:r>
      <w:r w:rsidRPr="00920420">
        <w:t xml:space="preserve"> the Estimated Financial Statements are consistent with those in the audited 2013</w:t>
      </w:r>
      <w:r>
        <w:noBreakHyphen/>
      </w:r>
      <w:r w:rsidRPr="00920420">
        <w:t xml:space="preserve">14 annual financial report published in the </w:t>
      </w:r>
      <w:r w:rsidRPr="00920420">
        <w:rPr>
          <w:i/>
        </w:rPr>
        <w:t>2013</w:t>
      </w:r>
      <w:r>
        <w:rPr>
          <w:i/>
        </w:rPr>
        <w:noBreakHyphen/>
      </w:r>
      <w:r w:rsidRPr="00920420">
        <w:rPr>
          <w:i/>
        </w:rPr>
        <w:t>14 Financial Report</w:t>
      </w:r>
      <w:r w:rsidRPr="00920420">
        <w:t xml:space="preserve"> </w:t>
      </w:r>
      <w:r w:rsidRPr="001F50B9">
        <w:t xml:space="preserve">for the State of Victoria </w:t>
      </w:r>
      <w:r w:rsidRPr="00920420">
        <w:t xml:space="preserve">as presented to Parliament, unless otherwise stated. </w:t>
      </w:r>
    </w:p>
    <w:p w:rsidR="00B03921" w:rsidRPr="0040125C" w:rsidRDefault="00B03921" w:rsidP="00016914">
      <w:pPr>
        <w:rPr>
          <w:i/>
        </w:rPr>
      </w:pPr>
      <w:r w:rsidRPr="00920420">
        <w:t xml:space="preserve">To gain a better understanding of the terminology and key aggregates used in </w:t>
      </w:r>
      <w:r w:rsidRPr="001F50B9">
        <w:t xml:space="preserve">these statements, </w:t>
      </w:r>
      <w:r w:rsidRPr="00920420">
        <w:t xml:space="preserve">a glossary of terms can be found in </w:t>
      </w:r>
      <w:r w:rsidRPr="0049240A">
        <w:t>Note 40</w:t>
      </w:r>
      <w:r w:rsidRPr="00601D87">
        <w:t xml:space="preserve"> of Chapter </w:t>
      </w:r>
      <w:r w:rsidRPr="00D479E1">
        <w:t>4</w:t>
      </w:r>
      <w:r w:rsidRPr="00601D87">
        <w:rPr>
          <w:i/>
        </w:rPr>
        <w:t xml:space="preserve"> Annual Financial Report </w:t>
      </w:r>
      <w:r w:rsidRPr="00EE5675">
        <w:t>of the</w:t>
      </w:r>
      <w:r w:rsidRPr="00601D87">
        <w:rPr>
          <w:i/>
        </w:rPr>
        <w:t xml:space="preserve"> 2013</w:t>
      </w:r>
      <w:r>
        <w:rPr>
          <w:i/>
        </w:rPr>
        <w:noBreakHyphen/>
      </w:r>
      <w:r w:rsidRPr="00601D87">
        <w:rPr>
          <w:i/>
        </w:rPr>
        <w:t>14 Financial Report</w:t>
      </w:r>
      <w:r>
        <w:rPr>
          <w:i/>
        </w:rPr>
        <w:t xml:space="preserve"> </w:t>
      </w:r>
      <w:r>
        <w:t>for the State of Victoria</w:t>
      </w:r>
      <w:r w:rsidRPr="00601D87">
        <w:rPr>
          <w:i/>
        </w:rPr>
        <w:t>.</w:t>
      </w:r>
    </w:p>
    <w:p w:rsidR="00B03921" w:rsidRPr="0040125C" w:rsidRDefault="00B03921" w:rsidP="00016914">
      <w:pPr>
        <w:pStyle w:val="Heading3Numbering"/>
        <w:tabs>
          <w:tab w:val="num" w:pos="720"/>
        </w:tabs>
        <w:ind w:left="720" w:hanging="720"/>
      </w:pPr>
      <w:r w:rsidRPr="0040125C">
        <w:t>Statement of compliance</w:t>
      </w:r>
    </w:p>
    <w:p w:rsidR="00B03921" w:rsidRPr="0040125C" w:rsidRDefault="00B03921" w:rsidP="00016914">
      <w:r w:rsidRPr="0040125C">
        <w:t>These Estimated Financial Statements have been prepa</w:t>
      </w:r>
      <w:r>
        <w:t>red in accordance with sections </w:t>
      </w:r>
      <w:r w:rsidRPr="0040125C">
        <w:t>23H</w:t>
      </w:r>
      <w:r>
        <w:noBreakHyphen/>
      </w:r>
      <w:r w:rsidRPr="0040125C">
        <w:t xml:space="preserve">23K of the </w:t>
      </w:r>
      <w:r w:rsidRPr="0040125C">
        <w:rPr>
          <w:i/>
        </w:rPr>
        <w:t>Financial Management Act 1994,</w:t>
      </w:r>
      <w:r w:rsidRPr="0040125C">
        <w:t xml:space="preserve"> having regard to Australian Accounting Standards (AAS</w:t>
      </w:r>
      <w:r>
        <w:t>s</w:t>
      </w:r>
      <w:r w:rsidRPr="0040125C">
        <w:t>). AAS</w:t>
      </w:r>
      <w:r>
        <w:t>s</w:t>
      </w:r>
      <w:r w:rsidRPr="0040125C">
        <w:t xml:space="preserve"> include Interpretations issued by the Australian Accounting Standards Board (AASB). </w:t>
      </w:r>
    </w:p>
    <w:p w:rsidR="00B03921" w:rsidRPr="0040125C" w:rsidRDefault="00B03921" w:rsidP="00016914">
      <w:r w:rsidRPr="0040125C">
        <w:t xml:space="preserve">The Estimated Financial Statements are presented in a manner consistent with the principles of AASB 1049 </w:t>
      </w:r>
      <w:r w:rsidRPr="0040125C">
        <w:rPr>
          <w:i/>
        </w:rPr>
        <w:t>Whole of Government and General Government Sector Financial Reporting</w:t>
      </w:r>
      <w:r w:rsidRPr="0040125C">
        <w:t xml:space="preserve"> (AASB 1049)</w:t>
      </w:r>
      <w:r>
        <w:t xml:space="preserve"> </w:t>
      </w:r>
      <w:r w:rsidRPr="0040125C">
        <w:t>and other relevant AAS</w:t>
      </w:r>
      <w:r>
        <w:t>s</w:t>
      </w:r>
      <w:r w:rsidRPr="0040125C">
        <w:t>. However, the prospective nature of these Estimated Financial Statements means that some AAS disclosures are neither relevant nor practical and have been omitted. Where appropriate, those AAS</w:t>
      </w:r>
      <w:r>
        <w:t>s</w:t>
      </w:r>
      <w:r w:rsidRPr="0040125C">
        <w:t> paragraphs relevant to not</w:t>
      </w:r>
      <w:r>
        <w:noBreakHyphen/>
      </w:r>
      <w:r w:rsidRPr="0040125C">
        <w:t>for</w:t>
      </w:r>
      <w:r>
        <w:noBreakHyphen/>
      </w:r>
      <w:r w:rsidRPr="0040125C">
        <w:t>profit entities have been applied. Because AAS</w:t>
      </w:r>
      <w:r>
        <w:t>s</w:t>
      </w:r>
      <w:r w:rsidRPr="0040125C">
        <w:t xml:space="preserve"> do not prescribe requirements for </w:t>
      </w:r>
      <w:r>
        <w:t>preparing and presenting</w:t>
      </w:r>
      <w:r w:rsidRPr="0040125C">
        <w:t xml:space="preserve"> prospective financial statements, the Estimated Financial Statements have been prepared having regard to the principles set out in New Zealand </w:t>
      </w:r>
      <w:r>
        <w:t xml:space="preserve">Public Benefit Entity </w:t>
      </w:r>
      <w:r w:rsidRPr="0040125C">
        <w:t xml:space="preserve">Financial Reporting Standard 42 </w:t>
      </w:r>
      <w:r w:rsidRPr="0040125C">
        <w:rPr>
          <w:i/>
        </w:rPr>
        <w:t>Prospective Financial Statements</w:t>
      </w:r>
      <w:r w:rsidRPr="0040125C">
        <w:t>.</w:t>
      </w:r>
    </w:p>
    <w:p w:rsidR="00B03921" w:rsidRPr="0040125C" w:rsidRDefault="00B03921" w:rsidP="00016914">
      <w:r w:rsidRPr="0040125C">
        <w:t xml:space="preserve">The Government Finance Statistics (GFS) information included in this report is based on </w:t>
      </w:r>
      <w:r>
        <w:t xml:space="preserve">the </w:t>
      </w:r>
      <w:r w:rsidRPr="00D01454">
        <w:rPr>
          <w:i/>
        </w:rPr>
        <w:t>Australian System of Government Finance Statistics: Concepts, Sources and Methods 2005 Cat.</w:t>
      </w:r>
      <w:r>
        <w:rPr>
          <w:i/>
        </w:rPr>
        <w:t> </w:t>
      </w:r>
      <w:r w:rsidRPr="00D01454">
        <w:rPr>
          <w:i/>
        </w:rPr>
        <w:t xml:space="preserve">No. 5514.0 </w:t>
      </w:r>
      <w:r w:rsidRPr="00D01454">
        <w:t xml:space="preserve">and </w:t>
      </w:r>
      <w:r>
        <w:t xml:space="preserve">the </w:t>
      </w:r>
      <w:r w:rsidRPr="00D01454">
        <w:rPr>
          <w:i/>
        </w:rPr>
        <w:t>Amendments to Australian System of Government Finance Statistics, 2005</w:t>
      </w:r>
      <w:r w:rsidRPr="00D01454">
        <w:t xml:space="preserve"> (ABS Catalogue No. 5514.0) (the GFS Manual)</w:t>
      </w:r>
      <w:r w:rsidRPr="00D01454">
        <w:rPr>
          <w:i/>
        </w:rPr>
        <w:t>.</w:t>
      </w:r>
    </w:p>
    <w:p w:rsidR="00B03921" w:rsidRPr="0040125C" w:rsidRDefault="00B03921" w:rsidP="00016914">
      <w:r w:rsidRPr="0040125C">
        <w:t xml:space="preserve">The information presented in the Estimated Financial Statements takes into account all policy decisions taken by the Victorian Government, as well as known Commonwealth Government funding revisions and circumstances that may have a material effect on the Estimated Financial Statements as at </w:t>
      </w:r>
      <w:r w:rsidRPr="00421E30">
        <w:t>27 April 2015.</w:t>
      </w:r>
      <w:r w:rsidRPr="0040125C">
        <w:t xml:space="preserve"> </w:t>
      </w:r>
    </w:p>
    <w:p w:rsidR="00B03921" w:rsidRDefault="00B03921">
      <w:pPr>
        <w:spacing w:after="0"/>
        <w:rPr>
          <w:rFonts w:ascii="Calibri" w:hAnsi="Calibri"/>
          <w:b/>
          <w:i/>
          <w:sz w:val="24"/>
          <w:szCs w:val="22"/>
        </w:rPr>
      </w:pPr>
      <w:r>
        <w:br w:type="page"/>
      </w:r>
    </w:p>
    <w:p w:rsidR="00A035F3" w:rsidRDefault="00A035F3" w:rsidP="00A035F3">
      <w:pPr>
        <w:pStyle w:val="Heading2NotesContd"/>
      </w:pPr>
      <w:r>
        <w:t>Note 1:</w:t>
      </w:r>
      <w:r>
        <w:tab/>
        <w:t xml:space="preserve">Statement of significant accounting policies and forecast assumptions </w:t>
      </w:r>
      <w:r w:rsidRPr="00A035F3">
        <w:rPr>
          <w:i/>
        </w:rPr>
        <w:t>(continued)</w:t>
      </w:r>
    </w:p>
    <w:p w:rsidR="00B03921" w:rsidRPr="0040125C" w:rsidRDefault="00B03921" w:rsidP="00016914">
      <w:pPr>
        <w:pStyle w:val="Heading3Numbering"/>
        <w:tabs>
          <w:tab w:val="num" w:pos="720"/>
        </w:tabs>
        <w:ind w:left="720" w:hanging="720"/>
      </w:pPr>
      <w:r w:rsidRPr="0040125C">
        <w:t>Basis of accounting, preparation and measurement</w:t>
      </w:r>
    </w:p>
    <w:p w:rsidR="00B03921" w:rsidRPr="0040125C" w:rsidRDefault="00B03921" w:rsidP="00016914">
      <w:r w:rsidRPr="0040125C">
        <w:t>The Estimated Financial Statements</w:t>
      </w:r>
      <w:r>
        <w:t xml:space="preserve"> have been prepared for the 2015</w:t>
      </w:r>
      <w:r>
        <w:noBreakHyphen/>
        <w:t>16</w:t>
      </w:r>
      <w:r w:rsidRPr="0040125C">
        <w:t xml:space="preserve"> budget year in accordance with accounting policies expected to be used in preparing historically oriented general purpose financial statements for that year, and the same accounting policies have been used for the subsequent forecast years.</w:t>
      </w:r>
    </w:p>
    <w:p w:rsidR="00B03921" w:rsidRPr="0040125C" w:rsidRDefault="00B03921" w:rsidP="00016914">
      <w:r w:rsidRPr="0040125C">
        <w:t xml:space="preserve">The accrual basis of accounting has been applied in </w:t>
      </w:r>
      <w:r>
        <w:t>preparing</w:t>
      </w:r>
      <w:r w:rsidRPr="0040125C">
        <w:t xml:space="preserve"> the Estimated Financial Statements whereby assets, liabilities, equity, revenue and expenses are recognised in the reporting period to which they relate, regardless of when cash is received or paid.</w:t>
      </w:r>
    </w:p>
    <w:p w:rsidR="00B03921" w:rsidRPr="0040125C" w:rsidRDefault="00B03921" w:rsidP="00016914">
      <w:r w:rsidRPr="0040125C">
        <w:t xml:space="preserve">The Estimated Financial Statements are presented in Australian dollars which is also the functional currency of the Victorian general government sector. </w:t>
      </w:r>
    </w:p>
    <w:p w:rsidR="00B03921" w:rsidRPr="0040125C" w:rsidRDefault="00B03921" w:rsidP="00016914">
      <w:r w:rsidRPr="0040125C">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w:t>
      </w:r>
      <w:r w:rsidRPr="00B214FB">
        <w:t>Given the prospective nature of the EFS, actual results may differ from these estimates</w:t>
      </w:r>
      <w:r>
        <w:t>.</w:t>
      </w:r>
      <w:r w:rsidRPr="00B214FB">
        <w:t xml:space="preserve"> </w:t>
      </w:r>
      <w:r w:rsidRPr="0040125C">
        <w:t xml:space="preserve">Revisions to accounting estimates are recognised in the period in which the estimate is revised and also in future periods that are affected by the revision. </w:t>
      </w:r>
    </w:p>
    <w:p w:rsidR="00B03921" w:rsidRPr="0040125C" w:rsidRDefault="00B03921" w:rsidP="00016914">
      <w:r w:rsidRPr="0040125C">
        <w:t>The Estimated Financial Statements have been prepared in accordance with the historical cost convention. Historical cost is based</w:t>
      </w:r>
      <w:r>
        <w:t xml:space="preserve"> on the fair value</w:t>
      </w:r>
      <w:r w:rsidRPr="0040125C">
        <w:t xml:space="preserve"> of the consideration</w:t>
      </w:r>
      <w:r>
        <w:t>s</w:t>
      </w:r>
      <w:r w:rsidRPr="0040125C">
        <w:t xml:space="preserve"> given in exchange for assets. Exceptions to the historical cost convention include:</w:t>
      </w:r>
    </w:p>
    <w:p w:rsidR="00B03921" w:rsidRPr="0040125C" w:rsidRDefault="00B03921" w:rsidP="00A035F3">
      <w:pPr>
        <w:pStyle w:val="BulletText"/>
        <w:spacing w:after="80"/>
        <w:ind w:left="357" w:hanging="357"/>
      </w:pPr>
      <w:r w:rsidRPr="0040125C">
        <w:t>general government sector investments in other sector entities that are measured at net asset value;</w:t>
      </w:r>
    </w:p>
    <w:p w:rsidR="00B03921" w:rsidRPr="0040125C" w:rsidRDefault="00B03921" w:rsidP="00A035F3">
      <w:pPr>
        <w:pStyle w:val="BulletText"/>
        <w:spacing w:after="80"/>
        <w:ind w:left="357" w:hanging="357"/>
      </w:pPr>
      <w:r w:rsidRPr="0040125C">
        <w:t>non</w:t>
      </w:r>
      <w:r>
        <w:noBreakHyphen/>
      </w:r>
      <w:r w:rsidRPr="0040125C">
        <w:t>financial physical assets which, subsequent to acquisition, are measured at a revalued amount being their fair value at the date of revaluation less any subsequent accumulated depreciation</w:t>
      </w:r>
      <w:r>
        <w:t xml:space="preserve">, </w:t>
      </w:r>
      <w:r w:rsidRPr="0040125C">
        <w:t>subsequent impairment losses</w:t>
      </w:r>
      <w:r>
        <w:t xml:space="preserve"> and obsolescence</w:t>
      </w:r>
      <w:r w:rsidRPr="0040125C">
        <w:t xml:space="preserve">. Revaluations are made with sufficient regularity to ensure that the carrying amounts do not materially differ from their fair value; </w:t>
      </w:r>
    </w:p>
    <w:p w:rsidR="00B03921" w:rsidRPr="0040125C" w:rsidRDefault="00B03921" w:rsidP="00A035F3">
      <w:pPr>
        <w:pStyle w:val="BulletText"/>
        <w:spacing w:after="80"/>
        <w:ind w:left="357" w:hanging="357"/>
      </w:pPr>
      <w:r w:rsidRPr="0040125C">
        <w:t>productive trees in commercial native forests, which are recognised at their fair value less costs to sell;</w:t>
      </w:r>
    </w:p>
    <w:p w:rsidR="00B03921" w:rsidRPr="0040125C" w:rsidRDefault="00B03921" w:rsidP="00A035F3">
      <w:pPr>
        <w:pStyle w:val="BulletText"/>
        <w:spacing w:after="80"/>
        <w:ind w:left="357" w:hanging="357"/>
      </w:pPr>
      <w:r w:rsidRPr="0040125C">
        <w:t xml:space="preserve">derivative financial instruments, managed investment schemes, certain debt securities and investment properties after initial recognition, which are measured at fair value with changes reflected in the estimated comprehensive operating statement (fair value through profit and loss); </w:t>
      </w:r>
    </w:p>
    <w:p w:rsidR="00B03921" w:rsidRPr="0040125C" w:rsidRDefault="00B03921" w:rsidP="00A035F3">
      <w:pPr>
        <w:pStyle w:val="BulletText"/>
        <w:spacing w:after="80"/>
        <w:ind w:left="357" w:hanging="357"/>
      </w:pPr>
      <w:r w:rsidRPr="0040125C">
        <w:t>certain liabilities, most notably unfunded superannuation and some insurance claim provisions, which are subject to an actuarial assessment; and</w:t>
      </w:r>
    </w:p>
    <w:p w:rsidR="00B03921" w:rsidRPr="0040125C" w:rsidRDefault="00B03921" w:rsidP="00A035F3">
      <w:pPr>
        <w:pStyle w:val="BulletText"/>
        <w:spacing w:after="80"/>
        <w:ind w:left="357" w:hanging="357"/>
      </w:pPr>
      <w:r w:rsidRPr="0040125C">
        <w:t>available</w:t>
      </w:r>
      <w:r>
        <w:noBreakHyphen/>
      </w:r>
      <w:r w:rsidRPr="0040125C">
        <w:t>for</w:t>
      </w:r>
      <w:r>
        <w:noBreakHyphen/>
      </w:r>
      <w:r w:rsidRPr="0040125C">
        <w:t xml:space="preserve">sale investments, which are measured at fair value with movements reflected in </w:t>
      </w:r>
      <w:r w:rsidR="00BA5A16">
        <w:t>‘</w:t>
      </w:r>
      <w:r w:rsidRPr="0040125C">
        <w:t>Other economic flows – other comprehensive income</w:t>
      </w:r>
      <w:r w:rsidR="00BA5A16">
        <w:t>’</w:t>
      </w:r>
      <w:r w:rsidRPr="0040125C">
        <w:t>.</w:t>
      </w:r>
    </w:p>
    <w:p w:rsidR="00B03921" w:rsidRPr="001A6F29" w:rsidRDefault="00B03921" w:rsidP="00016914">
      <w:r w:rsidRPr="001A6F29">
        <w:t xml:space="preserve">For assets and liabilities measured at fair value in the estimated balance sheet, the principles under AASB 13 </w:t>
      </w:r>
      <w:r w:rsidRPr="001A6F29">
        <w:rPr>
          <w:i/>
        </w:rPr>
        <w:t>Fair Value Measurement</w:t>
      </w:r>
      <w:r w:rsidRPr="001A6F29">
        <w:t xml:space="preserve"> have been applied. </w:t>
      </w:r>
    </w:p>
    <w:p w:rsidR="00A035F3" w:rsidRDefault="00A035F3" w:rsidP="00A035F3">
      <w:pPr>
        <w:pStyle w:val="Heading2NotesContd"/>
      </w:pPr>
      <w:r>
        <w:t>Note 1:</w:t>
      </w:r>
      <w:r>
        <w:tab/>
        <w:t xml:space="preserve">Statement of significant accounting policies and forecast assumptions </w:t>
      </w:r>
      <w:r w:rsidRPr="00A035F3">
        <w:rPr>
          <w:i/>
        </w:rPr>
        <w:t>(continued)</w:t>
      </w:r>
    </w:p>
    <w:p w:rsidR="00B03921" w:rsidRPr="001A6F29" w:rsidRDefault="00B03921" w:rsidP="00016914">
      <w:pPr>
        <w:pStyle w:val="BodyText"/>
      </w:pPr>
      <w:r w:rsidRPr="001A6F29">
        <w:t xml:space="preserve">As required by AASB 1049 </w:t>
      </w:r>
      <w:r w:rsidRPr="001A6F29">
        <w:rPr>
          <w:i/>
        </w:rPr>
        <w:t>Whole of Government and General Government Sector Financial Reporting</w:t>
      </w:r>
      <w:r w:rsidRPr="001A6F29">
        <w:t xml:space="preserve"> (AASB 1049), the estimated comprehensive operating statement distinguishes between </w:t>
      </w:r>
      <w:r w:rsidR="00BA5A16">
        <w:t>‘</w:t>
      </w:r>
      <w:r w:rsidRPr="001A6F29">
        <w:t>Transactions</w:t>
      </w:r>
      <w:r w:rsidR="00BA5A16">
        <w:t>’</w:t>
      </w:r>
      <w:r w:rsidRPr="001A6F29">
        <w:t xml:space="preserve"> and </w:t>
      </w:r>
      <w:r w:rsidR="00BA5A16">
        <w:t>‘</w:t>
      </w:r>
      <w:r w:rsidRPr="001A6F29">
        <w:t>Other economic flows</w:t>
      </w:r>
      <w:r w:rsidR="00BA5A16">
        <w:t>’</w:t>
      </w:r>
      <w:r w:rsidRPr="001A6F29">
        <w:t xml:space="preserve"> based on the principles in the GFS Manual. </w:t>
      </w:r>
      <w:r w:rsidR="00BA5A16">
        <w:t>‘</w:t>
      </w:r>
      <w:r w:rsidRPr="001A6F29">
        <w:t>Transactions</w:t>
      </w:r>
      <w:r w:rsidR="00BA5A16">
        <w:t>’</w:t>
      </w:r>
      <w:r w:rsidRPr="001A6F29">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the taxpayer. Transactions may be cash or settled in kind (e.g. assets provided/given free of charge or for nominal consideration). </w:t>
      </w:r>
    </w:p>
    <w:p w:rsidR="00B03921" w:rsidRPr="001A6F29" w:rsidRDefault="00B03921" w:rsidP="00016914">
      <w:r w:rsidRPr="001A6F29">
        <w:t xml:space="preserve"> </w:t>
      </w:r>
      <w:r w:rsidR="00BA5A16">
        <w:t>‘</w:t>
      </w:r>
      <w:r w:rsidRPr="001A6F29">
        <w:t>Other economic flows</w:t>
      </w:r>
      <w:r w:rsidR="00BA5A16">
        <w:t>’</w:t>
      </w:r>
      <w:r w:rsidRPr="001A6F29">
        <w:t xml:space="preserve"> are changes arising from market remeasurements. They include:</w:t>
      </w:r>
    </w:p>
    <w:p w:rsidR="00B03921" w:rsidRPr="001A6F29" w:rsidRDefault="00B03921" w:rsidP="00016914">
      <w:pPr>
        <w:pStyle w:val="BulletText"/>
      </w:pPr>
      <w:r w:rsidRPr="001A6F29">
        <w:t>gains and losses from disposals;</w:t>
      </w:r>
    </w:p>
    <w:p w:rsidR="00B03921" w:rsidRPr="001A6F29" w:rsidRDefault="00B03921" w:rsidP="00016914">
      <w:pPr>
        <w:pStyle w:val="BulletText"/>
      </w:pPr>
      <w:r w:rsidRPr="001A6F29">
        <w:t>revaluations and impairments of non-financial physical and intangible assets;</w:t>
      </w:r>
    </w:p>
    <w:p w:rsidR="00B03921" w:rsidRPr="001A6F29" w:rsidRDefault="00B03921" w:rsidP="00016914">
      <w:pPr>
        <w:pStyle w:val="BulletText"/>
      </w:pPr>
      <w:r w:rsidRPr="001A6F29">
        <w:t>remeasurement arising from defined benefit superannuation plans;</w:t>
      </w:r>
    </w:p>
    <w:p w:rsidR="00B03921" w:rsidRPr="001A6F29" w:rsidRDefault="00B03921" w:rsidP="00016914">
      <w:pPr>
        <w:pStyle w:val="BulletText"/>
      </w:pPr>
      <w:r w:rsidRPr="001A6F29">
        <w:t>fair value changes of financial instruments and agricultural assets; and</w:t>
      </w:r>
    </w:p>
    <w:p w:rsidR="00B03921" w:rsidRPr="001A6F29" w:rsidRDefault="00B03921" w:rsidP="00016914">
      <w:pPr>
        <w:pStyle w:val="BulletText"/>
      </w:pPr>
      <w:r w:rsidRPr="001A6F29">
        <w:t>depletion of natural assets (non-produced) from their use or removal.</w:t>
      </w:r>
    </w:p>
    <w:p w:rsidR="00B03921" w:rsidRPr="0040125C" w:rsidRDefault="00B03921" w:rsidP="00016914">
      <w:pPr>
        <w:pStyle w:val="Heading3Numbering"/>
        <w:tabs>
          <w:tab w:val="num" w:pos="720"/>
        </w:tabs>
        <w:ind w:left="720" w:hanging="720"/>
      </w:pPr>
      <w:r w:rsidRPr="0040125C">
        <w:t>Reporting entity</w:t>
      </w:r>
    </w:p>
    <w:p w:rsidR="00B03921" w:rsidRPr="0040125C" w:rsidRDefault="00B03921" w:rsidP="00016914">
      <w:r w:rsidRPr="0040125C">
        <w:t xml:space="preserve">The Estimated Financial Statements are prepared for the Victorian general government sector which includes all government departments, offices and other bodies engaged in providing services free of charge or at prices significantly below their cost of </w:t>
      </w:r>
      <w:r>
        <w:t>delivery</w:t>
      </w:r>
      <w:r w:rsidRPr="0040125C">
        <w:t>. The primary function of entities in the Victorian general government sector is to provide public services (outputs), which are mainly non</w:t>
      </w:r>
      <w:r>
        <w:noBreakHyphen/>
      </w:r>
      <w:r w:rsidRPr="0040125C">
        <w:t>market in nature, for the collective consumption</w:t>
      </w:r>
      <w:r>
        <w:t xml:space="preserve"> of the community, and involve </w:t>
      </w:r>
      <w:r w:rsidRPr="0040125C">
        <w:t>transfer</w:t>
      </w:r>
      <w:r>
        <w:t>ring or redistributing</w:t>
      </w:r>
      <w:r w:rsidRPr="0040125C">
        <w:t xml:space="preserve"> revenue that is financed mainly through taxes and other compulsory levies. </w:t>
      </w:r>
    </w:p>
    <w:p w:rsidR="00B03921" w:rsidRPr="0040125C" w:rsidRDefault="00B03921" w:rsidP="00016914">
      <w:r w:rsidRPr="0040125C">
        <w:t xml:space="preserve">The Victorian general government sector is not a separate entity but represents a sector within the State of Victoria whole of government reporting entity. Unless otherwise noted, accounting policies applied by the State apply equally to the Victorian general government sector. </w:t>
      </w:r>
    </w:p>
    <w:p w:rsidR="00B03921" w:rsidRPr="0040125C" w:rsidRDefault="00B03921" w:rsidP="00016914">
      <w:pPr>
        <w:pStyle w:val="Heading3Numbering"/>
        <w:tabs>
          <w:tab w:val="num" w:pos="720"/>
        </w:tabs>
        <w:ind w:left="720" w:hanging="720"/>
      </w:pPr>
      <w:r w:rsidRPr="0040125C">
        <w:t>Basis of consolidation</w:t>
      </w:r>
    </w:p>
    <w:p w:rsidR="00B03921" w:rsidRDefault="00B03921" w:rsidP="00016914">
      <w:r w:rsidRPr="0040125C">
        <w:t xml:space="preserve">The Estimated Financial Statements present the </w:t>
      </w:r>
      <w:r>
        <w:t xml:space="preserve">estimated </w:t>
      </w:r>
      <w:r w:rsidRPr="0040125C">
        <w:t xml:space="preserve">consolidated assets and liabilities of all reporting entities in the Victorian general government sector, and their revenue, gains and expenses for the respective period, consistent with the principles of </w:t>
      </w:r>
      <w:r w:rsidRPr="00B40E8C">
        <w:t>AASB 1049</w:t>
      </w:r>
      <w:r w:rsidRPr="0040125C">
        <w:t xml:space="preserve"> and AASB 10 </w:t>
      </w:r>
      <w:r w:rsidRPr="0040125C">
        <w:rPr>
          <w:i/>
        </w:rPr>
        <w:t>Consolidated Financial Statements</w:t>
      </w:r>
      <w:r w:rsidRPr="0040125C">
        <w:t>.</w:t>
      </w:r>
    </w:p>
    <w:p w:rsidR="00A035F3" w:rsidRDefault="00A035F3">
      <w:pPr>
        <w:spacing w:after="0"/>
      </w:pPr>
      <w:r>
        <w:br w:type="page"/>
      </w:r>
    </w:p>
    <w:p w:rsidR="00E90A36" w:rsidRDefault="00E90A36" w:rsidP="00E90A36">
      <w:pPr>
        <w:pStyle w:val="Heading2NotesContd"/>
        <w:spacing w:after="80"/>
        <w:ind w:left="1151" w:hanging="1151"/>
      </w:pPr>
      <w:r>
        <w:t>Note 1:</w:t>
      </w:r>
      <w:r>
        <w:tab/>
        <w:t xml:space="preserve">Statement of significant accounting policies and forecast assumptions </w:t>
      </w:r>
      <w:r w:rsidRPr="00A035F3">
        <w:rPr>
          <w:i/>
        </w:rPr>
        <w:t>(continued)</w:t>
      </w:r>
    </w:p>
    <w:p w:rsidR="00B03921" w:rsidRDefault="00B03921" w:rsidP="00016914">
      <w:r w:rsidRPr="0040125C">
        <w:t>Entities in the public non</w:t>
      </w:r>
      <w:r>
        <w:noBreakHyphen/>
      </w:r>
      <w:r w:rsidRPr="0040125C">
        <w:t>financial corporations (PNFC) and public financial corporations (PFC) sectors are not consolidated into the financial statements of the Victorian general government sector, but are accounted for as equity investments measured at the Government</w:t>
      </w:r>
      <w:r w:rsidR="00BA5A16">
        <w:t>’</w:t>
      </w:r>
      <w:r w:rsidRPr="0040125C">
        <w:t>s proportional share of the carrying amount of net assets of PNFC and PFC sector entities before consolidation eliminations. Where the carrying amount of an entity</w:t>
      </w:r>
      <w:r w:rsidR="00BA5A16">
        <w:t>’</w:t>
      </w:r>
      <w:r w:rsidRPr="0040125C">
        <w:t>s net assets before consolidation eliminations is less than zero, the amount is not included</w:t>
      </w:r>
      <w:r>
        <w:t xml:space="preserve"> at the general government sector</w:t>
      </w:r>
      <w:r w:rsidRPr="0040125C">
        <w:t>.</w:t>
      </w:r>
    </w:p>
    <w:p w:rsidR="00B03921" w:rsidRPr="0040125C" w:rsidRDefault="00B03921" w:rsidP="00016914">
      <w:pPr>
        <w:pStyle w:val="BodyText"/>
      </w:pPr>
      <w:r w:rsidRPr="0040125C">
        <w:t xml:space="preserve">Any change in the carrying amount of the investment from period to period is accounted for as if the change in carrying amount is a change in fair value and accounted for in a manner consistent with AASB 139 </w:t>
      </w:r>
      <w:r w:rsidRPr="0040125C">
        <w:rPr>
          <w:i/>
        </w:rPr>
        <w:t xml:space="preserve">Financial Instruments: Recognition and Measurement </w:t>
      </w:r>
      <w:r w:rsidRPr="0040125C">
        <w:t>and AASB 1049.</w:t>
      </w:r>
    </w:p>
    <w:p w:rsidR="00B03921" w:rsidRPr="0040125C" w:rsidRDefault="00B03921" w:rsidP="00016914">
      <w:pPr>
        <w:pStyle w:val="BodyText"/>
      </w:pPr>
      <w:r w:rsidRPr="0040125C">
        <w:t xml:space="preserve">Where control of an entity is expected to be obtained during the financial period, its results are included in the estimated comprehensive operating statement from the date </w:t>
      </w:r>
      <w:r>
        <w:br/>
      </w:r>
      <w:r w:rsidRPr="0040125C">
        <w:t>on which control will commence. Where control is expected to cease during a financial period, the entity</w:t>
      </w:r>
      <w:r w:rsidR="00BA5A16">
        <w:t>’</w:t>
      </w:r>
      <w:r w:rsidRPr="0040125C">
        <w:t xml:space="preserve">s results are included for that part of the period for which control </w:t>
      </w:r>
      <w:r>
        <w:br/>
      </w:r>
      <w:r w:rsidRPr="0040125C">
        <w:t xml:space="preserve">would exist. Where dissimilar accounting policies are adopted by entities and their effect </w:t>
      </w:r>
      <w:r>
        <w:br/>
      </w:r>
      <w:r w:rsidRPr="0040125C">
        <w:t>is considered material, adjustments are made to ensure consistent policies are adopted in the Estimated Financial Statements.</w:t>
      </w:r>
    </w:p>
    <w:p w:rsidR="00B03921" w:rsidRPr="0040125C" w:rsidRDefault="00B03921" w:rsidP="00016914">
      <w:pPr>
        <w:pStyle w:val="BodyText"/>
      </w:pPr>
      <w:r w:rsidRPr="0040125C">
        <w:t>In the process of reporting the Victorian general government sector, all material transactions and balances between entities within the sector are eliminated.</w:t>
      </w:r>
    </w:p>
    <w:p w:rsidR="00B03921" w:rsidRPr="0040125C" w:rsidRDefault="00B03921" w:rsidP="00016914">
      <w:pPr>
        <w:pStyle w:val="BodyText"/>
      </w:pPr>
      <w:r w:rsidRPr="0040125C">
        <w:t xml:space="preserve">The significant entities consolidated within the sector comprise those </w:t>
      </w:r>
      <w:r>
        <w:t xml:space="preserve">general government sector entities </w:t>
      </w:r>
      <w:r w:rsidRPr="0040125C">
        <w:t xml:space="preserve">listed in </w:t>
      </w:r>
      <w:r w:rsidRPr="006561EB">
        <w:t>Note 42</w:t>
      </w:r>
      <w:r w:rsidRPr="001D1A09">
        <w:t xml:space="preserve"> of Chapter</w:t>
      </w:r>
      <w:r>
        <w:t> </w:t>
      </w:r>
      <w:r w:rsidRPr="001D1A09">
        <w:t xml:space="preserve">4 </w:t>
      </w:r>
      <w:r w:rsidRPr="001D1A09">
        <w:rPr>
          <w:i/>
        </w:rPr>
        <w:t>Annual Financial Report</w:t>
      </w:r>
      <w:r w:rsidRPr="001D1A09">
        <w:t xml:space="preserve"> of </w:t>
      </w:r>
      <w:r w:rsidRPr="0040125C">
        <w:t xml:space="preserve">the </w:t>
      </w:r>
      <w:r w:rsidRPr="0040125C">
        <w:rPr>
          <w:i/>
        </w:rPr>
        <w:t>201</w:t>
      </w:r>
      <w:r>
        <w:rPr>
          <w:i/>
        </w:rPr>
        <w:t>3</w:t>
      </w:r>
      <w:r>
        <w:rPr>
          <w:i/>
        </w:rPr>
        <w:noBreakHyphen/>
      </w:r>
      <w:r w:rsidRPr="0040125C">
        <w:rPr>
          <w:i/>
        </w:rPr>
        <w:t>1</w:t>
      </w:r>
      <w:r>
        <w:rPr>
          <w:i/>
        </w:rPr>
        <w:t>4</w:t>
      </w:r>
      <w:r w:rsidRPr="0040125C">
        <w:rPr>
          <w:i/>
        </w:rPr>
        <w:t> Financial Report</w:t>
      </w:r>
      <w:r>
        <w:rPr>
          <w:i/>
        </w:rPr>
        <w:t xml:space="preserve"> </w:t>
      </w:r>
      <w:r>
        <w:t>for the State of Victoria</w:t>
      </w:r>
      <w:r w:rsidRPr="0040125C">
        <w:t xml:space="preserve">, except as stated in </w:t>
      </w:r>
      <w:r w:rsidRPr="00187345">
        <w:t>Note 27</w:t>
      </w:r>
      <w:r w:rsidRPr="0040125C">
        <w:t xml:space="preserve"> of the Estimated Financial Statements. </w:t>
      </w:r>
    </w:p>
    <w:p w:rsidR="00B03921" w:rsidRPr="00D43527" w:rsidRDefault="00B03921" w:rsidP="00016914">
      <w:pPr>
        <w:pStyle w:val="Heading3Numbering"/>
      </w:pPr>
      <w:r w:rsidRPr="00D43527">
        <w:t>Change in accounting policy</w:t>
      </w:r>
    </w:p>
    <w:p w:rsidR="00B03921" w:rsidRDefault="00B03921" w:rsidP="00016914">
      <w:pPr>
        <w:pStyle w:val="Heading4"/>
        <w:rPr>
          <w:b/>
        </w:rPr>
      </w:pPr>
      <w:r>
        <w:t>S</w:t>
      </w:r>
      <w:r w:rsidRPr="00687CDF">
        <w:t>uperannuation</w:t>
      </w:r>
    </w:p>
    <w:p w:rsidR="00B03921" w:rsidRPr="00687CDF" w:rsidRDefault="00B03921" w:rsidP="00016914">
      <w:pPr>
        <w:pStyle w:val="BodyText"/>
        <w:rPr>
          <w:b/>
          <w:i/>
        </w:rPr>
      </w:pPr>
      <w:r w:rsidRPr="00687CDF">
        <w:t xml:space="preserve">Revised AASB 119 </w:t>
      </w:r>
      <w:r w:rsidRPr="00F37328">
        <w:rPr>
          <w:i/>
        </w:rPr>
        <w:t>Employee Benefits</w:t>
      </w:r>
      <w:r w:rsidRPr="00687CDF">
        <w:t xml:space="preserve"> was applied for the first time in the 2013</w:t>
      </w:r>
      <w:r>
        <w:noBreakHyphen/>
      </w:r>
      <w:r w:rsidRPr="00687CDF">
        <w:t xml:space="preserve">14 financial year. This revised standard requires an entity to make a reliable estimate of the ultimate cost to the entity of the defined benefit schemes in estimating the net defined benefit superannuation liability. </w:t>
      </w:r>
    </w:p>
    <w:p w:rsidR="00B03921" w:rsidRPr="00687CDF" w:rsidRDefault="00B03921" w:rsidP="00016914">
      <w:pPr>
        <w:pStyle w:val="BodyText"/>
        <w:rPr>
          <w:b/>
          <w:i/>
        </w:rPr>
      </w:pPr>
      <w:r w:rsidRPr="00687CDF">
        <w:t>The State previously used a net tax approach in estimating the net defined benefit superannuation liability with the expected tax payable on contributions being offset by the tax credits expected to be generated from superannuation plan assets. This approach was adopted due to the fact that the investment income on these assets is largely tax exempt and franking credits received on the investment income are expected to be available to offset the taxes payable on contributions, which in turn reduces the ultimate cost of funding the State</w:t>
      </w:r>
      <w:r w:rsidR="00BA5A16">
        <w:t>’</w:t>
      </w:r>
      <w:r w:rsidRPr="00687CDF">
        <w:t>s defined benefit superannuation liability.</w:t>
      </w:r>
    </w:p>
    <w:p w:rsidR="00E90A36" w:rsidRDefault="00E90A36">
      <w:pPr>
        <w:spacing w:after="0"/>
      </w:pPr>
      <w:r>
        <w:br w:type="page"/>
      </w:r>
    </w:p>
    <w:p w:rsidR="00E90A36" w:rsidRDefault="00E90A36" w:rsidP="00A035F3">
      <w:pPr>
        <w:pStyle w:val="Heading2NotesContd"/>
      </w:pPr>
      <w:r>
        <w:t>Note 1:</w:t>
      </w:r>
      <w:r>
        <w:tab/>
        <w:t xml:space="preserve">Statement of significant accounting policies and forecast assumptions </w:t>
      </w:r>
      <w:r w:rsidRPr="00A035F3">
        <w:rPr>
          <w:i/>
        </w:rPr>
        <w:t>(continued)</w:t>
      </w:r>
    </w:p>
    <w:p w:rsidR="00A035F3" w:rsidRDefault="00B03921" w:rsidP="00016914">
      <w:pPr>
        <w:pStyle w:val="BodyText"/>
      </w:pPr>
      <w:r>
        <w:t>However, under the revised S</w:t>
      </w:r>
      <w:r w:rsidRPr="00687CDF">
        <w:t xml:space="preserve">tandard, the State noted that there were differing views regarding the treatment of expected franking credits from superannuation plan assets. Following a review of broader industry practice, including that of other jurisdictions, the State has changed its accounting policy such that the calculation of the tax liability no longer allows for the fact that taxes payable will ultimately be offset by franking credits. </w:t>
      </w:r>
    </w:p>
    <w:p w:rsidR="00B03921" w:rsidRDefault="00B03921" w:rsidP="00016914">
      <w:pPr>
        <w:pStyle w:val="BodyText"/>
      </w:pPr>
      <w:r w:rsidRPr="00687CDF">
        <w:t>This has resulted in an increase in the net defined superannuation liability of approximately $570 million over t</w:t>
      </w:r>
      <w:r>
        <w:t xml:space="preserve">he budget and forward estimates. </w:t>
      </w:r>
    </w:p>
    <w:p w:rsidR="00B03921" w:rsidRDefault="00B03921" w:rsidP="00016914">
      <w:pPr>
        <w:pStyle w:val="BodyText"/>
      </w:pPr>
      <w:r w:rsidRPr="00C93C39">
        <w:t xml:space="preserve">The change will not have a significant impact on the net result from transactions, as the increase in net superannuation interest expense will be </w:t>
      </w:r>
      <w:r>
        <w:t>partially</w:t>
      </w:r>
      <w:r w:rsidRPr="00C93C39">
        <w:t xml:space="preserve"> offset by a</w:t>
      </w:r>
      <w:r>
        <w:t xml:space="preserve">n expected decrease </w:t>
      </w:r>
      <w:r w:rsidRPr="00C93C39">
        <w:t xml:space="preserve">in the associated superannuation service cost. Future </w:t>
      </w:r>
      <w:r w:rsidRPr="00687CDF">
        <w:t>franking credits and other tax offsets will be incorporated as part of the return on asset</w:t>
      </w:r>
      <w:r>
        <w:t>s</w:t>
      </w:r>
      <w:r w:rsidRPr="00687CDF">
        <w:t xml:space="preserve"> each year and recognised accordingly as they arise</w:t>
      </w:r>
      <w:r>
        <w:t xml:space="preserve">. </w:t>
      </w:r>
    </w:p>
    <w:p w:rsidR="00B03921" w:rsidRPr="00E27A35" w:rsidRDefault="00B03921" w:rsidP="00016914">
      <w:pPr>
        <w:pStyle w:val="BodyText"/>
      </w:pPr>
      <w:r w:rsidRPr="00687CDF">
        <w:t>This change in policy will provide more releva</w:t>
      </w:r>
      <w:r>
        <w:t>nt information to users of the Estimated F</w:t>
      </w:r>
      <w:r w:rsidRPr="00687CDF">
        <w:t>inan</w:t>
      </w:r>
      <w:r>
        <w:t>cial S</w:t>
      </w:r>
      <w:r w:rsidRPr="00687CDF">
        <w:t>tatements as it will better facilitate inter</w:t>
      </w:r>
      <w:r>
        <w:noBreakHyphen/>
      </w:r>
      <w:r w:rsidRPr="00687CDF">
        <w:t>jurisdictional comparisons.</w:t>
      </w:r>
    </w:p>
    <w:p w:rsidR="00B03921" w:rsidRDefault="00B03921" w:rsidP="00016914">
      <w:pPr>
        <w:pStyle w:val="Heading4"/>
      </w:pPr>
      <w:r w:rsidRPr="0094560F">
        <w:t xml:space="preserve">Valuation </w:t>
      </w:r>
      <w:r w:rsidRPr="00E27A35">
        <w:t>of</w:t>
      </w:r>
      <w:r w:rsidRPr="0094560F">
        <w:t xml:space="preserve"> school building assets</w:t>
      </w:r>
    </w:p>
    <w:p w:rsidR="00B03921" w:rsidRDefault="00B03921" w:rsidP="00016914">
      <w:r w:rsidRPr="00914000">
        <w:t>The State has made a change in its accounting policy during the 2014</w:t>
      </w:r>
      <w:r>
        <w:noBreakHyphen/>
      </w:r>
      <w:r w:rsidRPr="00914000">
        <w:t xml:space="preserve">15 financial year for the valuation of school building assets and has adopted the same accounting policy in </w:t>
      </w:r>
      <w:r>
        <w:t>the preparation of the 2015</w:t>
      </w:r>
      <w:r>
        <w:noBreakHyphen/>
        <w:t xml:space="preserve">16 </w:t>
      </w:r>
      <w:r w:rsidRPr="003662E1">
        <w:t>Estimated Financial Statements</w:t>
      </w:r>
      <w:r w:rsidRPr="00914000">
        <w:t xml:space="preserve">. </w:t>
      </w:r>
    </w:p>
    <w:p w:rsidR="00B03921" w:rsidRPr="00F37328" w:rsidRDefault="00B03921" w:rsidP="00016914">
      <w:r w:rsidRPr="00914000">
        <w:t>In particular, the State has previously adjusted for economic obsolescence in the valuation of its school building assets where floor space was assessed to be permanently in excess of teaching requirements by referenc</w:t>
      </w:r>
      <w:r>
        <w:t>e to long</w:t>
      </w:r>
      <w:r>
        <w:noBreakHyphen/>
        <w:t xml:space="preserve">term enrolment data. </w:t>
      </w:r>
      <w:r w:rsidRPr="00914000">
        <w:t>Noting the lack of specific and definitive guidance in the application of the concept of economic obsolescence required by the relevant Australian Accounting Standard AASB 13, the State no longer includes an adjustment for economic obsolescence in measuring the fair value of its school asset</w:t>
      </w:r>
      <w:r>
        <w:t xml:space="preserve">s that are still in use in providing core services or ancillary community use. </w:t>
      </w:r>
      <w:r w:rsidRPr="00914000">
        <w:t>This records school building assets at current replacement cost.</w:t>
      </w:r>
    </w:p>
    <w:p w:rsidR="00B03921" w:rsidRPr="00914000" w:rsidRDefault="00B03921" w:rsidP="00016914">
      <w:pPr>
        <w:rPr>
          <w:b/>
          <w:i/>
        </w:rPr>
      </w:pPr>
      <w:r w:rsidRPr="00914000">
        <w:t>The impact of the change in accounting policy will be to increase the estimated depreciation expense by approximately $40 million each year over the budget and forward estimates for the general governmen</w:t>
      </w:r>
      <w:r>
        <w:t>t sector as a result of the $1.6</w:t>
      </w:r>
      <w:r w:rsidRPr="00914000">
        <w:t xml:space="preserve"> billion increase to the estimated valuation of school building assets.</w:t>
      </w:r>
    </w:p>
    <w:p w:rsidR="00B03921" w:rsidRPr="0040125C" w:rsidRDefault="00B03921" w:rsidP="00016914">
      <w:pPr>
        <w:pStyle w:val="Heading3Numbering"/>
        <w:tabs>
          <w:tab w:val="num" w:pos="720"/>
        </w:tabs>
        <w:ind w:left="720" w:hanging="720"/>
      </w:pPr>
      <w:r w:rsidRPr="0040125C">
        <w:t>Rounding</w:t>
      </w:r>
    </w:p>
    <w:p w:rsidR="00B03921" w:rsidRPr="00922517" w:rsidRDefault="00B03921" w:rsidP="00016914">
      <w:r w:rsidRPr="0040125C">
        <w:t>All amounts in the Estimated Financial Statements have been rounded to the nearest $100 000 unless otherwise stated. Figures in the Estimated Financial Statements may not add due to rounding.</w:t>
      </w:r>
    </w:p>
    <w:p w:rsidR="00E90A36" w:rsidRDefault="00E90A36" w:rsidP="00A035F3">
      <w:pPr>
        <w:pStyle w:val="Heading2NotesContd"/>
      </w:pPr>
      <w:r>
        <w:t>Note 1:</w:t>
      </w:r>
      <w:r>
        <w:tab/>
        <w:t xml:space="preserve">Statement of significant accounting policies and forecast assumptions </w:t>
      </w:r>
      <w:r w:rsidRPr="00A035F3">
        <w:rPr>
          <w:i/>
        </w:rPr>
        <w:t>(continued)</w:t>
      </w:r>
    </w:p>
    <w:p w:rsidR="00B03921" w:rsidRPr="0040125C" w:rsidRDefault="00B03921" w:rsidP="00016914">
      <w:pPr>
        <w:pStyle w:val="Heading3Numbering"/>
        <w:tabs>
          <w:tab w:val="num" w:pos="720"/>
        </w:tabs>
        <w:ind w:left="720" w:hanging="720"/>
      </w:pPr>
      <w:r w:rsidRPr="0040125C">
        <w:t>Key financial measure</w:t>
      </w:r>
    </w:p>
    <w:p w:rsidR="00B03921" w:rsidRDefault="00B03921" w:rsidP="00016914">
      <w:r w:rsidRPr="00671652">
        <w:t>The</w:t>
      </w:r>
      <w:r w:rsidRPr="00671652">
        <w:rPr>
          <w:rFonts w:ascii="Helv" w:hAnsi="Helv" w:cs="Helv"/>
          <w:color w:val="000000"/>
          <w:sz w:val="20"/>
          <w:lang w:eastAsia="en-AU"/>
        </w:rPr>
        <w:t xml:space="preserve"> </w:t>
      </w:r>
      <w:r w:rsidRPr="00671652">
        <w:t xml:space="preserve">Government expects to achieve a net operating surplus (net result from transactions) consistent with maintaining general government net debt at a sustainable level over the medium term, as set out in Budget Paper No. 2, Chapter 1 </w:t>
      </w:r>
      <w:r w:rsidRPr="00671652">
        <w:rPr>
          <w:i/>
          <w:iCs/>
        </w:rPr>
        <w:t>Economic and Fiscal Overview</w:t>
      </w:r>
      <w:r w:rsidRPr="00671652">
        <w:t>.</w:t>
      </w:r>
    </w:p>
    <w:p w:rsidR="00B03921" w:rsidRDefault="00B03921" w:rsidP="00016914">
      <w:r>
        <w:t>For the 2</w:t>
      </w:r>
      <w:r w:rsidRPr="00184651">
        <w:rPr>
          <w:i/>
        </w:rPr>
        <w:t>015-16 Budget</w:t>
      </w:r>
      <w:r>
        <w:t>, the Government has set its sustainability objective as: net operating surpluses in each year over the budget and forward estimates period; and net debt as a percentage of GSP reducing from the commencement of the budget year to the end of the forward estimates period.</w:t>
      </w:r>
    </w:p>
    <w:p w:rsidR="00B03921" w:rsidRPr="0040125C" w:rsidRDefault="00B03921" w:rsidP="00A035F3">
      <w:pPr>
        <w:pStyle w:val="Heading3Numbering"/>
        <w:tabs>
          <w:tab w:val="num" w:pos="720"/>
        </w:tabs>
        <w:spacing w:before="200"/>
        <w:ind w:left="720" w:hanging="720"/>
      </w:pPr>
      <w:r w:rsidRPr="0040125C">
        <w:t>Material economic and other assumptions</w:t>
      </w:r>
    </w:p>
    <w:p w:rsidR="00B03921" w:rsidRPr="0040125C" w:rsidRDefault="00B03921" w:rsidP="00016914">
      <w:r w:rsidRPr="0040125C">
        <w:t xml:space="preserve">The Estimated Financial Statements have been prepared using the material economic and other assumptions listed below. </w:t>
      </w:r>
    </w:p>
    <w:p w:rsidR="00B03921" w:rsidRPr="0040125C" w:rsidRDefault="00B03921" w:rsidP="00A035F3">
      <w:pPr>
        <w:pStyle w:val="Tableheading"/>
        <w:spacing w:before="200"/>
        <w:rPr>
          <w:sz w:val="20"/>
          <w:vertAlign w:val="superscript"/>
        </w:rPr>
      </w:pPr>
      <w:r w:rsidRPr="00671652">
        <w:t>Key economic assumptions</w:t>
      </w:r>
      <w:r w:rsidRPr="00671652">
        <w:rPr>
          <w:sz w:val="20"/>
          <w:vertAlign w:val="superscript"/>
        </w:rPr>
        <w:t>(a)</w:t>
      </w:r>
    </w:p>
    <w:tbl>
      <w:tblPr>
        <w:tblW w:w="7760" w:type="dxa"/>
        <w:tblInd w:w="29" w:type="dxa"/>
        <w:tblLayout w:type="fixed"/>
        <w:tblCellMar>
          <w:left w:w="43" w:type="dxa"/>
          <w:right w:w="43" w:type="dxa"/>
        </w:tblCellMar>
        <w:tblLook w:val="00A0" w:firstRow="1" w:lastRow="0" w:firstColumn="1" w:lastColumn="0" w:noHBand="0" w:noVBand="0"/>
      </w:tblPr>
      <w:tblGrid>
        <w:gridCol w:w="2788"/>
        <w:gridCol w:w="993"/>
        <w:gridCol w:w="994"/>
        <w:gridCol w:w="994"/>
        <w:gridCol w:w="994"/>
        <w:gridCol w:w="997"/>
      </w:tblGrid>
      <w:tr w:rsidR="00016914" w:rsidRPr="0021755A" w:rsidTr="00016914">
        <w:trPr>
          <w:cantSplit/>
          <w:trHeight w:val="503"/>
          <w:tblHeader/>
        </w:trPr>
        <w:tc>
          <w:tcPr>
            <w:tcW w:w="2788" w:type="dxa"/>
            <w:tcBorders>
              <w:top w:val="single" w:sz="6" w:space="0" w:color="000000"/>
              <w:left w:val="single" w:sz="6" w:space="0" w:color="000000"/>
            </w:tcBorders>
            <w:shd w:val="clear" w:color="auto" w:fill="000000"/>
          </w:tcPr>
          <w:p w:rsidR="00016914" w:rsidRPr="0021755A" w:rsidRDefault="00016914" w:rsidP="00016914">
            <w:pPr>
              <w:pStyle w:val="Tabletext"/>
              <w:rPr>
                <w:lang w:eastAsia="en-AU"/>
              </w:rPr>
            </w:pPr>
            <w:r w:rsidRPr="0021755A">
              <w:rPr>
                <w:rFonts w:cs="Calibri"/>
                <w:lang w:eastAsia="en-AU"/>
              </w:rPr>
              <w:t xml:space="preserve"> </w:t>
            </w:r>
          </w:p>
        </w:tc>
        <w:tc>
          <w:tcPr>
            <w:tcW w:w="993" w:type="dxa"/>
            <w:tcBorders>
              <w:top w:val="single" w:sz="6" w:space="0" w:color="000000"/>
            </w:tcBorders>
            <w:shd w:val="clear" w:color="auto" w:fill="000000"/>
          </w:tcPr>
          <w:p w:rsidR="00016914" w:rsidRPr="0021755A" w:rsidRDefault="00016914" w:rsidP="00016914">
            <w:pPr>
              <w:pStyle w:val="Tabletextheading"/>
              <w:rPr>
                <w:rFonts w:cs="Calibri"/>
                <w:iCs/>
                <w:color w:val="FFFFFF"/>
                <w:lang w:eastAsia="en-AU"/>
              </w:rPr>
            </w:pPr>
            <w:r w:rsidRPr="0021755A">
              <w:rPr>
                <w:rFonts w:cs="Calibri"/>
                <w:iCs/>
                <w:color w:val="FFFFFF"/>
                <w:lang w:eastAsia="en-AU"/>
              </w:rPr>
              <w:t>2014-15</w:t>
            </w:r>
            <w:r>
              <w:rPr>
                <w:rFonts w:cs="Calibri"/>
                <w:iCs/>
                <w:color w:val="FFFFFF"/>
                <w:lang w:eastAsia="en-AU"/>
              </w:rPr>
              <w:t xml:space="preserve"> </w:t>
            </w:r>
            <w:r w:rsidRPr="0021755A">
              <w:rPr>
                <w:rFonts w:cs="Calibri"/>
                <w:iCs/>
                <w:color w:val="FFFFFF"/>
                <w:lang w:eastAsia="en-AU"/>
              </w:rPr>
              <w:t>forecast</w:t>
            </w:r>
          </w:p>
        </w:tc>
        <w:tc>
          <w:tcPr>
            <w:tcW w:w="994" w:type="dxa"/>
            <w:tcBorders>
              <w:top w:val="single" w:sz="6" w:space="0" w:color="000000"/>
            </w:tcBorders>
            <w:shd w:val="clear" w:color="auto" w:fill="000000"/>
          </w:tcPr>
          <w:p w:rsidR="00016914" w:rsidRPr="0021755A" w:rsidRDefault="00016914" w:rsidP="00016914">
            <w:pPr>
              <w:pStyle w:val="Tabletextheading"/>
              <w:rPr>
                <w:rFonts w:cs="Calibri"/>
                <w:iCs/>
                <w:color w:val="FFFFFF"/>
                <w:lang w:eastAsia="en-AU"/>
              </w:rPr>
            </w:pPr>
            <w:r w:rsidRPr="0021755A">
              <w:rPr>
                <w:rFonts w:cs="Calibri"/>
                <w:iCs/>
                <w:color w:val="FFFFFF"/>
                <w:lang w:eastAsia="en-AU"/>
              </w:rPr>
              <w:t>2015-16</w:t>
            </w:r>
            <w:r>
              <w:rPr>
                <w:rFonts w:cs="Calibri"/>
                <w:iCs/>
                <w:color w:val="FFFFFF"/>
                <w:lang w:eastAsia="en-AU"/>
              </w:rPr>
              <w:t xml:space="preserve"> </w:t>
            </w:r>
            <w:r w:rsidRPr="0021755A">
              <w:rPr>
                <w:rFonts w:cs="Calibri"/>
                <w:iCs/>
                <w:color w:val="FFFFFF"/>
                <w:lang w:eastAsia="en-AU"/>
              </w:rPr>
              <w:t>forecast</w:t>
            </w:r>
          </w:p>
        </w:tc>
        <w:tc>
          <w:tcPr>
            <w:tcW w:w="994" w:type="dxa"/>
            <w:tcBorders>
              <w:top w:val="single" w:sz="6" w:space="0" w:color="000000"/>
            </w:tcBorders>
            <w:shd w:val="clear" w:color="auto" w:fill="000000"/>
          </w:tcPr>
          <w:p w:rsidR="00016914" w:rsidRPr="0021755A" w:rsidRDefault="00016914" w:rsidP="00016914">
            <w:pPr>
              <w:pStyle w:val="Tabletextheading"/>
              <w:rPr>
                <w:rFonts w:cs="Calibri"/>
                <w:iCs/>
                <w:color w:val="FFFFFF"/>
                <w:lang w:eastAsia="en-AU"/>
              </w:rPr>
            </w:pPr>
            <w:r w:rsidRPr="0021755A">
              <w:rPr>
                <w:rFonts w:cs="Calibri"/>
                <w:iCs/>
                <w:color w:val="FFFFFF"/>
                <w:lang w:eastAsia="en-AU"/>
              </w:rPr>
              <w:t>2016-17</w:t>
            </w:r>
            <w:r>
              <w:rPr>
                <w:rFonts w:cs="Calibri"/>
                <w:iCs/>
                <w:color w:val="FFFFFF"/>
                <w:lang w:eastAsia="en-AU"/>
              </w:rPr>
              <w:t xml:space="preserve"> </w:t>
            </w:r>
            <w:r w:rsidRPr="0021755A">
              <w:rPr>
                <w:rFonts w:cs="Calibri"/>
                <w:iCs/>
                <w:color w:val="FFFFFF"/>
                <w:lang w:eastAsia="en-AU"/>
              </w:rPr>
              <w:t>forecast</w:t>
            </w:r>
          </w:p>
        </w:tc>
        <w:tc>
          <w:tcPr>
            <w:tcW w:w="994" w:type="dxa"/>
            <w:tcBorders>
              <w:top w:val="single" w:sz="6" w:space="0" w:color="000000"/>
            </w:tcBorders>
            <w:shd w:val="clear" w:color="auto" w:fill="000000"/>
          </w:tcPr>
          <w:p w:rsidR="00016914" w:rsidRPr="0021755A" w:rsidRDefault="00016914" w:rsidP="00016914">
            <w:pPr>
              <w:pStyle w:val="Tabletextheading"/>
              <w:rPr>
                <w:rFonts w:cs="Calibri"/>
                <w:iCs/>
                <w:color w:val="FFFFFF"/>
                <w:lang w:eastAsia="en-AU"/>
              </w:rPr>
            </w:pPr>
            <w:r w:rsidRPr="0021755A">
              <w:rPr>
                <w:rFonts w:cs="Calibri"/>
                <w:iCs/>
                <w:color w:val="FFFFFF"/>
                <w:lang w:eastAsia="en-AU"/>
              </w:rPr>
              <w:t>2017-18</w:t>
            </w:r>
            <w:r>
              <w:rPr>
                <w:rFonts w:cs="Calibri"/>
                <w:iCs/>
                <w:color w:val="FFFFFF"/>
                <w:lang w:eastAsia="en-AU"/>
              </w:rPr>
              <w:t xml:space="preserve"> </w:t>
            </w:r>
            <w:r w:rsidRPr="0021755A">
              <w:rPr>
                <w:rFonts w:cs="Calibri"/>
                <w:iCs/>
                <w:color w:val="FFFFFF"/>
                <w:lang w:eastAsia="en-AU"/>
              </w:rPr>
              <w:t>projection</w:t>
            </w:r>
          </w:p>
        </w:tc>
        <w:tc>
          <w:tcPr>
            <w:tcW w:w="997" w:type="dxa"/>
            <w:tcBorders>
              <w:top w:val="single" w:sz="6" w:space="0" w:color="000000"/>
              <w:right w:val="single" w:sz="6" w:space="0" w:color="000000"/>
            </w:tcBorders>
            <w:shd w:val="clear" w:color="auto" w:fill="000000"/>
          </w:tcPr>
          <w:p w:rsidR="00016914" w:rsidRPr="0021755A" w:rsidRDefault="00016914" w:rsidP="00016914">
            <w:pPr>
              <w:pStyle w:val="Tabletextheading"/>
              <w:rPr>
                <w:rFonts w:cs="Calibri"/>
                <w:iCs/>
                <w:color w:val="FFFFFF"/>
                <w:lang w:eastAsia="en-AU"/>
              </w:rPr>
            </w:pPr>
            <w:r w:rsidRPr="0021755A">
              <w:rPr>
                <w:rFonts w:cs="Calibri"/>
                <w:iCs/>
                <w:color w:val="FFFFFF"/>
                <w:lang w:eastAsia="en-AU"/>
              </w:rPr>
              <w:t>2018-19</w:t>
            </w:r>
            <w:r>
              <w:rPr>
                <w:rFonts w:cs="Calibri"/>
                <w:iCs/>
                <w:color w:val="FFFFFF"/>
                <w:lang w:eastAsia="en-AU"/>
              </w:rPr>
              <w:t xml:space="preserve"> </w:t>
            </w:r>
            <w:r w:rsidRPr="0021755A">
              <w:rPr>
                <w:rFonts w:cs="Calibri"/>
                <w:iCs/>
                <w:color w:val="FFFFFF"/>
                <w:lang w:eastAsia="en-AU"/>
              </w:rPr>
              <w:t>projection</w:t>
            </w:r>
          </w:p>
        </w:tc>
      </w:tr>
      <w:tr w:rsidR="00B03921" w:rsidRPr="0021755A" w:rsidTr="00016914">
        <w:trPr>
          <w:cantSplit/>
        </w:trPr>
        <w:tc>
          <w:tcPr>
            <w:tcW w:w="2788" w:type="dxa"/>
            <w:tcBorders>
              <w:top w:val="single" w:sz="6" w:space="0" w:color="000000"/>
            </w:tcBorders>
          </w:tcPr>
          <w:p w:rsidR="00B03921" w:rsidRPr="0021755A" w:rsidRDefault="00B03921" w:rsidP="00016914">
            <w:pPr>
              <w:pStyle w:val="TableofFigures"/>
              <w:rPr>
                <w:rFonts w:cs="Calibri"/>
                <w:i/>
                <w:iCs/>
                <w:lang w:eastAsia="en-AU"/>
              </w:rPr>
            </w:pPr>
          </w:p>
        </w:tc>
        <w:tc>
          <w:tcPr>
            <w:tcW w:w="4972" w:type="dxa"/>
            <w:gridSpan w:val="5"/>
            <w:tcBorders>
              <w:top w:val="single" w:sz="6" w:space="0" w:color="000000"/>
            </w:tcBorders>
          </w:tcPr>
          <w:p w:rsidR="00B03921" w:rsidRPr="0021755A" w:rsidRDefault="00B03921" w:rsidP="00016914">
            <w:pPr>
              <w:pStyle w:val="TableofFigures"/>
              <w:jc w:val="center"/>
              <w:rPr>
                <w:rFonts w:cs="Calibri"/>
                <w:i/>
                <w:iCs/>
                <w:lang w:eastAsia="en-AU"/>
              </w:rPr>
            </w:pPr>
            <w:r w:rsidRPr="0021755A">
              <w:rPr>
                <w:rFonts w:cs="Calibri"/>
                <w:i/>
                <w:iCs/>
                <w:lang w:eastAsia="en-AU"/>
              </w:rPr>
              <w:t>($ billion)</w:t>
            </w:r>
          </w:p>
        </w:tc>
      </w:tr>
      <w:tr w:rsidR="00B03921" w:rsidRPr="0021755A" w:rsidTr="00016914">
        <w:trPr>
          <w:cantSplit/>
        </w:trPr>
        <w:tc>
          <w:tcPr>
            <w:tcW w:w="2788" w:type="dxa"/>
          </w:tcPr>
          <w:p w:rsidR="00B03921" w:rsidRPr="0021755A" w:rsidRDefault="00B03921" w:rsidP="00016914">
            <w:pPr>
              <w:pStyle w:val="Tabletext"/>
              <w:rPr>
                <w:rFonts w:cs="Calibri"/>
                <w:lang w:eastAsia="en-AU"/>
              </w:rPr>
            </w:pPr>
            <w:r w:rsidRPr="0021755A">
              <w:rPr>
                <w:rFonts w:cs="Calibri"/>
                <w:lang w:eastAsia="en-AU"/>
              </w:rPr>
              <w:t>Nominal gross state product</w:t>
            </w:r>
          </w:p>
        </w:tc>
        <w:tc>
          <w:tcPr>
            <w:tcW w:w="993" w:type="dxa"/>
          </w:tcPr>
          <w:p w:rsidR="00B03921" w:rsidRPr="0021755A" w:rsidRDefault="00B03921" w:rsidP="00016914">
            <w:pPr>
              <w:pStyle w:val="TableofFigures"/>
              <w:rPr>
                <w:rFonts w:cs="Calibri"/>
                <w:lang w:eastAsia="en-AU"/>
              </w:rPr>
            </w:pPr>
            <w:r w:rsidRPr="0021755A">
              <w:rPr>
                <w:rFonts w:cs="Calibri"/>
                <w:lang w:eastAsia="en-AU"/>
              </w:rPr>
              <w:t>363.7</w:t>
            </w:r>
          </w:p>
        </w:tc>
        <w:tc>
          <w:tcPr>
            <w:tcW w:w="994" w:type="dxa"/>
          </w:tcPr>
          <w:p w:rsidR="00B03921" w:rsidRPr="0021755A" w:rsidRDefault="00B03921" w:rsidP="00016914">
            <w:pPr>
              <w:pStyle w:val="TableofFigures"/>
              <w:rPr>
                <w:rFonts w:cs="Calibri"/>
                <w:lang w:eastAsia="en-AU"/>
              </w:rPr>
            </w:pPr>
            <w:r w:rsidRPr="0021755A">
              <w:rPr>
                <w:rFonts w:cs="Calibri"/>
                <w:lang w:eastAsia="en-AU"/>
              </w:rPr>
              <w:t>383.6</w:t>
            </w:r>
          </w:p>
        </w:tc>
        <w:tc>
          <w:tcPr>
            <w:tcW w:w="994" w:type="dxa"/>
          </w:tcPr>
          <w:p w:rsidR="00B03921" w:rsidRPr="0021755A" w:rsidRDefault="00B03921" w:rsidP="00016914">
            <w:pPr>
              <w:pStyle w:val="TableofFigures"/>
              <w:rPr>
                <w:rFonts w:cs="Calibri"/>
                <w:lang w:eastAsia="en-AU"/>
              </w:rPr>
            </w:pPr>
            <w:r w:rsidRPr="0021755A">
              <w:rPr>
                <w:rFonts w:cs="Calibri"/>
                <w:lang w:eastAsia="en-AU"/>
              </w:rPr>
              <w:t>404.9</w:t>
            </w:r>
          </w:p>
        </w:tc>
        <w:tc>
          <w:tcPr>
            <w:tcW w:w="994" w:type="dxa"/>
          </w:tcPr>
          <w:p w:rsidR="00B03921" w:rsidRPr="0021755A" w:rsidRDefault="00B03921" w:rsidP="00016914">
            <w:pPr>
              <w:pStyle w:val="TableofFigures"/>
              <w:rPr>
                <w:rFonts w:cs="Calibri"/>
                <w:lang w:eastAsia="en-AU"/>
              </w:rPr>
            </w:pPr>
            <w:r w:rsidRPr="0021755A">
              <w:rPr>
                <w:rFonts w:cs="Calibri"/>
                <w:lang w:eastAsia="en-AU"/>
              </w:rPr>
              <w:t>426.3</w:t>
            </w:r>
          </w:p>
        </w:tc>
        <w:tc>
          <w:tcPr>
            <w:tcW w:w="997" w:type="dxa"/>
          </w:tcPr>
          <w:p w:rsidR="00B03921" w:rsidRPr="0021755A" w:rsidRDefault="00B03921" w:rsidP="00016914">
            <w:pPr>
              <w:pStyle w:val="TableofFigures"/>
              <w:rPr>
                <w:rFonts w:cs="Calibri"/>
                <w:lang w:eastAsia="en-AU"/>
              </w:rPr>
            </w:pPr>
            <w:r w:rsidRPr="0021755A">
              <w:rPr>
                <w:rFonts w:cs="Calibri"/>
                <w:lang w:eastAsia="en-AU"/>
              </w:rPr>
              <w:t>448.9</w:t>
            </w:r>
          </w:p>
        </w:tc>
      </w:tr>
      <w:tr w:rsidR="00B03921" w:rsidRPr="0021755A" w:rsidTr="00016914">
        <w:trPr>
          <w:cantSplit/>
        </w:trPr>
        <w:tc>
          <w:tcPr>
            <w:tcW w:w="2788" w:type="dxa"/>
          </w:tcPr>
          <w:p w:rsidR="00B03921" w:rsidRPr="0021755A" w:rsidRDefault="00B03921" w:rsidP="00016914">
            <w:pPr>
              <w:pStyle w:val="Tabletext"/>
              <w:rPr>
                <w:rFonts w:cs="Calibri"/>
                <w:i/>
                <w:iCs/>
                <w:vertAlign w:val="superscript"/>
                <w:lang w:eastAsia="en-AU"/>
              </w:rPr>
            </w:pPr>
          </w:p>
        </w:tc>
        <w:tc>
          <w:tcPr>
            <w:tcW w:w="4972" w:type="dxa"/>
            <w:gridSpan w:val="5"/>
          </w:tcPr>
          <w:p w:rsidR="00B03921" w:rsidRPr="0021755A" w:rsidRDefault="00B03921" w:rsidP="00016914">
            <w:pPr>
              <w:pStyle w:val="TableofFigures"/>
              <w:jc w:val="center"/>
              <w:rPr>
                <w:rFonts w:cs="Calibri"/>
                <w:i/>
                <w:iCs/>
                <w:vertAlign w:val="superscript"/>
                <w:lang w:eastAsia="en-AU"/>
              </w:rPr>
            </w:pPr>
            <w:r w:rsidRPr="0021755A">
              <w:rPr>
                <w:rFonts w:cs="Calibri"/>
                <w:i/>
                <w:iCs/>
                <w:lang w:eastAsia="en-AU"/>
              </w:rPr>
              <w:t>(percentage change)</w:t>
            </w:r>
            <w:r w:rsidRPr="0021755A">
              <w:rPr>
                <w:rFonts w:cs="Calibri"/>
                <w:i/>
                <w:iCs/>
                <w:vertAlign w:val="superscript"/>
                <w:lang w:eastAsia="en-AU"/>
              </w:rPr>
              <w:t>(b)</w:t>
            </w:r>
          </w:p>
        </w:tc>
      </w:tr>
      <w:tr w:rsidR="00B03921" w:rsidRPr="0021755A" w:rsidTr="00016914">
        <w:trPr>
          <w:cantSplit/>
        </w:trPr>
        <w:tc>
          <w:tcPr>
            <w:tcW w:w="2788" w:type="dxa"/>
          </w:tcPr>
          <w:p w:rsidR="00B03921" w:rsidRPr="0021755A" w:rsidRDefault="00B03921" w:rsidP="00016914">
            <w:pPr>
              <w:pStyle w:val="Tabletext"/>
              <w:rPr>
                <w:rFonts w:cs="Calibri"/>
                <w:lang w:eastAsia="en-AU"/>
              </w:rPr>
            </w:pPr>
            <w:r w:rsidRPr="0021755A">
              <w:rPr>
                <w:rFonts w:cs="Calibri"/>
                <w:lang w:eastAsia="en-AU"/>
              </w:rPr>
              <w:t>Real gross state product</w:t>
            </w:r>
          </w:p>
        </w:tc>
        <w:tc>
          <w:tcPr>
            <w:tcW w:w="993" w:type="dxa"/>
          </w:tcPr>
          <w:p w:rsidR="00B03921" w:rsidRPr="0021755A" w:rsidRDefault="00B03921" w:rsidP="00016914">
            <w:pPr>
              <w:pStyle w:val="TableofFigures"/>
              <w:rPr>
                <w:rFonts w:cs="Calibri"/>
                <w:lang w:eastAsia="en-AU"/>
              </w:rPr>
            </w:pPr>
            <w:r w:rsidRPr="0021755A">
              <w:rPr>
                <w:rFonts w:cs="Calibri"/>
                <w:lang w:eastAsia="en-AU"/>
              </w:rPr>
              <w:t>2.25</w:t>
            </w:r>
          </w:p>
        </w:tc>
        <w:tc>
          <w:tcPr>
            <w:tcW w:w="994" w:type="dxa"/>
          </w:tcPr>
          <w:p w:rsidR="00B03921" w:rsidRPr="0021755A" w:rsidRDefault="00B03921" w:rsidP="00016914">
            <w:pPr>
              <w:pStyle w:val="TableofFigures"/>
              <w:rPr>
                <w:rFonts w:cs="Calibri"/>
                <w:lang w:eastAsia="en-AU"/>
              </w:rPr>
            </w:pPr>
            <w:r w:rsidRPr="0021755A">
              <w:rPr>
                <w:rFonts w:cs="Calibri"/>
                <w:lang w:eastAsia="en-AU"/>
              </w:rPr>
              <w:t>2.50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2.75</w:t>
            </w:r>
          </w:p>
        </w:tc>
        <w:tc>
          <w:tcPr>
            <w:tcW w:w="994" w:type="dxa"/>
          </w:tcPr>
          <w:p w:rsidR="00B03921" w:rsidRPr="0021755A" w:rsidRDefault="00B03921" w:rsidP="00016914">
            <w:pPr>
              <w:pStyle w:val="TableofFigures"/>
              <w:rPr>
                <w:rFonts w:cs="Calibri"/>
                <w:lang w:eastAsia="en-AU"/>
              </w:rPr>
            </w:pPr>
            <w:r w:rsidRPr="0021755A">
              <w:rPr>
                <w:rFonts w:cs="Calibri"/>
                <w:lang w:eastAsia="en-AU"/>
              </w:rPr>
              <w:t>2.75</w:t>
            </w:r>
          </w:p>
        </w:tc>
        <w:tc>
          <w:tcPr>
            <w:tcW w:w="997" w:type="dxa"/>
          </w:tcPr>
          <w:p w:rsidR="00B03921" w:rsidRPr="0021755A" w:rsidRDefault="00B03921" w:rsidP="00016914">
            <w:pPr>
              <w:pStyle w:val="TableofFigures"/>
              <w:rPr>
                <w:rFonts w:cs="Calibri"/>
                <w:lang w:eastAsia="en-AU"/>
              </w:rPr>
            </w:pPr>
            <w:r w:rsidRPr="0021755A">
              <w:rPr>
                <w:rFonts w:cs="Calibri"/>
                <w:lang w:eastAsia="en-AU"/>
              </w:rPr>
              <w:t>2.75</w:t>
            </w:r>
          </w:p>
        </w:tc>
      </w:tr>
      <w:tr w:rsidR="00B03921" w:rsidRPr="0021755A" w:rsidTr="00016914">
        <w:trPr>
          <w:cantSplit/>
        </w:trPr>
        <w:tc>
          <w:tcPr>
            <w:tcW w:w="2788" w:type="dxa"/>
          </w:tcPr>
          <w:p w:rsidR="00B03921" w:rsidRPr="0021755A" w:rsidRDefault="00B03921" w:rsidP="00016914">
            <w:pPr>
              <w:pStyle w:val="Tabletext"/>
              <w:rPr>
                <w:rFonts w:cs="Calibri"/>
                <w:lang w:eastAsia="en-AU"/>
              </w:rPr>
            </w:pPr>
            <w:r w:rsidRPr="0021755A">
              <w:rPr>
                <w:rFonts w:cs="Calibri"/>
                <w:lang w:eastAsia="en-AU"/>
              </w:rPr>
              <w:t>Employment</w:t>
            </w:r>
          </w:p>
        </w:tc>
        <w:tc>
          <w:tcPr>
            <w:tcW w:w="993" w:type="dxa"/>
          </w:tcPr>
          <w:p w:rsidR="00B03921" w:rsidRPr="0021755A" w:rsidRDefault="00B03921" w:rsidP="00016914">
            <w:pPr>
              <w:pStyle w:val="TableofFigures"/>
              <w:rPr>
                <w:rFonts w:cs="Calibri"/>
                <w:lang w:eastAsia="en-AU"/>
              </w:rPr>
            </w:pPr>
            <w:r w:rsidRPr="0021755A">
              <w:rPr>
                <w:rFonts w:cs="Calibri"/>
                <w:lang w:eastAsia="en-AU"/>
              </w:rPr>
              <w:t>2.00</w:t>
            </w:r>
          </w:p>
        </w:tc>
        <w:tc>
          <w:tcPr>
            <w:tcW w:w="994" w:type="dxa"/>
          </w:tcPr>
          <w:p w:rsidR="00B03921" w:rsidRPr="0021755A" w:rsidRDefault="00B03921" w:rsidP="00016914">
            <w:pPr>
              <w:pStyle w:val="TableofFigures"/>
              <w:rPr>
                <w:rFonts w:cs="Calibri"/>
                <w:lang w:eastAsia="en-AU"/>
              </w:rPr>
            </w:pPr>
            <w:r w:rsidRPr="0021755A">
              <w:rPr>
                <w:rFonts w:cs="Calibri"/>
                <w:lang w:eastAsia="en-AU"/>
              </w:rPr>
              <w:t>1.50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1.50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1.50</w:t>
            </w:r>
          </w:p>
        </w:tc>
        <w:tc>
          <w:tcPr>
            <w:tcW w:w="997" w:type="dxa"/>
          </w:tcPr>
          <w:p w:rsidR="00B03921" w:rsidRPr="0021755A" w:rsidRDefault="00B03921" w:rsidP="00016914">
            <w:pPr>
              <w:pStyle w:val="TableofFigures"/>
              <w:rPr>
                <w:rFonts w:cs="Calibri"/>
                <w:lang w:eastAsia="en-AU"/>
              </w:rPr>
            </w:pPr>
            <w:r w:rsidRPr="0021755A">
              <w:rPr>
                <w:rFonts w:cs="Calibri"/>
                <w:lang w:eastAsia="en-AU"/>
              </w:rPr>
              <w:t>1.50</w:t>
            </w:r>
          </w:p>
        </w:tc>
      </w:tr>
      <w:tr w:rsidR="00B03921" w:rsidRPr="0021755A" w:rsidTr="00016914">
        <w:trPr>
          <w:cantSplit/>
        </w:trPr>
        <w:tc>
          <w:tcPr>
            <w:tcW w:w="2788" w:type="dxa"/>
          </w:tcPr>
          <w:p w:rsidR="00B03921" w:rsidRPr="0021755A" w:rsidRDefault="00B03921" w:rsidP="00016914">
            <w:pPr>
              <w:pStyle w:val="Tabletext"/>
              <w:rPr>
                <w:rFonts w:cs="Calibri"/>
                <w:lang w:eastAsia="en-AU"/>
              </w:rPr>
            </w:pPr>
            <w:r w:rsidRPr="0021755A">
              <w:rPr>
                <w:rFonts w:cs="Calibri"/>
                <w:lang w:eastAsia="en-AU"/>
              </w:rPr>
              <w:t xml:space="preserve">Unemployment rate </w:t>
            </w:r>
          </w:p>
        </w:tc>
        <w:tc>
          <w:tcPr>
            <w:tcW w:w="993" w:type="dxa"/>
          </w:tcPr>
          <w:p w:rsidR="00B03921" w:rsidRPr="0021755A" w:rsidRDefault="00B03921" w:rsidP="00016914">
            <w:pPr>
              <w:pStyle w:val="TableofFigures"/>
              <w:rPr>
                <w:rFonts w:cs="Calibri"/>
                <w:lang w:eastAsia="en-AU"/>
              </w:rPr>
            </w:pPr>
            <w:r w:rsidRPr="0021755A">
              <w:rPr>
                <w:rFonts w:cs="Calibri"/>
                <w:lang w:eastAsia="en-AU"/>
              </w:rPr>
              <w:t>6.50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6.25</w:t>
            </w:r>
          </w:p>
        </w:tc>
        <w:tc>
          <w:tcPr>
            <w:tcW w:w="994" w:type="dxa"/>
          </w:tcPr>
          <w:p w:rsidR="00B03921" w:rsidRPr="0021755A" w:rsidRDefault="00B03921" w:rsidP="00016914">
            <w:pPr>
              <w:pStyle w:val="TableofFigures"/>
              <w:rPr>
                <w:rFonts w:cs="Calibri"/>
                <w:lang w:eastAsia="en-AU"/>
              </w:rPr>
            </w:pPr>
            <w:r w:rsidRPr="0021755A">
              <w:rPr>
                <w:rFonts w:cs="Calibri"/>
                <w:lang w:eastAsia="en-AU"/>
              </w:rPr>
              <w:t>6.25</w:t>
            </w:r>
          </w:p>
        </w:tc>
        <w:tc>
          <w:tcPr>
            <w:tcW w:w="994" w:type="dxa"/>
          </w:tcPr>
          <w:p w:rsidR="00B03921" w:rsidRPr="0021755A" w:rsidRDefault="00B03921" w:rsidP="00016914">
            <w:pPr>
              <w:pStyle w:val="TableofFigures"/>
              <w:rPr>
                <w:rFonts w:cs="Calibri"/>
                <w:lang w:eastAsia="en-AU"/>
              </w:rPr>
            </w:pPr>
            <w:r w:rsidRPr="0021755A">
              <w:rPr>
                <w:rFonts w:cs="Calibri"/>
                <w:lang w:eastAsia="en-AU"/>
              </w:rPr>
              <w:t>6.00</w:t>
            </w:r>
          </w:p>
        </w:tc>
        <w:tc>
          <w:tcPr>
            <w:tcW w:w="997" w:type="dxa"/>
          </w:tcPr>
          <w:p w:rsidR="00B03921" w:rsidRPr="0021755A" w:rsidRDefault="00B03921" w:rsidP="00016914">
            <w:pPr>
              <w:pStyle w:val="TableofFigures"/>
              <w:rPr>
                <w:rFonts w:cs="Calibri"/>
                <w:lang w:eastAsia="en-AU"/>
              </w:rPr>
            </w:pPr>
            <w:r w:rsidRPr="0021755A">
              <w:rPr>
                <w:rFonts w:cs="Calibri"/>
                <w:lang w:eastAsia="en-AU"/>
              </w:rPr>
              <w:t>5.75</w:t>
            </w:r>
          </w:p>
        </w:tc>
      </w:tr>
      <w:tr w:rsidR="00B03921" w:rsidRPr="0021755A" w:rsidTr="00016914">
        <w:trPr>
          <w:cantSplit/>
        </w:trPr>
        <w:tc>
          <w:tcPr>
            <w:tcW w:w="2788" w:type="dxa"/>
          </w:tcPr>
          <w:p w:rsidR="00B03921" w:rsidRPr="0021755A" w:rsidRDefault="00B03921" w:rsidP="00016914">
            <w:pPr>
              <w:pStyle w:val="Tabletext"/>
              <w:rPr>
                <w:rFonts w:cs="Calibri"/>
                <w:vertAlign w:val="superscript"/>
                <w:lang w:eastAsia="en-AU"/>
              </w:rPr>
            </w:pPr>
            <w:r w:rsidRPr="0021755A">
              <w:rPr>
                <w:rFonts w:cs="Calibri"/>
                <w:lang w:eastAsia="en-AU"/>
              </w:rPr>
              <w:t>Consumer price index</w:t>
            </w:r>
            <w:r w:rsidRPr="0021755A">
              <w:rPr>
                <w:rFonts w:cs="Calibri"/>
                <w:vertAlign w:val="superscript"/>
                <w:lang w:eastAsia="en-AU"/>
              </w:rPr>
              <w:t>(c)</w:t>
            </w:r>
          </w:p>
        </w:tc>
        <w:tc>
          <w:tcPr>
            <w:tcW w:w="993" w:type="dxa"/>
          </w:tcPr>
          <w:p w:rsidR="00B03921" w:rsidRPr="0021755A" w:rsidRDefault="00B03921" w:rsidP="00016914">
            <w:pPr>
              <w:pStyle w:val="TableofFigures"/>
              <w:rPr>
                <w:rFonts w:cs="Calibri"/>
                <w:lang w:eastAsia="en-AU"/>
              </w:rPr>
            </w:pPr>
            <w:r w:rsidRPr="0021755A">
              <w:rPr>
                <w:rFonts w:cs="Calibri"/>
                <w:lang w:eastAsia="en-AU"/>
              </w:rPr>
              <w:t>1.50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2.75</w:t>
            </w:r>
          </w:p>
        </w:tc>
        <w:tc>
          <w:tcPr>
            <w:tcW w:w="994" w:type="dxa"/>
          </w:tcPr>
          <w:p w:rsidR="00B03921" w:rsidRPr="0021755A" w:rsidRDefault="00B03921" w:rsidP="00016914">
            <w:pPr>
              <w:pStyle w:val="TableofFigures"/>
              <w:rPr>
                <w:rFonts w:cs="Calibri"/>
                <w:lang w:eastAsia="en-AU"/>
              </w:rPr>
            </w:pPr>
            <w:r w:rsidRPr="0021755A">
              <w:rPr>
                <w:rFonts w:cs="Calibri"/>
                <w:lang w:eastAsia="en-AU"/>
              </w:rPr>
              <w:t>2.75</w:t>
            </w:r>
          </w:p>
        </w:tc>
        <w:tc>
          <w:tcPr>
            <w:tcW w:w="994" w:type="dxa"/>
          </w:tcPr>
          <w:p w:rsidR="00B03921" w:rsidRPr="0021755A" w:rsidRDefault="00B03921" w:rsidP="00016914">
            <w:pPr>
              <w:pStyle w:val="TableofFigures"/>
              <w:rPr>
                <w:rFonts w:cs="Calibri"/>
                <w:lang w:eastAsia="en-AU"/>
              </w:rPr>
            </w:pPr>
            <w:r w:rsidRPr="0021755A">
              <w:rPr>
                <w:rFonts w:cs="Calibri"/>
                <w:lang w:eastAsia="en-AU"/>
              </w:rPr>
              <w:t>2.50</w:t>
            </w:r>
          </w:p>
        </w:tc>
        <w:tc>
          <w:tcPr>
            <w:tcW w:w="997" w:type="dxa"/>
          </w:tcPr>
          <w:p w:rsidR="00B03921" w:rsidRPr="0021755A" w:rsidRDefault="00B03921" w:rsidP="00016914">
            <w:pPr>
              <w:pStyle w:val="TableofFigures"/>
              <w:rPr>
                <w:rFonts w:cs="Calibri"/>
                <w:lang w:eastAsia="en-AU"/>
              </w:rPr>
            </w:pPr>
            <w:r w:rsidRPr="0021755A">
              <w:rPr>
                <w:rFonts w:cs="Calibri"/>
                <w:lang w:eastAsia="en-AU"/>
              </w:rPr>
              <w:t>2.50</w:t>
            </w:r>
          </w:p>
        </w:tc>
      </w:tr>
      <w:tr w:rsidR="00B03921" w:rsidRPr="0021755A" w:rsidTr="00016914">
        <w:trPr>
          <w:cantSplit/>
        </w:trPr>
        <w:tc>
          <w:tcPr>
            <w:tcW w:w="2788" w:type="dxa"/>
          </w:tcPr>
          <w:p w:rsidR="00B03921" w:rsidRPr="0021755A" w:rsidRDefault="00B03921" w:rsidP="00016914">
            <w:pPr>
              <w:pStyle w:val="Tabletext"/>
              <w:rPr>
                <w:rFonts w:cs="Calibri"/>
                <w:vertAlign w:val="superscript"/>
                <w:lang w:eastAsia="en-AU"/>
              </w:rPr>
            </w:pPr>
            <w:r w:rsidRPr="0021755A">
              <w:rPr>
                <w:rFonts w:cs="Calibri"/>
                <w:lang w:eastAsia="en-AU"/>
              </w:rPr>
              <w:t>Wage price index</w:t>
            </w:r>
            <w:r w:rsidRPr="0021755A">
              <w:rPr>
                <w:rFonts w:cs="Calibri"/>
                <w:vertAlign w:val="superscript"/>
                <w:lang w:eastAsia="en-AU"/>
              </w:rPr>
              <w:t>(d)</w:t>
            </w:r>
          </w:p>
        </w:tc>
        <w:tc>
          <w:tcPr>
            <w:tcW w:w="993" w:type="dxa"/>
          </w:tcPr>
          <w:p w:rsidR="00B03921" w:rsidRPr="0021755A" w:rsidRDefault="00B03921" w:rsidP="00016914">
            <w:pPr>
              <w:pStyle w:val="TableofFigures"/>
              <w:rPr>
                <w:rFonts w:cs="Calibri"/>
                <w:lang w:eastAsia="en-AU"/>
              </w:rPr>
            </w:pPr>
            <w:r w:rsidRPr="0021755A">
              <w:rPr>
                <w:rFonts w:cs="Calibri"/>
                <w:lang w:eastAsia="en-AU"/>
              </w:rPr>
              <w:t>2.75</w:t>
            </w:r>
          </w:p>
        </w:tc>
        <w:tc>
          <w:tcPr>
            <w:tcW w:w="994" w:type="dxa"/>
          </w:tcPr>
          <w:p w:rsidR="00B03921" w:rsidRPr="0021755A" w:rsidRDefault="00B03921" w:rsidP="00016914">
            <w:pPr>
              <w:pStyle w:val="TableofFigures"/>
              <w:rPr>
                <w:rFonts w:cs="Calibri"/>
                <w:lang w:eastAsia="en-AU"/>
              </w:rPr>
            </w:pPr>
            <w:r w:rsidRPr="0021755A">
              <w:rPr>
                <w:rFonts w:cs="Calibri"/>
                <w:lang w:eastAsia="en-AU"/>
              </w:rPr>
              <w:t>3.25</w:t>
            </w:r>
          </w:p>
        </w:tc>
        <w:tc>
          <w:tcPr>
            <w:tcW w:w="994" w:type="dxa"/>
          </w:tcPr>
          <w:p w:rsidR="00B03921" w:rsidRPr="0021755A" w:rsidRDefault="00B03921" w:rsidP="00016914">
            <w:pPr>
              <w:pStyle w:val="TableofFigures"/>
              <w:rPr>
                <w:rFonts w:cs="Calibri"/>
                <w:lang w:eastAsia="en-AU"/>
              </w:rPr>
            </w:pPr>
            <w:r w:rsidRPr="0021755A">
              <w:rPr>
                <w:rFonts w:cs="Calibri"/>
                <w:lang w:eastAsia="en-AU"/>
              </w:rPr>
              <w:t>3.50</w:t>
            </w:r>
          </w:p>
        </w:tc>
        <w:tc>
          <w:tcPr>
            <w:tcW w:w="994" w:type="dxa"/>
          </w:tcPr>
          <w:p w:rsidR="00B03921" w:rsidRPr="0021755A" w:rsidRDefault="00B03921" w:rsidP="00016914">
            <w:pPr>
              <w:pStyle w:val="TableofFigures"/>
              <w:rPr>
                <w:rFonts w:cs="Calibri"/>
                <w:lang w:eastAsia="en-AU"/>
              </w:rPr>
            </w:pPr>
            <w:r w:rsidRPr="0021755A">
              <w:rPr>
                <w:rFonts w:cs="Calibri"/>
                <w:lang w:eastAsia="en-AU"/>
              </w:rPr>
              <w:t>3.50</w:t>
            </w:r>
          </w:p>
        </w:tc>
        <w:tc>
          <w:tcPr>
            <w:tcW w:w="997" w:type="dxa"/>
          </w:tcPr>
          <w:p w:rsidR="00B03921" w:rsidRPr="0021755A" w:rsidRDefault="00B03921" w:rsidP="00016914">
            <w:pPr>
              <w:pStyle w:val="TableofFigures"/>
              <w:rPr>
                <w:rFonts w:cs="Calibri"/>
                <w:lang w:eastAsia="en-AU"/>
              </w:rPr>
            </w:pPr>
            <w:r w:rsidRPr="0021755A">
              <w:rPr>
                <w:rFonts w:cs="Calibri"/>
                <w:lang w:eastAsia="en-AU"/>
              </w:rPr>
              <w:t>3.50</w:t>
            </w:r>
          </w:p>
        </w:tc>
      </w:tr>
      <w:tr w:rsidR="00B03921" w:rsidRPr="0021755A" w:rsidTr="00016914">
        <w:trPr>
          <w:cantSplit/>
        </w:trPr>
        <w:tc>
          <w:tcPr>
            <w:tcW w:w="2788" w:type="dxa"/>
            <w:tcBorders>
              <w:bottom w:val="single" w:sz="12" w:space="0" w:color="000000"/>
            </w:tcBorders>
            <w:shd w:val="clear" w:color="auto" w:fill="auto"/>
          </w:tcPr>
          <w:p w:rsidR="00B03921" w:rsidRPr="0021755A" w:rsidRDefault="00B03921" w:rsidP="00016914">
            <w:pPr>
              <w:pStyle w:val="Tabletext"/>
              <w:rPr>
                <w:rFonts w:cs="Calibri"/>
                <w:lang w:eastAsia="en-AU"/>
              </w:rPr>
            </w:pPr>
            <w:r w:rsidRPr="0021755A">
              <w:rPr>
                <w:rFonts w:cs="Calibri"/>
                <w:lang w:eastAsia="en-AU"/>
              </w:rPr>
              <w:t xml:space="preserve">Population </w:t>
            </w:r>
          </w:p>
        </w:tc>
        <w:tc>
          <w:tcPr>
            <w:tcW w:w="993" w:type="dxa"/>
            <w:tcBorders>
              <w:bottom w:val="single" w:sz="12" w:space="0" w:color="000000"/>
            </w:tcBorders>
            <w:shd w:val="clear" w:color="auto" w:fill="auto"/>
          </w:tcPr>
          <w:p w:rsidR="00B03921" w:rsidRPr="0021755A" w:rsidRDefault="00B03921" w:rsidP="00016914">
            <w:pPr>
              <w:pStyle w:val="TableofFigures"/>
              <w:rPr>
                <w:rFonts w:cs="Calibri"/>
                <w:lang w:eastAsia="en-AU"/>
              </w:rPr>
            </w:pPr>
            <w:r w:rsidRPr="0021755A">
              <w:rPr>
                <w:rFonts w:cs="Calibri"/>
                <w:lang w:eastAsia="en-AU"/>
              </w:rPr>
              <w:t>1.8</w:t>
            </w:r>
          </w:p>
        </w:tc>
        <w:tc>
          <w:tcPr>
            <w:tcW w:w="994" w:type="dxa"/>
            <w:tcBorders>
              <w:bottom w:val="single" w:sz="12" w:space="0" w:color="000000"/>
            </w:tcBorders>
            <w:shd w:val="clear" w:color="auto" w:fill="auto"/>
          </w:tcPr>
          <w:p w:rsidR="00B03921" w:rsidRPr="0021755A" w:rsidRDefault="00B03921" w:rsidP="00016914">
            <w:pPr>
              <w:pStyle w:val="TableofFigures"/>
              <w:rPr>
                <w:rFonts w:cs="Calibri"/>
                <w:lang w:eastAsia="en-AU"/>
              </w:rPr>
            </w:pPr>
            <w:r w:rsidRPr="0021755A">
              <w:rPr>
                <w:rFonts w:cs="Calibri"/>
                <w:lang w:eastAsia="en-AU"/>
              </w:rPr>
              <w:t>1.8</w:t>
            </w:r>
          </w:p>
        </w:tc>
        <w:tc>
          <w:tcPr>
            <w:tcW w:w="994" w:type="dxa"/>
            <w:tcBorders>
              <w:bottom w:val="single" w:sz="12" w:space="0" w:color="000000"/>
            </w:tcBorders>
            <w:shd w:val="clear" w:color="auto" w:fill="auto"/>
          </w:tcPr>
          <w:p w:rsidR="00B03921" w:rsidRPr="0021755A" w:rsidRDefault="00B03921" w:rsidP="00016914">
            <w:pPr>
              <w:pStyle w:val="TableofFigures"/>
              <w:rPr>
                <w:rFonts w:cs="Calibri"/>
                <w:lang w:eastAsia="en-AU"/>
              </w:rPr>
            </w:pPr>
            <w:r w:rsidRPr="0021755A">
              <w:rPr>
                <w:rFonts w:cs="Calibri"/>
                <w:lang w:eastAsia="en-AU"/>
              </w:rPr>
              <w:t>1.8</w:t>
            </w:r>
          </w:p>
        </w:tc>
        <w:tc>
          <w:tcPr>
            <w:tcW w:w="994" w:type="dxa"/>
            <w:tcBorders>
              <w:bottom w:val="single" w:sz="12" w:space="0" w:color="000000"/>
            </w:tcBorders>
            <w:shd w:val="clear" w:color="auto" w:fill="auto"/>
          </w:tcPr>
          <w:p w:rsidR="00B03921" w:rsidRPr="0021755A" w:rsidRDefault="00B03921" w:rsidP="00016914">
            <w:pPr>
              <w:pStyle w:val="TableofFigures"/>
              <w:rPr>
                <w:rFonts w:cs="Calibri"/>
                <w:lang w:eastAsia="en-AU"/>
              </w:rPr>
            </w:pPr>
            <w:r w:rsidRPr="0021755A">
              <w:rPr>
                <w:rFonts w:cs="Calibri"/>
                <w:lang w:eastAsia="en-AU"/>
              </w:rPr>
              <w:t>1.8</w:t>
            </w:r>
          </w:p>
        </w:tc>
        <w:tc>
          <w:tcPr>
            <w:tcW w:w="997" w:type="dxa"/>
            <w:tcBorders>
              <w:bottom w:val="single" w:sz="12" w:space="0" w:color="000000"/>
            </w:tcBorders>
            <w:shd w:val="clear" w:color="auto" w:fill="auto"/>
          </w:tcPr>
          <w:p w:rsidR="00B03921" w:rsidRPr="0021755A" w:rsidRDefault="00B03921" w:rsidP="00016914">
            <w:pPr>
              <w:pStyle w:val="TableofFigures"/>
              <w:rPr>
                <w:rFonts w:cs="Calibri"/>
                <w:lang w:eastAsia="en-AU"/>
              </w:rPr>
            </w:pPr>
            <w:r w:rsidRPr="0021755A">
              <w:rPr>
                <w:rFonts w:cs="Calibri"/>
                <w:lang w:eastAsia="en-AU"/>
              </w:rPr>
              <w:t>1.8</w:t>
            </w:r>
          </w:p>
        </w:tc>
      </w:tr>
    </w:tbl>
    <w:p w:rsidR="00B03921" w:rsidRPr="00922517" w:rsidRDefault="00B03921" w:rsidP="00016914">
      <w:pPr>
        <w:pStyle w:val="Source"/>
        <w:spacing w:after="60"/>
      </w:pPr>
      <w:r w:rsidRPr="00922517">
        <w:t>Source: Department of Treasury and Finance</w:t>
      </w:r>
    </w:p>
    <w:p w:rsidR="00B03921" w:rsidRPr="00DF427C" w:rsidRDefault="00B03921" w:rsidP="00016914">
      <w:pPr>
        <w:pStyle w:val="Notes"/>
      </w:pPr>
      <w:r w:rsidRPr="00187345">
        <w:t>Notes:</w:t>
      </w:r>
    </w:p>
    <w:p w:rsidR="00B03921" w:rsidRPr="00DF427C" w:rsidRDefault="00B03921" w:rsidP="00016914">
      <w:pPr>
        <w:pStyle w:val="Notes"/>
      </w:pPr>
      <w:r w:rsidRPr="00DF427C">
        <w:t>(a)</w:t>
      </w:r>
      <w:r w:rsidRPr="00DF427C">
        <w:tab/>
      </w:r>
      <w:r>
        <w:t>Projections for 2017</w:t>
      </w:r>
      <w:r>
        <w:noBreakHyphen/>
      </w:r>
      <w:r w:rsidRPr="00CE463D">
        <w:t>18 and 2018</w:t>
      </w:r>
      <w:r>
        <w:noBreakHyphen/>
      </w:r>
      <w:r w:rsidRPr="00CE463D">
        <w:t>19 represent trend rates, except for the unemployment rate which shows a path towards</w:t>
      </w:r>
      <w:r>
        <w:t xml:space="preserve"> </w:t>
      </w:r>
      <w:r w:rsidRPr="00CE463D">
        <w:t>trend.</w:t>
      </w:r>
      <w:r>
        <w:t xml:space="preserve"> The </w:t>
      </w:r>
      <w:r w:rsidRPr="0065765A">
        <w:t xml:space="preserve">key assumptions underlying the economic </w:t>
      </w:r>
      <w:r>
        <w:t xml:space="preserve">forecasts </w:t>
      </w:r>
      <w:r w:rsidRPr="0065765A">
        <w:t xml:space="preserve">include: interest rates that follow movements in market expectations in the short term, and </w:t>
      </w:r>
      <w:r>
        <w:t xml:space="preserve">stabilise </w:t>
      </w:r>
      <w:r w:rsidRPr="0065765A">
        <w:t>thereafter; a trade</w:t>
      </w:r>
      <w:r>
        <w:noBreakHyphen/>
      </w:r>
      <w:r w:rsidRPr="0065765A">
        <w:t xml:space="preserve">weighted index of </w:t>
      </w:r>
      <w:r w:rsidRPr="00A75F1A">
        <w:t>6</w:t>
      </w:r>
      <w:r>
        <w:t>4.5</w:t>
      </w:r>
      <w:r w:rsidRPr="0065765A">
        <w:t>; and oil prices that follow the path suggested by oil futures.</w:t>
      </w:r>
    </w:p>
    <w:p w:rsidR="00B03921" w:rsidRPr="00DF427C" w:rsidRDefault="00B03921" w:rsidP="00016914">
      <w:pPr>
        <w:pStyle w:val="Notes"/>
      </w:pPr>
      <w:r>
        <w:t xml:space="preserve">(b) </w:t>
      </w:r>
      <w:r>
        <w:tab/>
        <w:t>Per cent change in year</w:t>
      </w:r>
      <w:r>
        <w:noBreakHyphen/>
        <w:t>average compared with previous year, except for the unemployment rate which is year</w:t>
      </w:r>
      <w:r>
        <w:noBreakHyphen/>
        <w:t>average per cent and population which is per cent change over the year to 30 June. Forecasts are rounded to the nearest 0.25 percentage points, except for population which is rounded to the nearest 0.1 percentage point.</w:t>
      </w:r>
    </w:p>
    <w:p w:rsidR="00B03921" w:rsidRPr="00DF427C" w:rsidRDefault="00B03921" w:rsidP="00016914">
      <w:pPr>
        <w:pStyle w:val="Notes"/>
      </w:pPr>
      <w:r>
        <w:t>(c</w:t>
      </w:r>
      <w:r w:rsidRPr="00DF427C">
        <w:t>)</w:t>
      </w:r>
      <w:r w:rsidRPr="00DF427C">
        <w:tab/>
      </w:r>
      <w:r>
        <w:t>Melbourne consumer price index.</w:t>
      </w:r>
    </w:p>
    <w:p w:rsidR="00B03921" w:rsidRDefault="00B03921" w:rsidP="00016914">
      <w:pPr>
        <w:pStyle w:val="Notes"/>
      </w:pPr>
      <w:r>
        <w:t>(d</w:t>
      </w:r>
      <w:r w:rsidRPr="00DF427C">
        <w:t>)</w:t>
      </w:r>
      <w:r w:rsidRPr="00DF427C">
        <w:tab/>
        <w:t>Total hourly rate excluding bonuses.</w:t>
      </w:r>
    </w:p>
    <w:p w:rsidR="00E90A36" w:rsidRPr="00DF427C" w:rsidRDefault="00E90A36" w:rsidP="00016914">
      <w:pPr>
        <w:pStyle w:val="Notes"/>
      </w:pPr>
    </w:p>
    <w:p w:rsidR="00B03921" w:rsidRPr="0040125C" w:rsidRDefault="00B03921" w:rsidP="00A035F3">
      <w:pPr>
        <w:pStyle w:val="Heading4"/>
        <w:spacing w:before="180" w:after="100"/>
      </w:pPr>
      <w:r w:rsidRPr="0040125C">
        <w:t>Summary of other key assumptions</w:t>
      </w:r>
    </w:p>
    <w:p w:rsidR="00B03921" w:rsidRPr="0040125C" w:rsidRDefault="00B03921" w:rsidP="00016914">
      <w:r w:rsidRPr="0040125C">
        <w:t>The following section outlines the other key ass</w:t>
      </w:r>
      <w:r>
        <w:t xml:space="preserve">umptions used in preparing </w:t>
      </w:r>
      <w:r w:rsidRPr="0040125C">
        <w:t xml:space="preserve">the Estimated Financial Statements, having regard to the materiality of the relevant items in the context of the overall financial position of the State and the sensitivity of those items to changes in key economic assumptions. </w:t>
      </w:r>
    </w:p>
    <w:p w:rsidR="00E90A36" w:rsidRDefault="00E90A36" w:rsidP="00A035F3">
      <w:pPr>
        <w:pStyle w:val="Heading2NotesContd"/>
      </w:pPr>
      <w:r>
        <w:t>Note 1:</w:t>
      </w:r>
      <w:r>
        <w:tab/>
        <w:t xml:space="preserve">Statement of significant accounting policies and forecast assumptions </w:t>
      </w:r>
      <w:r w:rsidRPr="00A035F3">
        <w:rPr>
          <w:i/>
        </w:rPr>
        <w:t>(continued)</w:t>
      </w:r>
    </w:p>
    <w:p w:rsidR="00B03921" w:rsidRPr="0040125C" w:rsidRDefault="00B03921" w:rsidP="00A035F3">
      <w:pPr>
        <w:pStyle w:val="Heading4"/>
        <w:spacing w:before="180" w:after="100"/>
      </w:pPr>
      <w:r w:rsidRPr="0040125C">
        <w:t>Taxation revenue</w:t>
      </w:r>
    </w:p>
    <w:p w:rsidR="00B03921" w:rsidRPr="0040125C" w:rsidRDefault="00B03921" w:rsidP="00016914">
      <w:r w:rsidRPr="0040125C">
        <w:t>The State</w:t>
      </w:r>
      <w:r w:rsidR="00BA5A16">
        <w:t>’</w:t>
      </w:r>
      <w:r w:rsidRPr="0040125C">
        <w:t>s taxation revenue is forecast by a process that involves:</w:t>
      </w:r>
    </w:p>
    <w:p w:rsidR="00B03921" w:rsidRPr="0040125C" w:rsidRDefault="00B03921" w:rsidP="00016914">
      <w:pPr>
        <w:pStyle w:val="BulletText"/>
      </w:pPr>
      <w:r>
        <w:t xml:space="preserve">assessing </w:t>
      </w:r>
      <w:r w:rsidRPr="0040125C">
        <w:t xml:space="preserve">economic and other factors influencing the tax base (e.g. for payroll tax, </w:t>
      </w:r>
      <w:r>
        <w:t xml:space="preserve">an </w:t>
      </w:r>
      <w:r w:rsidRPr="0040125C">
        <w:t xml:space="preserve">assessment of the outlook for employment and wages; for motor vehicle taxes, </w:t>
      </w:r>
      <w:r>
        <w:t>an </w:t>
      </w:r>
      <w:r w:rsidRPr="0040125C">
        <w:t>assessment of the outlook for demand for vehicles; and for gambling taxes, an assessment of the outlook for consumer spending and the labour market);</w:t>
      </w:r>
    </w:p>
    <w:p w:rsidR="00B03921" w:rsidRPr="0040125C" w:rsidRDefault="00B03921" w:rsidP="00016914">
      <w:pPr>
        <w:pStyle w:val="BulletText"/>
      </w:pPr>
      <w:r>
        <w:t xml:space="preserve">analysing </w:t>
      </w:r>
      <w:r w:rsidRPr="0040125C">
        <w:t>historical information and relationships using econometric and other statistical methods; and</w:t>
      </w:r>
    </w:p>
    <w:p w:rsidR="00B03921" w:rsidRPr="0040125C" w:rsidRDefault="00B03921" w:rsidP="00016914">
      <w:pPr>
        <w:pStyle w:val="BulletText"/>
      </w:pPr>
      <w:r>
        <w:t>consulting</w:t>
      </w:r>
      <w:r w:rsidRPr="0040125C">
        <w:t xml:space="preserve"> with private sector economists, industry associations and relevant government authorities.</w:t>
      </w:r>
    </w:p>
    <w:p w:rsidR="00B03921" w:rsidRPr="0040125C" w:rsidRDefault="00B03921" w:rsidP="00016914">
      <w:pPr>
        <w:pStyle w:val="Heading4"/>
      </w:pPr>
      <w:r w:rsidRPr="0040125C">
        <w:t>Sales of goods and services</w:t>
      </w:r>
    </w:p>
    <w:p w:rsidR="00B03921" w:rsidRPr="0040125C" w:rsidRDefault="00B03921" w:rsidP="00016914">
      <w:r w:rsidRPr="0040125C">
        <w:t xml:space="preserve">Revenue from the sale of goods and the supply of services is forecast by taking into account known factors, such as proposed fee increases imposed by departments and budget sector agencies in line with the </w:t>
      </w:r>
      <w:r w:rsidRPr="0040125C">
        <w:rPr>
          <w:i/>
        </w:rPr>
        <w:t>Cost Recovery Guidelines</w:t>
      </w:r>
      <w:r w:rsidRPr="0040125C">
        <w:t xml:space="preserve"> (issued by the Departme</w:t>
      </w:r>
      <w:r>
        <w:t>nt of Treasury and Finance) and/</w:t>
      </w:r>
      <w:r w:rsidRPr="0040125C">
        <w:t xml:space="preserve">or indexation as provided for under the </w:t>
      </w:r>
      <w:r w:rsidRPr="0040125C">
        <w:rPr>
          <w:i/>
        </w:rPr>
        <w:t>Monetary Units Act 2004.</w:t>
      </w:r>
      <w:r w:rsidRPr="0040125C">
        <w:t xml:space="preserve"> </w:t>
      </w:r>
    </w:p>
    <w:p w:rsidR="00B03921" w:rsidRPr="0040125C" w:rsidRDefault="00B03921" w:rsidP="00016914">
      <w:pPr>
        <w:pStyle w:val="Heading4"/>
      </w:pPr>
      <w:r w:rsidRPr="0040125C">
        <w:t xml:space="preserve">Grant revenue </w:t>
      </w:r>
    </w:p>
    <w:p w:rsidR="00B03921" w:rsidRPr="0040125C" w:rsidRDefault="00B03921" w:rsidP="00016914">
      <w:r w:rsidRPr="0040125C">
        <w:t>The forecast receipt of financial assistance from the Commonwealth is determined on the latest available information at the time of prepar</w:t>
      </w:r>
      <w:r>
        <w:t>ing</w:t>
      </w:r>
      <w:r w:rsidRPr="0040125C">
        <w:t xml:space="preserve"> the Estimated Financial Statements.</w:t>
      </w:r>
    </w:p>
    <w:p w:rsidR="00B03921" w:rsidRPr="0040125C" w:rsidRDefault="00B03921" w:rsidP="00016914">
      <w:r w:rsidRPr="0040125C">
        <w:t>Forecasts of goods and services tax (GST) grants are based on Victoria</w:t>
      </w:r>
      <w:r w:rsidR="00BA5A16">
        <w:t>’</w:t>
      </w:r>
      <w:r w:rsidRPr="0040125C">
        <w:t>s assessment of the latest Commonwealth forecasts of the national GST pool. Victoria</w:t>
      </w:r>
      <w:r w:rsidR="00BA5A16">
        <w:t>’</w:t>
      </w:r>
      <w:r w:rsidRPr="0040125C">
        <w:t>s share of GST for 201</w:t>
      </w:r>
      <w:r>
        <w:t>5</w:t>
      </w:r>
      <w:r>
        <w:noBreakHyphen/>
      </w:r>
      <w:r w:rsidRPr="0040125C">
        <w:t>1</w:t>
      </w:r>
      <w:r>
        <w:t>6</w:t>
      </w:r>
      <w:r w:rsidRPr="0040125C">
        <w:t xml:space="preserve"> is informed by Victoria</w:t>
      </w:r>
      <w:r w:rsidR="00BA5A16">
        <w:t>’</w:t>
      </w:r>
      <w:r w:rsidRPr="0040125C">
        <w:t>s assessed relativity for that year published by the Commonwealth Grants Commission and the Commonwealth Government</w:t>
      </w:r>
      <w:r w:rsidR="00BA5A16">
        <w:t>’</w:t>
      </w:r>
      <w:r w:rsidRPr="0040125C">
        <w:t xml:space="preserve">s population projections. </w:t>
      </w:r>
    </w:p>
    <w:p w:rsidR="00B03921" w:rsidRDefault="00B03921" w:rsidP="00016914">
      <w:r w:rsidRPr="0040125C">
        <w:t>Beyond 201</w:t>
      </w:r>
      <w:r>
        <w:t>5</w:t>
      </w:r>
      <w:r>
        <w:noBreakHyphen/>
      </w:r>
      <w:r w:rsidRPr="0040125C">
        <w:t>1</w:t>
      </w:r>
      <w:r>
        <w:t>6</w:t>
      </w:r>
      <w:r w:rsidRPr="0040125C">
        <w:t>, Victoria</w:t>
      </w:r>
      <w:r w:rsidR="00BA5A16">
        <w:t>’</w:t>
      </w:r>
      <w:r w:rsidRPr="0040125C">
        <w:t>s share of GST is based on its estimated assessed relativity in a particular year (calculated as the average of the previous three annual per capita relativities) and its assessment of the Commonwealth Government</w:t>
      </w:r>
      <w:r w:rsidR="00BA5A16">
        <w:t>’</w:t>
      </w:r>
      <w:r w:rsidRPr="0040125C">
        <w:t>s population projections. Victoria</w:t>
      </w:r>
      <w:r w:rsidR="00BA5A16">
        <w:t>’</w:t>
      </w:r>
      <w:r w:rsidRPr="0040125C">
        <w:t>s forecast per capita relativities are based on the projected fiscal capacity of each state and territory estimated using information sourced from each jurisdiction</w:t>
      </w:r>
      <w:r w:rsidR="00BA5A16">
        <w:t>’</w:t>
      </w:r>
      <w:r w:rsidRPr="0040125C">
        <w:t>s latest published budget information (revenue, expenses, capital and lending requirements and non</w:t>
      </w:r>
      <w:r>
        <w:noBreakHyphen/>
      </w:r>
      <w:r w:rsidRPr="0040125C">
        <w:t>GST Commonwealth payments).</w:t>
      </w:r>
    </w:p>
    <w:p w:rsidR="00B03921" w:rsidRPr="00901559" w:rsidRDefault="00F66152" w:rsidP="00016914">
      <w:r w:rsidRPr="00F66152">
        <w:t xml:space="preserve">Funding from the Commonwealth Government to the State in relation to East West Link, both received (recognised as revenue in the </w:t>
      </w:r>
      <w:r w:rsidRPr="00F66152">
        <w:rPr>
          <w:i/>
        </w:rPr>
        <w:t>2013-14 Financial Report</w:t>
      </w:r>
      <w:r w:rsidRPr="00F66152">
        <w:t xml:space="preserve"> for the State of Victoria) and previously committed (recognised as revenue in the current budget and forward estimates), has been retained in the Estimated Financial Statements without recognition of a liability, pending finalisation of discussions with the Commonwealth on the allocation of the funding to other infrastructure projects.</w:t>
      </w:r>
    </w:p>
    <w:p w:rsidR="00E90A36" w:rsidRDefault="00E90A36" w:rsidP="00A035F3">
      <w:pPr>
        <w:pStyle w:val="Heading2NotesContd"/>
      </w:pPr>
      <w:r>
        <w:t>Note 1:</w:t>
      </w:r>
      <w:r>
        <w:tab/>
        <w:t xml:space="preserve">Statement of significant accounting policies and forecast assumptions </w:t>
      </w:r>
      <w:r w:rsidRPr="00A035F3">
        <w:rPr>
          <w:i/>
        </w:rPr>
        <w:t>(continued)</w:t>
      </w:r>
    </w:p>
    <w:p w:rsidR="00B03921" w:rsidRPr="0040125C" w:rsidRDefault="00B03921" w:rsidP="00016914">
      <w:pPr>
        <w:pStyle w:val="Heading4"/>
      </w:pPr>
      <w:r w:rsidRPr="0040125C">
        <w:t>Employee expenses</w:t>
      </w:r>
    </w:p>
    <w:p w:rsidR="00B03921" w:rsidRPr="0040125C" w:rsidRDefault="00B03921" w:rsidP="00016914">
      <w:r w:rsidRPr="0040125C">
        <w:t>Employee expenses are forecast on the basis of staffing profiles and current salaries, conditions and on</w:t>
      </w:r>
      <w:r>
        <w:noBreakHyphen/>
      </w:r>
      <w:r w:rsidRPr="0040125C">
        <w:t xml:space="preserve">costs. For the forecast period, employee expenses are adjusted for approved wage agreements, with allowance made for further adjustments </w:t>
      </w:r>
      <w:r>
        <w:t>and expected wages growth</w:t>
      </w:r>
      <w:r w:rsidRPr="0040125C">
        <w:t xml:space="preserve">. Employee expenses forecasts also reflect the </w:t>
      </w:r>
      <w:r>
        <w:t xml:space="preserve">estimated </w:t>
      </w:r>
      <w:r w:rsidRPr="0040125C">
        <w:t xml:space="preserve">impact of </w:t>
      </w:r>
      <w:r>
        <w:t xml:space="preserve">savings and </w:t>
      </w:r>
      <w:r w:rsidRPr="0040125C">
        <w:t>new initiatives.</w:t>
      </w:r>
    </w:p>
    <w:p w:rsidR="00B03921" w:rsidRPr="0040125C" w:rsidRDefault="00B03921" w:rsidP="00016914">
      <w:pPr>
        <w:pStyle w:val="Heading4"/>
      </w:pPr>
      <w:r w:rsidRPr="0040125C">
        <w:t>Depreciation</w:t>
      </w:r>
    </w:p>
    <w:p w:rsidR="00B03921" w:rsidRDefault="00B03921" w:rsidP="00016914">
      <w:pPr>
        <w:rPr>
          <w:rFonts w:ascii="Calibri" w:hAnsi="Calibri"/>
          <w:i/>
          <w:sz w:val="24"/>
          <w:szCs w:val="22"/>
        </w:rPr>
      </w:pPr>
      <w:r w:rsidRPr="0040125C">
        <w:t xml:space="preserve">Depreciation is forecast on the basis of known asset profiles, asset sales programs and approved new asset investment programs. The expense is based on the assumption that there will be no change in depreciation rates over the forecast period, but includes the estimated impact of future revaluation of assets. However, any future changes in useful lives, carrying value, residual value or methodology would result in a change in future depreciation expense. </w:t>
      </w:r>
    </w:p>
    <w:p w:rsidR="00B03921" w:rsidRPr="0040125C" w:rsidRDefault="00B03921" w:rsidP="00016914">
      <w:pPr>
        <w:pStyle w:val="Heading4"/>
      </w:pPr>
      <w:r w:rsidRPr="0040125C">
        <w:t>Interest expense</w:t>
      </w:r>
    </w:p>
    <w:p w:rsidR="00B03921" w:rsidRDefault="00B03921" w:rsidP="00016914">
      <w:r w:rsidRPr="0040125C">
        <w:t>Estimates for interest expense are based on the forecast level of outstanding Victorian general government sector debt and expected changes in non</w:t>
      </w:r>
      <w:r>
        <w:noBreakHyphen/>
      </w:r>
      <w:r w:rsidRPr="0040125C">
        <w:t xml:space="preserve">current financial liabilities and provisions. Victorian general government sector debt is expected to mainly comprise fixed rate facilities from the Treasury Corporation of Victoria. Interest expenses associated with </w:t>
      </w:r>
      <w:r>
        <w:t>assumed future</w:t>
      </w:r>
      <w:r w:rsidRPr="0040125C">
        <w:t xml:space="preserve"> borrowings are based on information provided by the Treasury Corporation of Victoria on forward contracts for Victorian government bonds.</w:t>
      </w:r>
    </w:p>
    <w:p w:rsidR="00B03921" w:rsidRPr="0040125C" w:rsidRDefault="00B03921" w:rsidP="00016914">
      <w:pPr>
        <w:pStyle w:val="Heading4"/>
      </w:pPr>
      <w:r w:rsidRPr="0040125C">
        <w:t xml:space="preserve">Grant </w:t>
      </w:r>
      <w:r>
        <w:t>expenses</w:t>
      </w:r>
    </w:p>
    <w:p w:rsidR="00B03921" w:rsidRPr="0040125C" w:rsidRDefault="00B03921" w:rsidP="00016914">
      <w:r w:rsidRPr="0040125C">
        <w:t>Grants and other transfer payments are forecast on the basis of known activity and adjusted by the appropriate economic parameters. Where payments are tied to third party revenue, such as Commonwealth grants for on</w:t>
      </w:r>
      <w:r>
        <w:noBreakHyphen/>
      </w:r>
      <w:r w:rsidRPr="0040125C">
        <w:t xml:space="preserve">passing, forecasts are based on estimated receipts. </w:t>
      </w:r>
    </w:p>
    <w:p w:rsidR="00B03921" w:rsidRPr="0040125C" w:rsidRDefault="00B03921" w:rsidP="00016914">
      <w:pPr>
        <w:pStyle w:val="Heading4"/>
      </w:pPr>
      <w:r w:rsidRPr="0040125C">
        <w:t>Other operating expenses</w:t>
      </w:r>
    </w:p>
    <w:p w:rsidR="00B03921" w:rsidRPr="0040125C" w:rsidRDefault="00B03921" w:rsidP="00016914">
      <w:r w:rsidRPr="0040125C">
        <w:t xml:space="preserve">Other operating expenses mainly include the cost of supplies and services. Supplies and services expenses are forecast on the basis of experience and known activity changes, including </w:t>
      </w:r>
      <w:r>
        <w:t>consideration</w:t>
      </w:r>
      <w:r w:rsidRPr="0040125C">
        <w:t xml:space="preserve"> of government policy such as efficiency measures, changes in the method of service delivery and appropriate economic parameters.</w:t>
      </w:r>
    </w:p>
    <w:p w:rsidR="00B03921" w:rsidRPr="0040125C" w:rsidRDefault="00B03921" w:rsidP="00016914">
      <w:r w:rsidRPr="0040125C">
        <w:t xml:space="preserve">An allowance is made for emerging demand that may arise over the budget and forward estimates period. </w:t>
      </w:r>
    </w:p>
    <w:p w:rsidR="00A035F3" w:rsidRDefault="00A035F3">
      <w:pPr>
        <w:spacing w:after="0"/>
        <w:rPr>
          <w:rFonts w:ascii="Calibri" w:hAnsi="Calibri"/>
          <w:i/>
          <w:sz w:val="24"/>
          <w:szCs w:val="22"/>
        </w:rPr>
      </w:pPr>
      <w:r>
        <w:br w:type="page"/>
      </w:r>
    </w:p>
    <w:p w:rsidR="00A035F3" w:rsidRDefault="00A035F3" w:rsidP="00A035F3">
      <w:pPr>
        <w:pStyle w:val="Heading2NotesContd"/>
        <w:spacing w:after="80"/>
        <w:ind w:left="1151" w:hanging="1151"/>
      </w:pPr>
      <w:r>
        <w:t>Note 1:</w:t>
      </w:r>
      <w:r>
        <w:tab/>
        <w:t xml:space="preserve">Statement of significant accounting policies and forecast assumptions </w:t>
      </w:r>
      <w:r w:rsidRPr="00A035F3">
        <w:rPr>
          <w:i/>
        </w:rPr>
        <w:t>(continued)</w:t>
      </w:r>
    </w:p>
    <w:p w:rsidR="00B03921" w:rsidRPr="0040125C" w:rsidRDefault="00B03921" w:rsidP="00A035F3">
      <w:pPr>
        <w:pStyle w:val="Heading4"/>
        <w:spacing w:before="200" w:after="80"/>
        <w:rPr>
          <w:b/>
          <w:kern w:val="28"/>
          <w:sz w:val="26"/>
        </w:rPr>
      </w:pPr>
      <w:r w:rsidRPr="0040125C">
        <w:t>Investments in other sector entities</w:t>
      </w:r>
    </w:p>
    <w:p w:rsidR="00B03921" w:rsidRDefault="00B03921" w:rsidP="00E90A36">
      <w:pPr>
        <w:spacing w:after="100"/>
      </w:pPr>
      <w:r w:rsidRPr="0040125C">
        <w:t>Investments in other sector entities are estimated based on their audit</w:t>
      </w:r>
      <w:r>
        <w:t>ed net assets as at 30 June 2014</w:t>
      </w:r>
      <w:r w:rsidRPr="0040125C">
        <w:t>, adjusted by management estimates of subsequent operating results, capital investments and distributions.</w:t>
      </w:r>
    </w:p>
    <w:p w:rsidR="00B03921" w:rsidRPr="0040125C" w:rsidRDefault="00292D6D" w:rsidP="00E90A36">
      <w:pPr>
        <w:spacing w:after="100"/>
      </w:pPr>
      <w:r w:rsidRPr="00292D6D">
        <w:t>The Government has announced its intention to enter into a medium-term lease over the operations of the Port of Melbourne. As commercial negotiations are continuing, the accounting treatment adopted for the Estimated Financial Statements in 2015-16 recognises a realisation of the State</w:t>
      </w:r>
      <w:r w:rsidR="00BA5A16">
        <w:t>’</w:t>
      </w:r>
      <w:r w:rsidRPr="00292D6D">
        <w:t>s investment in the Port of Melbourne Corporation</w:t>
      </w:r>
      <w:r w:rsidR="00CA2DDF">
        <w:t xml:space="preserve">, </w:t>
      </w:r>
      <w:r w:rsidRPr="00292D6D">
        <w:t xml:space="preserve">which </w:t>
      </w:r>
      <w:r w:rsidR="00CA2DDF">
        <w:t>is</w:t>
      </w:r>
      <w:r w:rsidR="00304F91">
        <w:t xml:space="preserve"> reflected in reduced </w:t>
      </w:r>
      <w:r w:rsidR="00EB2928">
        <w:t xml:space="preserve">2015-16 </w:t>
      </w:r>
      <w:r w:rsidR="000C0291">
        <w:t>S</w:t>
      </w:r>
      <w:r w:rsidR="00304F91">
        <w:t>tate borrowings</w:t>
      </w:r>
      <w:r w:rsidRPr="00292D6D">
        <w:t>.</w:t>
      </w:r>
      <w:r>
        <w:t xml:space="preserve"> </w:t>
      </w:r>
      <w:r w:rsidRPr="00292D6D">
        <w:t>This expected transaction has been reflected in the Estimated Financial Statements as per the accounting policy outlined in Note 1(D), and in a manner consistent with the requirements of AASB 139 and AASB</w:t>
      </w:r>
      <w:r w:rsidR="00686678">
        <w:t> </w:t>
      </w:r>
      <w:r w:rsidRPr="00292D6D">
        <w:t>1049.</w:t>
      </w:r>
    </w:p>
    <w:p w:rsidR="00B03921" w:rsidRPr="0040125C" w:rsidRDefault="00B03921" w:rsidP="00A035F3">
      <w:pPr>
        <w:pStyle w:val="Heading4"/>
        <w:spacing w:before="200" w:after="80"/>
      </w:pPr>
      <w:r w:rsidRPr="0040125C">
        <w:t>Land, buildings, infrastructure, plant and equipment</w:t>
      </w:r>
    </w:p>
    <w:p w:rsidR="00B03921" w:rsidRDefault="00B03921" w:rsidP="00E90A36">
      <w:pPr>
        <w:spacing w:after="100"/>
      </w:pPr>
      <w:r w:rsidRPr="0040125C">
        <w:t>The value of non</w:t>
      </w:r>
      <w:r>
        <w:noBreakHyphen/>
      </w:r>
      <w:r w:rsidRPr="0040125C">
        <w:t>financial physical assets will change during the forecast period to account for acquisitions, disposals and the impact o</w:t>
      </w:r>
      <w:r>
        <w:t xml:space="preserve">f depreciation and revaluation, </w:t>
      </w:r>
      <w:r w:rsidRPr="002471AD">
        <w:t>including any adjus</w:t>
      </w:r>
      <w:r w:rsidR="001E6158">
        <w:t>tments for obsolescence.</w:t>
      </w:r>
    </w:p>
    <w:p w:rsidR="00B03921" w:rsidRPr="0040125C" w:rsidRDefault="00B03921" w:rsidP="00E90A36">
      <w:pPr>
        <w:spacing w:after="100"/>
      </w:pPr>
      <w:r w:rsidRPr="00E60DCE">
        <w:t xml:space="preserve">If an asset is </w:t>
      </w:r>
      <w:r>
        <w:t>still</w:t>
      </w:r>
      <w:r w:rsidRPr="00E60DCE">
        <w:t xml:space="preserve"> in use</w:t>
      </w:r>
      <w:r>
        <w:t xml:space="preserve"> in providing core services or</w:t>
      </w:r>
      <w:r w:rsidRPr="00E60DCE">
        <w:t xml:space="preserve"> ancillary community use, no adjustment </w:t>
      </w:r>
      <w:r>
        <w:t>i</w:t>
      </w:r>
      <w:r w:rsidRPr="00E60DCE">
        <w:t xml:space="preserve">s made for economic obsolescence. Where an asset has been identified as surplus to the needs of the entity and is not in use, the asset </w:t>
      </w:r>
      <w:r>
        <w:t>is</w:t>
      </w:r>
      <w:r w:rsidRPr="00E60DCE">
        <w:t xml:space="preserve"> valued at disposal value.</w:t>
      </w:r>
      <w:r>
        <w:t xml:space="preserve"> N</w:t>
      </w:r>
      <w:r w:rsidRPr="0040125C">
        <w:t>ew investments in assets are valued at the forecast purchase price or, where appropriate, recognised progressively over the estimated construction period.</w:t>
      </w:r>
    </w:p>
    <w:p w:rsidR="00B03921" w:rsidRDefault="00B03921" w:rsidP="00E90A36">
      <w:pPr>
        <w:spacing w:after="100"/>
      </w:pPr>
      <w:r w:rsidRPr="0040125C">
        <w:t>The budget and forward estimates include the estimated impact of revaluations of non</w:t>
      </w:r>
      <w:r>
        <w:noBreakHyphen/>
      </w:r>
      <w:r w:rsidRPr="0040125C">
        <w:t>financial physical assets. The</w:t>
      </w:r>
      <w:r>
        <w:t>y have been estimated</w:t>
      </w:r>
      <w:r w:rsidRPr="0040125C">
        <w:t xml:space="preserve"> </w:t>
      </w:r>
      <w:r>
        <w:t>from examining and extrapolating</w:t>
      </w:r>
      <w:r w:rsidRPr="0040125C">
        <w:t xml:space="preserve"> historical trends in asset revaluations by major asset class.</w:t>
      </w:r>
    </w:p>
    <w:p w:rsidR="00B03921" w:rsidRPr="0040125C" w:rsidRDefault="00B03921" w:rsidP="00A035F3">
      <w:pPr>
        <w:pStyle w:val="Heading4"/>
        <w:spacing w:before="200" w:after="80"/>
      </w:pPr>
      <w:r w:rsidRPr="0040125C">
        <w:t>Payables</w:t>
      </w:r>
    </w:p>
    <w:p w:rsidR="00B03921" w:rsidRPr="0040125C" w:rsidRDefault="00B03921" w:rsidP="00E90A36">
      <w:pPr>
        <w:spacing w:after="100"/>
      </w:pPr>
      <w:r w:rsidRPr="0040125C">
        <w:t xml:space="preserve">Payables consist of accounts payable, </w:t>
      </w:r>
      <w:r>
        <w:t xml:space="preserve">accrued </w:t>
      </w:r>
      <w:r w:rsidRPr="0040125C">
        <w:t xml:space="preserve">taxes such as </w:t>
      </w:r>
      <w:r>
        <w:t xml:space="preserve">GST and fringe benefit tax, and </w:t>
      </w:r>
      <w:r w:rsidRPr="0040125C">
        <w:t>unearned revenue including deferred revenue from concession arrangements</w:t>
      </w:r>
      <w:r>
        <w:t xml:space="preserve"> and licences.</w:t>
      </w:r>
      <w:r w:rsidRPr="0040125C">
        <w:t xml:space="preserve"> </w:t>
      </w:r>
    </w:p>
    <w:p w:rsidR="00B03921" w:rsidRPr="0040125C" w:rsidRDefault="00B03921" w:rsidP="00E90A36">
      <w:pPr>
        <w:spacing w:after="100"/>
      </w:pPr>
      <w:r w:rsidRPr="0040125C">
        <w:t>Estimates of accounts payables are based on known movements in contractual arrangements, other outstanding payables and historical experience.</w:t>
      </w:r>
    </w:p>
    <w:p w:rsidR="00B03921" w:rsidRPr="0040125C" w:rsidRDefault="00B03921" w:rsidP="00E90A36">
      <w:pPr>
        <w:spacing w:after="100"/>
      </w:pPr>
      <w:r w:rsidRPr="0040125C">
        <w:t xml:space="preserve">Unearned income relating to concession arrangements </w:t>
      </w:r>
      <w:r>
        <w:t xml:space="preserve">and licences </w:t>
      </w:r>
      <w:r w:rsidRPr="0040125C">
        <w:t>will reduce each year as income is progressively brought to account over the remaining period of the concession term</w:t>
      </w:r>
      <w:r>
        <w:t xml:space="preserve"> or licence</w:t>
      </w:r>
      <w:r w:rsidRPr="0040125C">
        <w:t>. The estimated changes in other components are based on historical experience.</w:t>
      </w:r>
    </w:p>
    <w:p w:rsidR="00B03921" w:rsidRPr="0040125C" w:rsidRDefault="00B03921" w:rsidP="00E90A36">
      <w:pPr>
        <w:spacing w:after="100"/>
      </w:pPr>
      <w:r w:rsidRPr="0040125C">
        <w:t>The indemnity payable to the State Electricity Commission of Victoria, which relates to the</w:t>
      </w:r>
      <w:r>
        <w:t xml:space="preserve"> electricity supply arrangement with the aluminium smelter</w:t>
      </w:r>
      <w:r w:rsidRPr="0040125C">
        <w:t xml:space="preserve"> at Portland, is estimated based on forecast electricity prices and expected market aluminium prices</w:t>
      </w:r>
      <w:r>
        <w:t xml:space="preserve"> over the period until expiry</w:t>
      </w:r>
      <w:r w:rsidRPr="0040125C">
        <w:t>.</w:t>
      </w:r>
    </w:p>
    <w:p w:rsidR="00E90A36" w:rsidRDefault="00E90A36" w:rsidP="00E90A36">
      <w:pPr>
        <w:pStyle w:val="Heading2NotesContd"/>
        <w:spacing w:after="80"/>
        <w:ind w:left="1151" w:hanging="1151"/>
      </w:pPr>
      <w:r>
        <w:t>Note 1:</w:t>
      </w:r>
      <w:r>
        <w:tab/>
        <w:t xml:space="preserve">Statement of significant accounting policies and forecast assumptions </w:t>
      </w:r>
      <w:r w:rsidRPr="00A035F3">
        <w:rPr>
          <w:i/>
        </w:rPr>
        <w:t>(continued)</w:t>
      </w:r>
    </w:p>
    <w:p w:rsidR="00B03921" w:rsidRPr="0040125C" w:rsidRDefault="00B03921" w:rsidP="00016914">
      <w:pPr>
        <w:pStyle w:val="Heading4"/>
      </w:pPr>
      <w:r w:rsidRPr="0040125C">
        <w:t>Borrowings</w:t>
      </w:r>
    </w:p>
    <w:p w:rsidR="00B03921" w:rsidRPr="0040125C" w:rsidRDefault="00B03921" w:rsidP="00016914">
      <w:r w:rsidRPr="0040125C">
        <w:t xml:space="preserve">Estimates for borrowings are based on the </w:t>
      </w:r>
      <w:r>
        <w:t>need</w:t>
      </w:r>
      <w:r w:rsidRPr="0040125C">
        <w:t xml:space="preserve"> to repay maturing debt and finance capital expenditure. The forecast for finance lease liabilities across the forward estimates period relates primarily to the expected commissioning of public private partnerships.</w:t>
      </w:r>
    </w:p>
    <w:p w:rsidR="00B03921" w:rsidRPr="0040125C" w:rsidRDefault="00B03921" w:rsidP="00016914">
      <w:pPr>
        <w:pStyle w:val="Heading4"/>
      </w:pPr>
      <w:r w:rsidRPr="0040125C">
        <w:t>Employee benefits</w:t>
      </w:r>
    </w:p>
    <w:p w:rsidR="00B03921" w:rsidRDefault="00B03921" w:rsidP="00016914">
      <w:r w:rsidRPr="0040125C">
        <w:t xml:space="preserve">Employee benefits are forecast on the basis of staffing profiles and current salaries and conditions. For the forecast period, employee benefits are adjusted for approved wage agreements </w:t>
      </w:r>
      <w:r>
        <w:t>allowing</w:t>
      </w:r>
      <w:r w:rsidRPr="0040125C">
        <w:t xml:space="preserve"> for future movements</w:t>
      </w:r>
      <w:r>
        <w:t xml:space="preserve"> and expected wages growth</w:t>
      </w:r>
      <w:r w:rsidRPr="0040125C">
        <w:t>.</w:t>
      </w:r>
    </w:p>
    <w:p w:rsidR="00B03921" w:rsidRPr="00AE003C" w:rsidRDefault="00B03921" w:rsidP="00016914">
      <w:pPr>
        <w:pStyle w:val="Heading4"/>
      </w:pPr>
      <w:r w:rsidRPr="00922517">
        <w:t>Superannuation</w:t>
      </w:r>
    </w:p>
    <w:p w:rsidR="00B03921" w:rsidRDefault="00B03921" w:rsidP="00016914">
      <w:pPr>
        <w:autoSpaceDE w:val="0"/>
        <w:autoSpaceDN w:val="0"/>
        <w:adjustRightInd w:val="0"/>
        <w:rPr>
          <w:rFonts w:cs="Garamond"/>
          <w:color w:val="000000"/>
        </w:rPr>
      </w:pPr>
      <w:r>
        <w:rPr>
          <w:rFonts w:cs="Garamond"/>
          <w:color w:val="000000"/>
        </w:rPr>
        <w:t xml:space="preserve">Future defined contribution superannuation expenses are based on assumptions regarding future salaries and contribution rates. </w:t>
      </w:r>
    </w:p>
    <w:p w:rsidR="00B03921" w:rsidRDefault="00B03921" w:rsidP="00016914">
      <w:pPr>
        <w:autoSpaceDE w:val="0"/>
        <w:autoSpaceDN w:val="0"/>
        <w:adjustRightInd w:val="0"/>
        <w:rPr>
          <w:rFonts w:cs="Garamond"/>
          <w:color w:val="000000"/>
        </w:rPr>
      </w:pPr>
      <w:r>
        <w:rPr>
          <w:rFonts w:cs="Garamond"/>
          <w:color w:val="000000"/>
        </w:rPr>
        <w:t xml:space="preserve">Future defined benefit superannuation costs, and superannuation liabilities at future balance dates, are estimated by the actuaries of the various defined benefit superannuation plans. These estimates are based on a number of demographic and financial assumptions. The table below sets out the major financial assumptions used to estimate the superannuation expense and liability in respect of each defined benefit superannuation plan for the budget and forward estimates period. </w:t>
      </w:r>
    </w:p>
    <w:p w:rsidR="00B03921" w:rsidRDefault="00B03921" w:rsidP="00016914">
      <w:pPr>
        <w:autoSpaceDE w:val="0"/>
        <w:autoSpaceDN w:val="0"/>
        <w:adjustRightInd w:val="0"/>
        <w:rPr>
          <w:rFonts w:ascii="Calibri" w:hAnsi="Calibri" w:cs="Calibri"/>
          <w:b/>
          <w:bCs/>
          <w:color w:val="000000"/>
        </w:rPr>
      </w:pPr>
      <w:r>
        <w:rPr>
          <w:rFonts w:cs="Garamond"/>
          <w:color w:val="000000"/>
        </w:rPr>
        <w:t>The discount and inflation rates are based on prevailing long</w:t>
      </w:r>
      <w:r>
        <w:rPr>
          <w:rFonts w:cs="Garamond"/>
          <w:color w:val="000000"/>
        </w:rPr>
        <w:noBreakHyphen/>
        <w:t>term Commonwealth Government bonds (both nominal and inflation linked) and are assumed to remain constant across the budget and forward estimates period. An expected return on plan assets is assumed when projecting assets, and the return this provides in excess of the discount rate is included in other economic flows – other comprehensive income. Actual experience may differ from assumptions and may cause significant variations in the reported superannuation liabilities.</w:t>
      </w:r>
    </w:p>
    <w:p w:rsidR="00E90A36" w:rsidRDefault="00E90A36">
      <w:pPr>
        <w:spacing w:after="0"/>
        <w:rPr>
          <w:rFonts w:ascii="Calibri" w:hAnsi="Calibri" w:cs="Calibri"/>
          <w:b/>
          <w:bCs/>
          <w:color w:val="000000"/>
        </w:rPr>
      </w:pPr>
      <w:r>
        <w:rPr>
          <w:rFonts w:ascii="Calibri" w:hAnsi="Calibri" w:cs="Calibri"/>
          <w:b/>
          <w:bCs/>
          <w:color w:val="000000"/>
        </w:rPr>
        <w:br w:type="page"/>
      </w:r>
    </w:p>
    <w:p w:rsidR="00E90A36" w:rsidRDefault="00E90A36" w:rsidP="00E90A36">
      <w:pPr>
        <w:pStyle w:val="Heading2NotesContd"/>
        <w:spacing w:after="80"/>
        <w:ind w:left="1151" w:hanging="1151"/>
      </w:pPr>
      <w:r>
        <w:t>Note 1:</w:t>
      </w:r>
      <w:r>
        <w:tab/>
        <w:t xml:space="preserve">Statement of significant accounting policies and forecast assumptions </w:t>
      </w:r>
      <w:r w:rsidRPr="00A035F3">
        <w:rPr>
          <w:i/>
        </w:rPr>
        <w:t>(continued)</w:t>
      </w:r>
    </w:p>
    <w:p w:rsidR="00B03921" w:rsidRDefault="00B03921" w:rsidP="00016914">
      <w:pPr>
        <w:keepNext/>
        <w:autoSpaceDE w:val="0"/>
        <w:autoSpaceDN w:val="0"/>
        <w:adjustRightInd w:val="0"/>
        <w:spacing w:before="240"/>
        <w:ind w:left="1152" w:hanging="1152"/>
        <w:rPr>
          <w:rFonts w:ascii="Calibri" w:hAnsi="Calibri" w:cs="Calibri"/>
          <w:b/>
          <w:bCs/>
          <w:color w:val="000000"/>
        </w:rPr>
      </w:pPr>
      <w:r>
        <w:rPr>
          <w:rFonts w:ascii="Calibri" w:hAnsi="Calibri" w:cs="Calibri"/>
          <w:b/>
          <w:bCs/>
          <w:color w:val="000000"/>
        </w:rPr>
        <w:t>Superannuation assumptions</w:t>
      </w:r>
    </w:p>
    <w:tbl>
      <w:tblPr>
        <w:tblW w:w="0" w:type="auto"/>
        <w:tblInd w:w="29" w:type="dxa"/>
        <w:tblLayout w:type="fixed"/>
        <w:tblCellMar>
          <w:left w:w="43" w:type="dxa"/>
          <w:right w:w="43" w:type="dxa"/>
        </w:tblCellMar>
        <w:tblLook w:val="00A0" w:firstRow="1" w:lastRow="0" w:firstColumn="1" w:lastColumn="0" w:noHBand="0" w:noVBand="0"/>
      </w:tblPr>
      <w:tblGrid>
        <w:gridCol w:w="6532"/>
        <w:gridCol w:w="1133"/>
      </w:tblGrid>
      <w:tr w:rsidR="00B03921" w:rsidTr="00016914">
        <w:tc>
          <w:tcPr>
            <w:tcW w:w="6532" w:type="dxa"/>
            <w:tcBorders>
              <w:top w:val="single" w:sz="6" w:space="0" w:color="000000"/>
              <w:left w:val="single" w:sz="6" w:space="0" w:color="000000"/>
              <w:bottom w:val="single" w:sz="6" w:space="0" w:color="000000"/>
              <w:right w:val="single" w:sz="6" w:space="0" w:color="000000"/>
            </w:tcBorders>
            <w:shd w:val="clear" w:color="auto" w:fill="000000"/>
          </w:tcPr>
          <w:p w:rsidR="00B03921" w:rsidRDefault="00B03921" w:rsidP="00016914">
            <w:pPr>
              <w:autoSpaceDE w:val="0"/>
              <w:autoSpaceDN w:val="0"/>
              <w:adjustRightInd w:val="0"/>
              <w:spacing w:after="0"/>
              <w:rPr>
                <w:rFonts w:ascii="Calibri" w:hAnsi="Calibri" w:cs="Calibri"/>
                <w:i/>
                <w:iCs/>
                <w:color w:val="FFFFFF"/>
                <w:sz w:val="20"/>
                <w:vertAlign w:val="superscript"/>
              </w:rPr>
            </w:pPr>
            <w:r>
              <w:rPr>
                <w:rFonts w:ascii="Calibri" w:hAnsi="Calibri" w:cs="Calibri"/>
                <w:i/>
                <w:iCs/>
                <w:color w:val="FFFFFF"/>
                <w:sz w:val="20"/>
              </w:rPr>
              <w:t>Underlying assumptions for all listed schemes</w:t>
            </w:r>
            <w:r>
              <w:rPr>
                <w:rFonts w:ascii="Calibri" w:hAnsi="Calibri" w:cs="Calibri"/>
                <w:i/>
                <w:iCs/>
                <w:color w:val="FFFFFF"/>
                <w:sz w:val="20"/>
                <w:vertAlign w:val="superscript"/>
              </w:rPr>
              <w:t>(a)</w:t>
            </w:r>
          </w:p>
        </w:tc>
        <w:tc>
          <w:tcPr>
            <w:tcW w:w="1133" w:type="dxa"/>
            <w:tcBorders>
              <w:top w:val="single" w:sz="6" w:space="0" w:color="000000"/>
              <w:left w:val="single" w:sz="6" w:space="0" w:color="000000"/>
              <w:bottom w:val="single" w:sz="6" w:space="0" w:color="000000"/>
              <w:right w:val="single" w:sz="6" w:space="0" w:color="000000"/>
            </w:tcBorders>
            <w:shd w:val="clear" w:color="auto" w:fill="000000"/>
          </w:tcPr>
          <w:p w:rsidR="00B03921" w:rsidRDefault="00B03921" w:rsidP="00016914">
            <w:pPr>
              <w:autoSpaceDE w:val="0"/>
              <w:autoSpaceDN w:val="0"/>
              <w:adjustRightInd w:val="0"/>
              <w:spacing w:after="0"/>
              <w:jc w:val="right"/>
              <w:rPr>
                <w:rFonts w:ascii="Calibri" w:hAnsi="Calibri" w:cs="Calibri"/>
                <w:i/>
                <w:iCs/>
                <w:color w:val="FFFFFF"/>
                <w:sz w:val="20"/>
              </w:rPr>
            </w:pPr>
            <w:r>
              <w:rPr>
                <w:rFonts w:ascii="Calibri" w:hAnsi="Calibri" w:cs="Calibri"/>
                <w:i/>
                <w:iCs/>
                <w:color w:val="FFFFFF"/>
                <w:sz w:val="20"/>
              </w:rPr>
              <w:t>Per cent</w:t>
            </w:r>
          </w:p>
        </w:tc>
      </w:tr>
      <w:tr w:rsidR="00B03921" w:rsidTr="00016914">
        <w:tc>
          <w:tcPr>
            <w:tcW w:w="6532" w:type="dxa"/>
            <w:tcBorders>
              <w:top w:val="single" w:sz="6" w:space="0" w:color="000000"/>
            </w:tcBorders>
          </w:tcPr>
          <w:p w:rsidR="00B03921" w:rsidRDefault="00B03921" w:rsidP="00016914">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Discount rate</w:t>
            </w:r>
            <w:r>
              <w:rPr>
                <w:rFonts w:ascii="Calibri" w:hAnsi="Calibri" w:cs="Calibri"/>
                <w:color w:val="000000"/>
                <w:sz w:val="20"/>
                <w:vertAlign w:val="superscript"/>
              </w:rPr>
              <w:t>(b)</w:t>
            </w:r>
          </w:p>
        </w:tc>
        <w:tc>
          <w:tcPr>
            <w:tcW w:w="1133" w:type="dxa"/>
            <w:tcBorders>
              <w:top w:val="single" w:sz="6" w:space="0" w:color="000000"/>
            </w:tcBorders>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2.7</w:t>
            </w:r>
          </w:p>
        </w:tc>
      </w:tr>
      <w:tr w:rsidR="00B03921" w:rsidTr="00016914">
        <w:tc>
          <w:tcPr>
            <w:tcW w:w="6532" w:type="dxa"/>
          </w:tcPr>
          <w:p w:rsidR="00B03921" w:rsidRDefault="00B03921" w:rsidP="00016914">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Wages growth</w:t>
            </w:r>
            <w:r>
              <w:rPr>
                <w:rFonts w:ascii="Calibri" w:hAnsi="Calibri" w:cs="Calibri"/>
                <w:color w:val="000000"/>
                <w:sz w:val="20"/>
                <w:vertAlign w:val="superscript"/>
              </w:rPr>
              <w:t>(c)</w:t>
            </w:r>
          </w:p>
        </w:tc>
        <w:tc>
          <w:tcPr>
            <w:tcW w:w="1133" w:type="dxa"/>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3.7</w:t>
            </w:r>
          </w:p>
        </w:tc>
      </w:tr>
      <w:tr w:rsidR="00B03921" w:rsidTr="00016914">
        <w:tc>
          <w:tcPr>
            <w:tcW w:w="6532" w:type="dxa"/>
            <w:tcBorders>
              <w:bottom w:val="single" w:sz="12" w:space="0" w:color="000000"/>
            </w:tcBorders>
          </w:tcPr>
          <w:p w:rsidR="00B03921" w:rsidRDefault="00B03921" w:rsidP="00016914">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Inflation rate</w:t>
            </w:r>
            <w:r>
              <w:rPr>
                <w:rFonts w:ascii="Calibri" w:hAnsi="Calibri" w:cs="Calibri"/>
                <w:color w:val="000000"/>
                <w:sz w:val="20"/>
                <w:vertAlign w:val="superscript"/>
              </w:rPr>
              <w:t>(d)</w:t>
            </w:r>
          </w:p>
        </w:tc>
        <w:tc>
          <w:tcPr>
            <w:tcW w:w="1133" w:type="dxa"/>
            <w:tcBorders>
              <w:bottom w:val="single" w:sz="12" w:space="0" w:color="000000"/>
            </w:tcBorders>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2.2</w:t>
            </w:r>
          </w:p>
        </w:tc>
      </w:tr>
      <w:tr w:rsidR="00B03921" w:rsidTr="00016914">
        <w:tc>
          <w:tcPr>
            <w:tcW w:w="6532" w:type="dxa"/>
            <w:tcBorders>
              <w:top w:val="single" w:sz="12" w:space="0" w:color="000000"/>
              <w:left w:val="single" w:sz="6" w:space="0" w:color="000000"/>
              <w:bottom w:val="single" w:sz="6" w:space="0" w:color="000000"/>
              <w:right w:val="single" w:sz="6" w:space="0" w:color="000000"/>
            </w:tcBorders>
            <w:shd w:val="clear" w:color="auto" w:fill="000000"/>
          </w:tcPr>
          <w:p w:rsidR="00B03921" w:rsidRDefault="00B03921" w:rsidP="00016914">
            <w:pPr>
              <w:autoSpaceDE w:val="0"/>
              <w:autoSpaceDN w:val="0"/>
              <w:adjustRightInd w:val="0"/>
              <w:spacing w:after="0"/>
              <w:rPr>
                <w:rFonts w:ascii="Calibri" w:hAnsi="Calibri" w:cs="Calibri"/>
                <w:i/>
                <w:iCs/>
                <w:color w:val="FFFFFF"/>
                <w:sz w:val="20"/>
                <w:vertAlign w:val="superscript"/>
              </w:rPr>
            </w:pPr>
            <w:r>
              <w:rPr>
                <w:rFonts w:ascii="Calibri" w:hAnsi="Calibri" w:cs="Calibri"/>
                <w:i/>
                <w:iCs/>
                <w:color w:val="FFFFFF"/>
                <w:sz w:val="20"/>
              </w:rPr>
              <w:t>Expected return on assets</w:t>
            </w:r>
            <w:r>
              <w:rPr>
                <w:rFonts w:ascii="Calibri" w:hAnsi="Calibri" w:cs="Calibri"/>
                <w:i/>
                <w:iCs/>
                <w:color w:val="FFFFFF"/>
                <w:sz w:val="20"/>
                <w:vertAlign w:val="superscript"/>
              </w:rPr>
              <w:t>(e)</w:t>
            </w:r>
          </w:p>
        </w:tc>
        <w:tc>
          <w:tcPr>
            <w:tcW w:w="1133" w:type="dxa"/>
            <w:tcBorders>
              <w:top w:val="single" w:sz="12" w:space="0" w:color="000000"/>
              <w:left w:val="single" w:sz="6" w:space="0" w:color="000000"/>
              <w:bottom w:val="single" w:sz="6" w:space="0" w:color="000000"/>
              <w:right w:val="single" w:sz="6" w:space="0" w:color="000000"/>
            </w:tcBorders>
            <w:shd w:val="clear" w:color="auto" w:fill="000000"/>
          </w:tcPr>
          <w:p w:rsidR="00B03921" w:rsidRDefault="00B03921" w:rsidP="00016914">
            <w:pPr>
              <w:keepNext/>
              <w:keepLines/>
              <w:autoSpaceDE w:val="0"/>
              <w:autoSpaceDN w:val="0"/>
              <w:adjustRightInd w:val="0"/>
              <w:spacing w:after="0"/>
              <w:rPr>
                <w:rFonts w:ascii="Calibri" w:hAnsi="Calibri" w:cs="Calibri"/>
                <w:i/>
                <w:iCs/>
                <w:color w:val="FFFFFF"/>
                <w:sz w:val="20"/>
                <w:vertAlign w:val="superscript"/>
              </w:rPr>
            </w:pPr>
          </w:p>
        </w:tc>
      </w:tr>
      <w:tr w:rsidR="00B03921" w:rsidTr="00016914">
        <w:tc>
          <w:tcPr>
            <w:tcW w:w="6532" w:type="dxa"/>
            <w:tcBorders>
              <w:top w:val="single" w:sz="6" w:space="0" w:color="000000"/>
            </w:tcBorders>
          </w:tcPr>
          <w:p w:rsidR="00B03921" w:rsidRDefault="00B03921" w:rsidP="00016914">
            <w:pPr>
              <w:autoSpaceDE w:val="0"/>
              <w:autoSpaceDN w:val="0"/>
              <w:adjustRightInd w:val="0"/>
              <w:spacing w:after="0"/>
              <w:ind w:left="180" w:hanging="180"/>
              <w:rPr>
                <w:rFonts w:ascii="Calibri" w:hAnsi="Calibri" w:cs="Calibri"/>
                <w:color w:val="000000"/>
                <w:sz w:val="20"/>
              </w:rPr>
            </w:pPr>
            <w:r>
              <w:rPr>
                <w:rFonts w:ascii="Calibri" w:hAnsi="Calibri" w:cs="Calibri"/>
                <w:color w:val="000000"/>
                <w:sz w:val="20"/>
              </w:rPr>
              <w:t xml:space="preserve">Emergency Services and State Super </w:t>
            </w:r>
          </w:p>
        </w:tc>
        <w:tc>
          <w:tcPr>
            <w:tcW w:w="1133" w:type="dxa"/>
            <w:tcBorders>
              <w:top w:val="single" w:sz="6" w:space="0" w:color="000000"/>
            </w:tcBorders>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8.0</w:t>
            </w:r>
          </w:p>
        </w:tc>
      </w:tr>
      <w:tr w:rsidR="00B03921" w:rsidTr="00016914">
        <w:tc>
          <w:tcPr>
            <w:tcW w:w="6532" w:type="dxa"/>
          </w:tcPr>
          <w:p w:rsidR="00B03921" w:rsidRDefault="00B03921" w:rsidP="00016914">
            <w:pPr>
              <w:autoSpaceDE w:val="0"/>
              <w:autoSpaceDN w:val="0"/>
              <w:adjustRightInd w:val="0"/>
              <w:spacing w:after="0"/>
              <w:ind w:left="180" w:hanging="180"/>
              <w:rPr>
                <w:rFonts w:ascii="Calibri" w:hAnsi="Calibri" w:cs="Calibri"/>
                <w:color w:val="000000"/>
                <w:sz w:val="20"/>
              </w:rPr>
            </w:pPr>
            <w:r>
              <w:rPr>
                <w:rFonts w:ascii="Calibri" w:hAnsi="Calibri" w:cs="Calibri"/>
                <w:color w:val="000000"/>
                <w:sz w:val="20"/>
              </w:rPr>
              <w:t>Health Super Fund Defined Benefit Scheme</w:t>
            </w:r>
          </w:p>
        </w:tc>
        <w:tc>
          <w:tcPr>
            <w:tcW w:w="1133" w:type="dxa"/>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5.8</w:t>
            </w:r>
          </w:p>
        </w:tc>
      </w:tr>
      <w:tr w:rsidR="00B03921" w:rsidTr="00016914">
        <w:tc>
          <w:tcPr>
            <w:tcW w:w="6532" w:type="dxa"/>
            <w:tcBorders>
              <w:bottom w:val="single" w:sz="12" w:space="0" w:color="000000"/>
            </w:tcBorders>
          </w:tcPr>
          <w:p w:rsidR="00B03921" w:rsidRDefault="00B03921" w:rsidP="00016914">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Constitutionally protected schemes</w:t>
            </w:r>
            <w:r>
              <w:rPr>
                <w:rFonts w:ascii="Calibri" w:hAnsi="Calibri" w:cs="Calibri"/>
                <w:color w:val="000000"/>
                <w:sz w:val="20"/>
                <w:vertAlign w:val="superscript"/>
              </w:rPr>
              <w:t>(f)</w:t>
            </w:r>
          </w:p>
        </w:tc>
        <w:tc>
          <w:tcPr>
            <w:tcW w:w="1133" w:type="dxa"/>
            <w:tcBorders>
              <w:bottom w:val="single" w:sz="12" w:space="0" w:color="000000"/>
            </w:tcBorders>
          </w:tcPr>
          <w:p w:rsidR="00B03921" w:rsidRDefault="00B03921" w:rsidP="00016914">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n.a.</w:t>
            </w:r>
          </w:p>
        </w:tc>
      </w:tr>
    </w:tbl>
    <w:p w:rsidR="00B03921" w:rsidRPr="0053627B" w:rsidRDefault="00B03921" w:rsidP="00016914">
      <w:pPr>
        <w:pStyle w:val="Source"/>
      </w:pPr>
      <w:r w:rsidRPr="0053627B">
        <w:t>Source: Department of Treasury and Finance</w:t>
      </w:r>
    </w:p>
    <w:p w:rsidR="00B03921" w:rsidRPr="0053627B"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Notes:</w:t>
      </w:r>
    </w:p>
    <w:p w:rsidR="00B03921" w:rsidRPr="0053627B"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(a)</w:t>
      </w:r>
      <w:r w:rsidRPr="0053627B">
        <w:rPr>
          <w:rFonts w:ascii="Calibri" w:hAnsi="Calibri"/>
          <w:i/>
          <w:sz w:val="15"/>
        </w:rPr>
        <w:tab/>
        <w:t>All rates are nominal annual rates and are applicable to all the listed schemes.</w:t>
      </w:r>
    </w:p>
    <w:p w:rsidR="00B03921" w:rsidRPr="0053627B"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(b)</w:t>
      </w:r>
      <w:r w:rsidRPr="0053627B">
        <w:rPr>
          <w:rFonts w:ascii="Calibri" w:hAnsi="Calibri"/>
          <w:i/>
          <w:sz w:val="15"/>
        </w:rPr>
        <w:tab/>
        <w:t>The discount rate is based on a long</w:t>
      </w:r>
      <w:r>
        <w:rPr>
          <w:rFonts w:ascii="Calibri" w:hAnsi="Calibri"/>
          <w:i/>
          <w:sz w:val="15"/>
        </w:rPr>
        <w:noBreakHyphen/>
      </w:r>
      <w:r w:rsidRPr="0053627B">
        <w:rPr>
          <w:rFonts w:ascii="Calibri" w:hAnsi="Calibri"/>
          <w:i/>
          <w:sz w:val="15"/>
        </w:rPr>
        <w:t>term fixed interest Commonwealth Government bond rate. The rate stated above is an annual effective rate, gross of tax.</w:t>
      </w:r>
    </w:p>
    <w:p w:rsidR="00B03921" w:rsidRDefault="00B03921" w:rsidP="00016914">
      <w:pPr>
        <w:tabs>
          <w:tab w:val="left" w:pos="454"/>
        </w:tabs>
        <w:autoSpaceDE w:val="0"/>
        <w:autoSpaceDN w:val="0"/>
        <w:adjustRightInd w:val="0"/>
        <w:spacing w:after="0"/>
        <w:ind w:left="461" w:hanging="461"/>
        <w:rPr>
          <w:rFonts w:ascii="Calibri" w:hAnsi="Calibri"/>
          <w:i/>
          <w:sz w:val="15"/>
        </w:rPr>
      </w:pPr>
      <w:r w:rsidRPr="00476109">
        <w:rPr>
          <w:rFonts w:ascii="Calibri" w:hAnsi="Calibri"/>
          <w:i/>
          <w:sz w:val="15"/>
        </w:rPr>
        <w:t>(c)</w:t>
      </w:r>
      <w:r w:rsidRPr="00476109">
        <w:rPr>
          <w:rFonts w:ascii="Calibri" w:hAnsi="Calibri"/>
          <w:i/>
          <w:sz w:val="15"/>
        </w:rPr>
        <w:tab/>
      </w:r>
      <w:r>
        <w:rPr>
          <w:rFonts w:ascii="Calibri" w:hAnsi="Calibri"/>
          <w:i/>
          <w:sz w:val="15"/>
        </w:rPr>
        <w:t xml:space="preserve">The wages growth assumption is derived from the yields on Commonwealth government bonds. </w:t>
      </w:r>
    </w:p>
    <w:p w:rsidR="00B03921" w:rsidRPr="0053627B"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(d)</w:t>
      </w:r>
      <w:r w:rsidRPr="0053627B">
        <w:rPr>
          <w:rFonts w:ascii="Calibri" w:hAnsi="Calibri"/>
          <w:i/>
          <w:sz w:val="15"/>
        </w:rPr>
        <w:tab/>
        <w:t>The inflation rate assumed by the actuary reflects market expectations of price inflation, implied from the relationship between the yields on nominal and inflation linked Commonwealth Government bonds. This ensures consistency with the prescribed (i.e. market</w:t>
      </w:r>
      <w:r>
        <w:rPr>
          <w:rFonts w:ascii="Calibri" w:hAnsi="Calibri"/>
          <w:i/>
          <w:sz w:val="15"/>
        </w:rPr>
        <w:noBreakHyphen/>
      </w:r>
      <w:r w:rsidRPr="0053627B">
        <w:rPr>
          <w:rFonts w:ascii="Calibri" w:hAnsi="Calibri"/>
          <w:i/>
          <w:sz w:val="15"/>
        </w:rPr>
        <w:t>based) discount rate.</w:t>
      </w:r>
    </w:p>
    <w:p w:rsidR="00B03921" w:rsidRPr="0053627B"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(e)</w:t>
      </w:r>
      <w:r w:rsidRPr="0053627B">
        <w:rPr>
          <w:rFonts w:ascii="Calibri" w:hAnsi="Calibri"/>
          <w:i/>
          <w:sz w:val="15"/>
        </w:rPr>
        <w:tab/>
        <w:t>The expected return on assets stated is gross of tax. Estimated tax payments are explicitly allowed for in the calculation process.</w:t>
      </w:r>
    </w:p>
    <w:p w:rsidR="00B03921" w:rsidRDefault="00B03921" w:rsidP="00016914">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(f)</w:t>
      </w:r>
      <w:r w:rsidRPr="0053627B">
        <w:rPr>
          <w:rFonts w:ascii="Calibri" w:hAnsi="Calibri"/>
          <w:i/>
          <w:sz w:val="15"/>
        </w:rPr>
        <w:tab/>
        <w:t>Pensions payable from constitutionally protected schemes are paid from the Consolidated Fund. These schemes hold no assets so there is no expected return on assets.</w:t>
      </w:r>
    </w:p>
    <w:p w:rsidR="00B03921" w:rsidRPr="0053627B" w:rsidRDefault="00B03921" w:rsidP="00016914">
      <w:pPr>
        <w:pStyle w:val="BodyText"/>
      </w:pPr>
    </w:p>
    <w:p w:rsidR="00B03921" w:rsidRPr="0040125C" w:rsidRDefault="00B03921" w:rsidP="00016914">
      <w:pPr>
        <w:pStyle w:val="Heading4"/>
      </w:pPr>
      <w:r w:rsidRPr="0040125C">
        <w:t>Service concession arrangements (otherwise referred to as public private partnerships)</w:t>
      </w:r>
    </w:p>
    <w:p w:rsidR="00B03921" w:rsidRPr="0040125C" w:rsidRDefault="00B03921" w:rsidP="00016914">
      <w:r w:rsidRPr="0040125C">
        <w:t xml:space="preserve">The State from time to time enters into concession arrangements with the private sector to design, construct or upgrade assets used to provide public services. These arrangements may include operational and maintenance services for a specified period of time. </w:t>
      </w:r>
    </w:p>
    <w:p w:rsidR="00B03921" w:rsidRPr="0040125C" w:rsidRDefault="00B03921" w:rsidP="00016914">
      <w:r w:rsidRPr="0040125C">
        <w:t>Projects specifically approved to be delivered as public private partnershi</w:t>
      </w:r>
      <w:r>
        <w:t>ps are budgeted for consistent</w:t>
      </w:r>
      <w:r w:rsidRPr="0040125C">
        <w:t xml:space="preserve"> with the expected delivery model from the date of approval, and in accordance with the accounting policies applicable to service concession arrangements outlined in the </w:t>
      </w:r>
      <w:r>
        <w:rPr>
          <w:i/>
        </w:rPr>
        <w:t>2013</w:t>
      </w:r>
      <w:r>
        <w:rPr>
          <w:i/>
        </w:rPr>
        <w:noBreakHyphen/>
        <w:t>14</w:t>
      </w:r>
      <w:r w:rsidRPr="0040125C">
        <w:rPr>
          <w:i/>
        </w:rPr>
        <w:t> Financial Report</w:t>
      </w:r>
      <w:r>
        <w:rPr>
          <w:i/>
        </w:rPr>
        <w:t xml:space="preserve"> </w:t>
      </w:r>
      <w:r>
        <w:t>for the State of Victoria</w:t>
      </w:r>
      <w:r w:rsidRPr="0040125C">
        <w:t xml:space="preserve">. </w:t>
      </w:r>
    </w:p>
    <w:p w:rsidR="00B03921" w:rsidRPr="0040125C" w:rsidRDefault="00B03921" w:rsidP="00016914">
      <w:r w:rsidRPr="0040125C">
        <w:t xml:space="preserve">Some service concession arrangements, such as user pays toll roads, also include the right for the State to take control of the asset at the end of the concession period. As there is currently no authoritative accounting guidance to forecast the recognition and measurement of these assets, they are not recognised in the Estimated Financial Statements. </w:t>
      </w:r>
      <w:r>
        <w:t>There are no such concessions ending within the period of the Estimated Financial Statements.</w:t>
      </w:r>
    </w:p>
    <w:p w:rsidR="00E90A36" w:rsidRDefault="00E90A36">
      <w:pPr>
        <w:spacing w:after="0"/>
        <w:rPr>
          <w:rFonts w:ascii="Calibri" w:hAnsi="Calibri"/>
          <w:b/>
          <w:i/>
          <w:kern w:val="28"/>
          <w:sz w:val="24"/>
          <w:szCs w:val="22"/>
        </w:rPr>
      </w:pPr>
      <w:r>
        <w:br w:type="page"/>
      </w:r>
    </w:p>
    <w:p w:rsidR="00E90A36" w:rsidRDefault="00E90A36" w:rsidP="00E90A36">
      <w:pPr>
        <w:pStyle w:val="Heading2NotesContd"/>
      </w:pPr>
      <w:r>
        <w:t>Note 1:</w:t>
      </w:r>
      <w:r>
        <w:tab/>
        <w:t xml:space="preserve">Statement of significant accounting policies and forecast assumptions </w:t>
      </w:r>
      <w:r w:rsidRPr="00A035F3">
        <w:rPr>
          <w:i/>
        </w:rPr>
        <w:t>(continued)</w:t>
      </w:r>
    </w:p>
    <w:p w:rsidR="00B03921" w:rsidRPr="0040125C" w:rsidRDefault="00B03921" w:rsidP="00016914">
      <w:pPr>
        <w:pStyle w:val="Heading3Numbering"/>
        <w:tabs>
          <w:tab w:val="num" w:pos="720"/>
        </w:tabs>
        <w:ind w:left="720" w:hanging="720"/>
      </w:pPr>
      <w:r w:rsidRPr="0040125C">
        <w:t>Sensitivity analysis</w:t>
      </w:r>
    </w:p>
    <w:p w:rsidR="00B03921" w:rsidRPr="0040125C" w:rsidRDefault="00B03921" w:rsidP="00016914">
      <w:r w:rsidRPr="00063B8D">
        <w:t xml:space="preserve">Appendix A </w:t>
      </w:r>
      <w:r w:rsidRPr="00063B8D">
        <w:rPr>
          <w:i/>
        </w:rPr>
        <w:t>Sensitivity analysis</w:t>
      </w:r>
      <w:r w:rsidRPr="00063B8D">
        <w:t xml:space="preserve"> </w:t>
      </w:r>
      <w:r w:rsidRPr="005679F7">
        <w:t xml:space="preserve">contained in Budget Paper No. 2 provides an estimate of the impact on </w:t>
      </w:r>
      <w:r>
        <w:t>revenue</w:t>
      </w:r>
      <w:r w:rsidRPr="005679F7">
        <w:t>, expenses, the net result from transactions, the net result, and net debt associated with variations to forecasts of selected economic and financial variables.</w:t>
      </w:r>
    </w:p>
    <w:p w:rsidR="00B03921" w:rsidRPr="00D26163" w:rsidRDefault="00B03921" w:rsidP="00016914">
      <w:pPr>
        <w:pStyle w:val="Heading3Numbering"/>
        <w:tabs>
          <w:tab w:val="num" w:pos="720"/>
        </w:tabs>
        <w:ind w:left="720" w:hanging="720"/>
      </w:pPr>
      <w:r w:rsidRPr="00D26163">
        <w:t>Prospective accounting changes</w:t>
      </w:r>
    </w:p>
    <w:p w:rsidR="00B03921" w:rsidRPr="00D26163" w:rsidRDefault="00B03921" w:rsidP="00016914">
      <w:r w:rsidRPr="00D26163">
        <w:t>Certain new and revised accounti</w:t>
      </w:r>
      <w:r>
        <w:t>ng standards have been issued</w:t>
      </w:r>
      <w:r w:rsidRPr="00D26163">
        <w:t xml:space="preserve"> bu</w:t>
      </w:r>
      <w:r>
        <w:t>t are not effective for the 2015</w:t>
      </w:r>
      <w:r>
        <w:noBreakHyphen/>
        <w:t>16</w:t>
      </w:r>
      <w:r w:rsidRPr="00D26163">
        <w:t xml:space="preserve"> reporting period. They include: </w:t>
      </w:r>
    </w:p>
    <w:p w:rsidR="00B03921" w:rsidRPr="00D26163" w:rsidRDefault="00B03921" w:rsidP="00016914">
      <w:pPr>
        <w:pStyle w:val="BulletText"/>
      </w:pPr>
      <w:r w:rsidRPr="00D26163">
        <w:t>AASB 15 </w:t>
      </w:r>
      <w:r w:rsidRPr="00D26163">
        <w:rPr>
          <w:i/>
        </w:rPr>
        <w:t>Revenue from Contracts with Customers</w:t>
      </w:r>
      <w:r>
        <w:t>, operative for</w:t>
      </w:r>
      <w:r w:rsidRPr="00D26163">
        <w:t xml:space="preserve"> </w:t>
      </w:r>
      <w:r>
        <w:t xml:space="preserve">reporting periods commencing </w:t>
      </w:r>
      <w:r w:rsidRPr="00D26163">
        <w:t>1 January 2017. The core principle of AASB 15 requires an entity to recognise revenue when the entity satisfies a performance obligation by transferring a promised good or service to a customer. The State is reviewing its existing revenue recognition policy to assess the potential implications arising from AASB 15.</w:t>
      </w:r>
    </w:p>
    <w:p w:rsidR="00B03921" w:rsidRDefault="00B03921" w:rsidP="00016914">
      <w:pPr>
        <w:pStyle w:val="BulletText"/>
      </w:pPr>
      <w:r w:rsidRPr="00D26163">
        <w:t xml:space="preserve">AASB 9 </w:t>
      </w:r>
      <w:r w:rsidRPr="00D26163">
        <w:rPr>
          <w:i/>
        </w:rPr>
        <w:t xml:space="preserve">Financial Instruments, </w:t>
      </w:r>
      <w:r w:rsidRPr="00D26163">
        <w:t>operative for reporting periods beginning from 1 January 2018 as revised by AASB 2014</w:t>
      </w:r>
      <w:r>
        <w:noBreakHyphen/>
      </w:r>
      <w:r w:rsidRPr="00D26163">
        <w:t xml:space="preserve">1 </w:t>
      </w:r>
      <w:r w:rsidRPr="00D26163">
        <w:rPr>
          <w:i/>
        </w:rPr>
        <w:t xml:space="preserve">Amendments to Australian Accounting Standards </w:t>
      </w:r>
      <w:r w:rsidRPr="00D26163">
        <w:t>(Part E</w:t>
      </w:r>
      <w:r w:rsidRPr="00D26163">
        <w:rPr>
          <w:i/>
        </w:rPr>
        <w:t xml:space="preserve"> Financial Instruments</w:t>
      </w:r>
      <w:r w:rsidRPr="00D26163">
        <w:t>). 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r>
        <w:t xml:space="preserve"> The State is reviewing its existing policies to make changes as required.</w:t>
      </w:r>
    </w:p>
    <w:p w:rsidR="00B03921" w:rsidRPr="00D26163" w:rsidRDefault="00B03921" w:rsidP="00016914">
      <w:pPr>
        <w:pStyle w:val="BulletText"/>
        <w:numPr>
          <w:ilvl w:val="0"/>
          <w:numId w:val="0"/>
        </w:numPr>
      </w:pPr>
      <w:r w:rsidRPr="00D26163">
        <w:t>There is no intention to early adopt the above accounting standards.</w:t>
      </w:r>
    </w:p>
    <w:p w:rsidR="00B03921" w:rsidRPr="00D26163" w:rsidRDefault="00B03921" w:rsidP="00016914">
      <w:pPr>
        <w:pStyle w:val="BulletText"/>
        <w:numPr>
          <w:ilvl w:val="0"/>
          <w:numId w:val="0"/>
        </w:numPr>
      </w:pPr>
      <w:r w:rsidRPr="00D26163">
        <w:t>Several other amending standards and AASB interpretations have been issued that are applicable for future reporting periods, but are considered to have limited impact on public sector reporting.</w:t>
      </w:r>
    </w:p>
    <w:p w:rsidR="00B03921" w:rsidRDefault="00B03921" w:rsidP="00016914">
      <w:pPr>
        <w:pStyle w:val="Heading3Numbering"/>
        <w:tabs>
          <w:tab w:val="num" w:pos="720"/>
        </w:tabs>
        <w:ind w:left="720" w:hanging="720"/>
      </w:pPr>
      <w:r>
        <w:t>Recent machinery of government changes</w:t>
      </w:r>
    </w:p>
    <w:p w:rsidR="00B03921" w:rsidRPr="00A73E5B" w:rsidRDefault="00B03921" w:rsidP="00016914">
      <w:pPr>
        <w:autoSpaceDE w:val="0"/>
        <w:autoSpaceDN w:val="0"/>
        <w:adjustRightInd w:val="0"/>
        <w:spacing w:after="0"/>
      </w:pPr>
      <w:r w:rsidRPr="009D0DD7">
        <w:t xml:space="preserve">On 4 December 2014, the Premier announced new administrative arrangements for government entities effective 1 January 2015. Information disclosed in the notes to the estimated financial statements in the </w:t>
      </w:r>
      <w:r w:rsidRPr="005266F5">
        <w:rPr>
          <w:i/>
        </w:rPr>
        <w:t>2015</w:t>
      </w:r>
      <w:r>
        <w:rPr>
          <w:i/>
        </w:rPr>
        <w:noBreakHyphen/>
      </w:r>
      <w:r w:rsidRPr="005266F5">
        <w:rPr>
          <w:i/>
        </w:rPr>
        <w:t>1</w:t>
      </w:r>
      <w:r>
        <w:rPr>
          <w:i/>
        </w:rPr>
        <w:t>6</w:t>
      </w:r>
      <w:r w:rsidRPr="009D0DD7">
        <w:t xml:space="preserve"> </w:t>
      </w:r>
      <w:r>
        <w:rPr>
          <w:i/>
        </w:rPr>
        <w:t xml:space="preserve">Budget </w:t>
      </w:r>
      <w:r>
        <w:t>reflects</w:t>
      </w:r>
      <w:r w:rsidRPr="009D0DD7">
        <w:t xml:space="preserve"> the</w:t>
      </w:r>
      <w:r>
        <w:t>se</w:t>
      </w:r>
      <w:r w:rsidRPr="009D0DD7">
        <w:t xml:space="preserve"> </w:t>
      </w:r>
      <w:r>
        <w:t xml:space="preserve">new </w:t>
      </w:r>
      <w:r w:rsidRPr="009D0DD7">
        <w:t>administrative structure</w:t>
      </w:r>
      <w:r>
        <w:t>s. These changes have no impact on the General Government Sector aggregates.</w:t>
      </w:r>
    </w:p>
    <w:p w:rsidR="00B03921" w:rsidRPr="00B4617F" w:rsidRDefault="00B03921" w:rsidP="00016914">
      <w:pPr>
        <w:pStyle w:val="BodyText"/>
      </w:pPr>
      <w:r>
        <w:br w:type="page"/>
      </w:r>
    </w:p>
    <w:p w:rsidR="00B03921" w:rsidRDefault="00B03921" w:rsidP="00016914">
      <w:pPr>
        <w:pStyle w:val="Heading2Notes"/>
      </w:pPr>
      <w:bookmarkStart w:id="10" w:name="_Toc418103346"/>
      <w:bookmarkStart w:id="11" w:name="_Toc418191967"/>
      <w:bookmarkStart w:id="12" w:name="_Toc418274859"/>
      <w:bookmarkStart w:id="13" w:name="_Toc418276605"/>
      <w:r>
        <w:t>Note 2:</w:t>
      </w:r>
      <w:r>
        <w:tab/>
      </w:r>
      <w:r w:rsidRPr="00B4617F">
        <w:t>Taxation</w:t>
      </w:r>
      <w:r>
        <w:t xml:space="preserve"> revenue</w:t>
      </w:r>
      <w:bookmarkEnd w:id="10"/>
      <w:bookmarkEnd w:id="11"/>
      <w:bookmarkEnd w:id="12"/>
      <w:bookmarkEnd w:id="13"/>
    </w:p>
    <w:p w:rsidR="00B03921" w:rsidRPr="005C543F" w:rsidRDefault="00B03921" w:rsidP="00016914">
      <w:pPr>
        <w:pStyle w:val="million"/>
        <w:rPr>
          <w:rFonts w:ascii="Times New Roman" w:hAnsi="Times New Roman"/>
          <w:i w:val="0"/>
          <w:sz w:val="20"/>
          <w:szCs w:val="20"/>
          <w:lang w:eastAsia="en-AU"/>
        </w:rPr>
      </w:pPr>
      <w:r>
        <w:t>($ million)</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125"/>
        <w:gridCol w:w="869"/>
        <w:gridCol w:w="994"/>
        <w:gridCol w:w="994"/>
        <w:gridCol w:w="994"/>
        <w:gridCol w:w="37"/>
      </w:tblGrid>
      <w:tr w:rsidR="00B03921" w:rsidRPr="005C543F" w:rsidTr="00016914">
        <w:trPr>
          <w:gridAfter w:val="1"/>
          <w:wAfter w:w="37" w:type="dxa"/>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994" w:type="dxa"/>
            <w:gridSpan w:val="2"/>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F166F6">
        <w:trPr>
          <w:gridAfter w:val="1"/>
          <w:wAfter w:w="37" w:type="dxa"/>
        </w:trPr>
        <w:tc>
          <w:tcPr>
            <w:tcW w:w="3909" w:type="dxa"/>
            <w:gridSpan w:val="2"/>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Taxes on employers</w:t>
            </w:r>
            <w:r w:rsidR="00BA5A16">
              <w:rPr>
                <w:rFonts w:eastAsiaTheme="minorEastAsia"/>
                <w:b/>
                <w:bCs/>
                <w:lang w:eastAsia="en-AU"/>
              </w:rPr>
              <w:t>’</w:t>
            </w:r>
            <w:r w:rsidRPr="005C543F">
              <w:rPr>
                <w:rFonts w:eastAsiaTheme="minorEastAsia"/>
                <w:b/>
                <w:bCs/>
                <w:lang w:eastAsia="en-AU"/>
              </w:rPr>
              <w:t xml:space="preserve"> payroll and labour force</w:t>
            </w:r>
          </w:p>
        </w:tc>
        <w:tc>
          <w:tcPr>
            <w:tcW w:w="869"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5 407.5</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5 758.0</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6 085.9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6 426.7</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Taxes on property</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Taxes on immovable property</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Land tax</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1 769.7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2 006.4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1 958.4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2 219.6</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Fire Services Property Levy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627.9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644.7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662.3</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Congestion levy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120.2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129.8</w:t>
            </w:r>
          </w:p>
        </w:tc>
      </w:tr>
      <w:tr w:rsidR="00B03921" w:rsidRPr="005C543F" w:rsidTr="00016914">
        <w:trPr>
          <w:gridAfter w:val="1"/>
          <w:wAfter w:w="37" w:type="dxa"/>
        </w:trPr>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Metropolitan improvement levy</w:t>
            </w:r>
          </w:p>
        </w:tc>
        <w:tc>
          <w:tcPr>
            <w:tcW w:w="994" w:type="dxa"/>
            <w:gridSpan w:val="2"/>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150.8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157.4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158.0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158.0</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taxes on immovable property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2 668.7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2 918.9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2 887.6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3 169.7</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Financial and capital transactions</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Land transfer duty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5 028.1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5 128.8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5 194.4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5 259.6</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property duties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2.3</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Metropolitan Planning Levy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Financial accommodation levy</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191.1</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Growth areas infrastructure contributions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108.3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127.2</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financial and capital transactions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5 306.7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5 418.7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5 506.0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5 597.3</w:t>
            </w:r>
          </w:p>
        </w:tc>
      </w:tr>
      <w:tr w:rsidR="00B03921" w:rsidRPr="005C543F" w:rsidTr="00016914">
        <w:trPr>
          <w:gridAfter w:val="1"/>
          <w:wAfter w:w="37" w:type="dxa"/>
        </w:trPr>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taxes on property</w:t>
            </w:r>
          </w:p>
        </w:tc>
        <w:tc>
          <w:tcPr>
            <w:tcW w:w="994" w:type="dxa"/>
            <w:gridSpan w:val="2"/>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7 975.4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8 337.7</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8 393.6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8 767.0</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Taxes on the provision of goods and services</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Gambling taxes</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Pr>
                <w:rFonts w:eastAsiaTheme="minorEastAsia"/>
                <w:lang w:eastAsia="en-AU"/>
              </w:rPr>
              <w:t>Public</w:t>
            </w:r>
            <w:r w:rsidRPr="005C543F">
              <w:rPr>
                <w:rFonts w:eastAsiaTheme="minorEastAsia"/>
                <w:lang w:eastAsia="en-AU"/>
              </w:rPr>
              <w:t xml:space="preserve"> lotteries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420.7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438.3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457.5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478.1</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Electronic gaming machines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1 087.7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1 112.1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1 139.8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1 144.4</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Casino</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240.3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254.5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262.9</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Racing</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82.8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82.0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81.8</w:t>
            </w:r>
          </w:p>
        </w:tc>
      </w:tr>
      <w:tr w:rsidR="00B03921" w:rsidRPr="005C543F" w:rsidTr="00016914">
        <w:trPr>
          <w:gridAfter w:val="1"/>
          <w:wAfter w:w="37" w:type="dxa"/>
        </w:trPr>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w:t>
            </w:r>
          </w:p>
        </w:tc>
        <w:tc>
          <w:tcPr>
            <w:tcW w:w="994" w:type="dxa"/>
            <w:gridSpan w:val="2"/>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38.1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61.8</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gambling taxes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1 861.3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1 917.0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1 983.0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2 029.1</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cs="Calibri"/>
                <w:b/>
                <w:bCs/>
                <w:color w:val="000000"/>
                <w:vertAlign w:val="superscript"/>
                <w:lang w:eastAsia="en-AU"/>
              </w:rPr>
            </w:pPr>
            <w:r w:rsidRPr="005C543F">
              <w:rPr>
                <w:rFonts w:eastAsiaTheme="minorEastAsia"/>
                <w:b/>
                <w:bCs/>
                <w:lang w:eastAsia="en-AU"/>
              </w:rPr>
              <w:t>Levies on statutory corporations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112.0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Taxes on insurance</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1 156.2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1 234.6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1 318.1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1 408.9</w:t>
            </w:r>
          </w:p>
        </w:tc>
      </w:tr>
      <w:tr w:rsidR="00B03921" w:rsidRPr="005C543F" w:rsidTr="00016914">
        <w:trPr>
          <w:gridAfter w:val="1"/>
          <w:wAfter w:w="37" w:type="dxa"/>
        </w:trPr>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taxes on the provision of goods and services</w:t>
            </w:r>
          </w:p>
        </w:tc>
        <w:tc>
          <w:tcPr>
            <w:tcW w:w="994" w:type="dxa"/>
            <w:gridSpan w:val="2"/>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3 129.5</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3 151.5</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3 301.1</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3 438.1</w:t>
            </w:r>
          </w:p>
        </w:tc>
      </w:tr>
      <w:tr w:rsidR="00016914" w:rsidRPr="005C543F" w:rsidTr="00016914">
        <w:tc>
          <w:tcPr>
            <w:tcW w:w="7797" w:type="dxa"/>
            <w:gridSpan w:val="7"/>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Taxes on the use of goods and performance of activities</w:t>
            </w:r>
          </w:p>
        </w:tc>
      </w:tr>
      <w:tr w:rsidR="00016914" w:rsidRPr="005C543F" w:rsidTr="00016914">
        <w:trPr>
          <w:gridAfter w:val="1"/>
          <w:wAfter w:w="37" w:type="dxa"/>
        </w:trPr>
        <w:tc>
          <w:tcPr>
            <w:tcW w:w="7760" w:type="dxa"/>
            <w:gridSpan w:val="6"/>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Motor vehicle taxes</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Vehicle registration fees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1 458.9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1 558.2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1 616.4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1 677.8</w:t>
            </w:r>
          </w:p>
        </w:tc>
      </w:tr>
      <w:tr w:rsidR="00B03921" w:rsidRPr="005C543F" w:rsidTr="00016914">
        <w:trPr>
          <w:gridAfter w:val="1"/>
          <w:wAfter w:w="37" w:type="dxa"/>
        </w:trPr>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Duty on vehicle registrations and transfers</w:t>
            </w:r>
          </w:p>
        </w:tc>
        <w:tc>
          <w:tcPr>
            <w:tcW w:w="994" w:type="dxa"/>
            <w:gridSpan w:val="2"/>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743.3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765.7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788.8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812.4</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motor vehicle taxes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2 202.2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2 324.0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2 405.2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2 490.3</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Liquor licence fees</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21.9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23.2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23.9</w:t>
            </w:r>
          </w:p>
        </w:tc>
      </w:tr>
      <w:tr w:rsidR="00B03921" w:rsidRPr="005C543F" w:rsidTr="00016914">
        <w:trPr>
          <w:gridAfter w:val="1"/>
          <w:wAfter w:w="37" w:type="dxa"/>
        </w:trPr>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Other</w:t>
            </w:r>
          </w:p>
        </w:tc>
        <w:tc>
          <w:tcPr>
            <w:tcW w:w="994"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288.0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210.8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193.8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193.8</w:t>
            </w:r>
          </w:p>
        </w:tc>
      </w:tr>
      <w:tr w:rsidR="00B03921" w:rsidRPr="005C543F" w:rsidTr="00016914">
        <w:trPr>
          <w:gridAfter w:val="1"/>
          <w:wAfter w:w="37" w:type="dxa"/>
        </w:trPr>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taxes on the use of goods and performance of activities</w:t>
            </w:r>
          </w:p>
        </w:tc>
        <w:tc>
          <w:tcPr>
            <w:tcW w:w="994" w:type="dxa"/>
            <w:gridSpan w:val="2"/>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2 512.1</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2 557.3</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2 622.2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2 707.9</w:t>
            </w:r>
          </w:p>
        </w:tc>
      </w:tr>
      <w:tr w:rsidR="00B03921" w:rsidRPr="005C543F" w:rsidTr="00016914">
        <w:trPr>
          <w:gridAfter w:val="1"/>
          <w:wAfter w:w="37" w:type="dxa"/>
        </w:trPr>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taxation revenue</w:t>
            </w:r>
          </w:p>
        </w:tc>
        <w:tc>
          <w:tcPr>
            <w:tcW w:w="994" w:type="dxa"/>
            <w:gridSpan w:val="2"/>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19 024.5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19 804.5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20 402.8</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21 339.6</w:t>
            </w:r>
          </w:p>
        </w:tc>
      </w:tr>
    </w:tbl>
    <w:p w:rsidR="00B03921" w:rsidRDefault="00B03921" w:rsidP="00016914">
      <w:pPr>
        <w:pStyle w:val="Notes"/>
      </w:pPr>
    </w:p>
    <w:p w:rsidR="00B03921" w:rsidRDefault="00B03921" w:rsidP="00E90A36">
      <w:pPr>
        <w:pStyle w:val="Heading2Notes"/>
        <w:spacing w:after="80"/>
        <w:ind w:left="1151" w:hanging="1151"/>
      </w:pPr>
      <w:bookmarkStart w:id="14" w:name="_Toc418103347"/>
      <w:bookmarkStart w:id="15" w:name="_Toc418191968"/>
      <w:bookmarkStart w:id="16" w:name="_Toc418274860"/>
      <w:bookmarkStart w:id="17" w:name="_Toc418276606"/>
      <w:r>
        <w:t>Note 3:</w:t>
      </w:r>
      <w:r>
        <w:tab/>
      </w:r>
      <w:r w:rsidRPr="004B1958">
        <w:t>Dividends and income tax equivalent</w:t>
      </w:r>
      <w:r>
        <w:t xml:space="preserve"> and rate equivalent revenue</w:t>
      </w:r>
      <w:bookmarkEnd w:id="14"/>
      <w:bookmarkEnd w:id="15"/>
      <w:bookmarkEnd w:id="16"/>
      <w:bookmarkEnd w:id="17"/>
    </w:p>
    <w:p w:rsidR="00B03921" w:rsidRPr="00016914" w:rsidRDefault="00B03921" w:rsidP="00E90A36">
      <w:pPr>
        <w:pStyle w:val="Tableheading"/>
        <w:spacing w:before="160"/>
      </w:pPr>
      <w:r w:rsidRPr="00016914">
        <w:t>(a)</w:t>
      </w:r>
      <w:r w:rsidRPr="00016914">
        <w:tab/>
        <w:t>Dividends and income tax equivalent and rate equivalent revenue</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04"/>
        <w:gridCol w:w="101"/>
        <w:gridCol w:w="838"/>
        <w:gridCol w:w="939"/>
        <w:gridCol w:w="939"/>
        <w:gridCol w:w="939"/>
      </w:tblGrid>
      <w:tr w:rsidR="00B03921" w:rsidRPr="00F166F6" w:rsidTr="00F166F6">
        <w:trPr>
          <w:cantSplit/>
          <w:tblHeader/>
        </w:trPr>
        <w:tc>
          <w:tcPr>
            <w:tcW w:w="4004" w:type="dxa"/>
            <w:tcBorders>
              <w:top w:val="single" w:sz="6" w:space="0" w:color="000000"/>
              <w:left w:val="single" w:sz="6" w:space="0" w:color="000000"/>
              <w:bottom w:val="single" w:sz="6" w:space="0" w:color="000000"/>
              <w:right w:val="nil"/>
            </w:tcBorders>
            <w:shd w:val="clear" w:color="000000" w:fill="000000"/>
          </w:tcPr>
          <w:p w:rsidR="00B03921" w:rsidRPr="00F166F6" w:rsidRDefault="00B03921" w:rsidP="00F166F6">
            <w:pPr>
              <w:pStyle w:val="Tabletext"/>
              <w:rPr>
                <w:rFonts w:eastAsiaTheme="minorEastAsia"/>
                <w:lang w:eastAsia="en-AU"/>
              </w:rPr>
            </w:pPr>
            <w:r w:rsidRPr="00F166F6">
              <w:rPr>
                <w:rFonts w:eastAsiaTheme="minorEastAsia"/>
                <w:lang w:eastAsia="en-AU"/>
              </w:rPr>
              <w:t xml:space="preserve"> </w:t>
            </w:r>
          </w:p>
        </w:tc>
        <w:tc>
          <w:tcPr>
            <w:tcW w:w="939" w:type="dxa"/>
            <w:gridSpan w:val="2"/>
            <w:tcBorders>
              <w:top w:val="single" w:sz="6" w:space="0" w:color="000000"/>
              <w:left w:val="nil"/>
              <w:bottom w:val="single" w:sz="6" w:space="0" w:color="000000"/>
              <w:right w:val="nil"/>
            </w:tcBorders>
            <w:shd w:val="clear" w:color="000000" w:fill="000000"/>
          </w:tcPr>
          <w:p w:rsidR="00B03921" w:rsidRPr="00F166F6" w:rsidRDefault="00B03921" w:rsidP="00F166F6">
            <w:pPr>
              <w:pStyle w:val="Tabletextheading"/>
              <w:rPr>
                <w:rFonts w:eastAsiaTheme="minorEastAsia"/>
                <w:color w:val="FFFFFF"/>
                <w:lang w:eastAsia="en-AU"/>
              </w:rPr>
            </w:pPr>
            <w:r w:rsidRPr="00F166F6">
              <w:rPr>
                <w:rFonts w:eastAsiaTheme="minorEastAsia"/>
                <w:color w:val="FFFFFF"/>
                <w:lang w:eastAsia="en-AU"/>
              </w:rPr>
              <w:t>2015-16 budget</w:t>
            </w:r>
          </w:p>
        </w:tc>
        <w:tc>
          <w:tcPr>
            <w:tcW w:w="939" w:type="dxa"/>
            <w:tcBorders>
              <w:top w:val="single" w:sz="6" w:space="0" w:color="000000"/>
              <w:left w:val="nil"/>
              <w:bottom w:val="single" w:sz="6" w:space="0" w:color="000000"/>
              <w:right w:val="nil"/>
            </w:tcBorders>
            <w:shd w:val="clear" w:color="000000" w:fill="000000"/>
          </w:tcPr>
          <w:p w:rsidR="00B03921" w:rsidRPr="00F166F6" w:rsidRDefault="00B03921" w:rsidP="00F166F6">
            <w:pPr>
              <w:pStyle w:val="Tabletextheading"/>
              <w:rPr>
                <w:rFonts w:eastAsiaTheme="minorEastAsia"/>
                <w:color w:val="FFFFFF"/>
                <w:lang w:eastAsia="en-AU"/>
              </w:rPr>
            </w:pPr>
            <w:r w:rsidRPr="00F166F6">
              <w:rPr>
                <w:rFonts w:eastAsiaTheme="minorEastAsia"/>
                <w:color w:val="FFFFFF"/>
                <w:lang w:eastAsia="en-AU"/>
              </w:rPr>
              <w:t>2016-17 estimate</w:t>
            </w:r>
          </w:p>
        </w:tc>
        <w:tc>
          <w:tcPr>
            <w:tcW w:w="939" w:type="dxa"/>
            <w:tcBorders>
              <w:top w:val="single" w:sz="6" w:space="0" w:color="000000"/>
              <w:left w:val="nil"/>
              <w:bottom w:val="single" w:sz="6" w:space="0" w:color="000000"/>
              <w:right w:val="nil"/>
            </w:tcBorders>
            <w:shd w:val="clear" w:color="000000" w:fill="000000"/>
          </w:tcPr>
          <w:p w:rsidR="00B03921" w:rsidRPr="00F166F6" w:rsidRDefault="00B03921" w:rsidP="00F166F6">
            <w:pPr>
              <w:pStyle w:val="Tabletextheading"/>
              <w:rPr>
                <w:rFonts w:eastAsiaTheme="minorEastAsia"/>
                <w:color w:val="FFFFFF"/>
                <w:lang w:eastAsia="en-AU"/>
              </w:rPr>
            </w:pPr>
            <w:r w:rsidRPr="00F166F6">
              <w:rPr>
                <w:rFonts w:eastAsiaTheme="minorEastAsia"/>
                <w:color w:val="FFFFFF"/>
                <w:lang w:eastAsia="en-AU"/>
              </w:rPr>
              <w:t>2017-18 estimate</w:t>
            </w:r>
          </w:p>
        </w:tc>
        <w:tc>
          <w:tcPr>
            <w:tcW w:w="939" w:type="dxa"/>
            <w:tcBorders>
              <w:top w:val="single" w:sz="6" w:space="0" w:color="000000"/>
              <w:left w:val="nil"/>
              <w:bottom w:val="single" w:sz="6" w:space="0" w:color="000000"/>
              <w:right w:val="single" w:sz="6" w:space="0" w:color="000000"/>
            </w:tcBorders>
            <w:shd w:val="clear" w:color="000000" w:fill="000000"/>
          </w:tcPr>
          <w:p w:rsidR="00B03921" w:rsidRPr="00F166F6" w:rsidRDefault="00B03921" w:rsidP="00F166F6">
            <w:pPr>
              <w:pStyle w:val="Tabletextheading"/>
              <w:rPr>
                <w:rFonts w:eastAsiaTheme="minorEastAsia"/>
                <w:color w:val="FFFFFF"/>
                <w:lang w:eastAsia="en-AU"/>
              </w:rPr>
            </w:pPr>
            <w:r w:rsidRPr="00F166F6">
              <w:rPr>
                <w:rFonts w:eastAsiaTheme="minorEastAsia"/>
                <w:color w:val="FFFFFF"/>
                <w:lang w:eastAsia="en-AU"/>
              </w:rPr>
              <w:t>2018-19 estimate</w:t>
            </w:r>
          </w:p>
        </w:tc>
      </w:tr>
      <w:tr w:rsidR="00B03921" w:rsidRPr="00F166F6" w:rsidTr="00F166F6">
        <w:trPr>
          <w:cantSplit/>
        </w:trPr>
        <w:tc>
          <w:tcPr>
            <w:tcW w:w="4004" w:type="dxa"/>
            <w:tcBorders>
              <w:top w:val="single" w:sz="6" w:space="0" w:color="000000"/>
              <w:left w:val="nil"/>
              <w:bottom w:val="nil"/>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Dividends from PFC sector</w:t>
            </w:r>
          </w:p>
        </w:tc>
        <w:tc>
          <w:tcPr>
            <w:tcW w:w="939" w:type="dxa"/>
            <w:gridSpan w:val="2"/>
            <w:tcBorders>
              <w:top w:val="single" w:sz="6" w:space="0" w:color="000000"/>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619.5</w:t>
            </w:r>
          </w:p>
        </w:tc>
        <w:tc>
          <w:tcPr>
            <w:tcW w:w="939" w:type="dxa"/>
            <w:tcBorders>
              <w:top w:val="single" w:sz="6" w:space="0" w:color="000000"/>
              <w:left w:val="nil"/>
              <w:bottom w:val="nil"/>
              <w:right w:val="nil"/>
            </w:tcBorders>
            <w:shd w:val="solid" w:color="FFFFFF" w:fill="auto"/>
          </w:tcPr>
          <w:p w:rsidR="00B03921" w:rsidRPr="00F166F6" w:rsidRDefault="00B03921" w:rsidP="00F166F6">
            <w:pPr>
              <w:pStyle w:val="TableofFigures"/>
              <w:rPr>
                <w:rFonts w:eastAsiaTheme="minorEastAsia" w:cs="Calibri"/>
                <w:lang w:eastAsia="en-AU"/>
              </w:rPr>
            </w:pPr>
            <w:r w:rsidRPr="00F166F6">
              <w:rPr>
                <w:rFonts w:eastAsiaTheme="minorEastAsia"/>
                <w:lang w:eastAsia="en-AU"/>
              </w:rPr>
              <w:t xml:space="preserve"> 522.2</w:t>
            </w:r>
          </w:p>
        </w:tc>
        <w:tc>
          <w:tcPr>
            <w:tcW w:w="939" w:type="dxa"/>
            <w:tcBorders>
              <w:top w:val="single" w:sz="6" w:space="0" w:color="000000"/>
              <w:left w:val="nil"/>
              <w:bottom w:val="nil"/>
              <w:right w:val="nil"/>
            </w:tcBorders>
            <w:shd w:val="solid" w:color="FFFFFF" w:fill="auto"/>
          </w:tcPr>
          <w:p w:rsidR="00B03921" w:rsidRPr="00F166F6" w:rsidRDefault="00B03921" w:rsidP="00F166F6">
            <w:pPr>
              <w:pStyle w:val="TableofFigures"/>
              <w:rPr>
                <w:rFonts w:eastAsiaTheme="minorEastAsia" w:cs="Calibri"/>
                <w:lang w:eastAsia="en-AU"/>
              </w:rPr>
            </w:pPr>
            <w:r w:rsidRPr="00F166F6">
              <w:rPr>
                <w:rFonts w:eastAsiaTheme="minorEastAsia"/>
                <w:lang w:eastAsia="en-AU"/>
              </w:rPr>
              <w:t xml:space="preserve"> 530.7</w:t>
            </w:r>
          </w:p>
        </w:tc>
        <w:tc>
          <w:tcPr>
            <w:tcW w:w="939" w:type="dxa"/>
            <w:tcBorders>
              <w:top w:val="single" w:sz="6" w:space="0" w:color="000000"/>
              <w:left w:val="nil"/>
              <w:bottom w:val="nil"/>
              <w:right w:val="nil"/>
            </w:tcBorders>
            <w:shd w:val="solid" w:color="FFFFFF" w:fill="auto"/>
          </w:tcPr>
          <w:p w:rsidR="00B03921" w:rsidRPr="00F166F6" w:rsidRDefault="00B03921" w:rsidP="00F166F6">
            <w:pPr>
              <w:pStyle w:val="TableofFigures"/>
              <w:rPr>
                <w:rFonts w:eastAsiaTheme="minorEastAsia" w:cs="Calibri"/>
                <w:lang w:eastAsia="en-AU"/>
              </w:rPr>
            </w:pPr>
            <w:r w:rsidRPr="00F166F6">
              <w:rPr>
                <w:rFonts w:eastAsiaTheme="minorEastAsia"/>
                <w:lang w:eastAsia="en-AU"/>
              </w:rPr>
              <w:t xml:space="preserve"> 343.9</w:t>
            </w:r>
          </w:p>
        </w:tc>
      </w:tr>
      <w:tr w:rsidR="00B03921" w:rsidRPr="00F166F6" w:rsidTr="00F166F6">
        <w:trPr>
          <w:cantSplit/>
        </w:trPr>
        <w:tc>
          <w:tcPr>
            <w:tcW w:w="4004" w:type="dxa"/>
            <w:tcBorders>
              <w:top w:val="nil"/>
              <w:left w:val="nil"/>
              <w:bottom w:val="nil"/>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Dividends from PNFC sector</w:t>
            </w:r>
          </w:p>
        </w:tc>
        <w:tc>
          <w:tcPr>
            <w:tcW w:w="939" w:type="dxa"/>
            <w:gridSpan w:val="2"/>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215.6</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195.6</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182.7</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216.6</w:t>
            </w:r>
          </w:p>
        </w:tc>
      </w:tr>
      <w:tr w:rsidR="00B03921" w:rsidRPr="00F166F6" w:rsidTr="00F166F6">
        <w:trPr>
          <w:cantSplit/>
        </w:trPr>
        <w:tc>
          <w:tcPr>
            <w:tcW w:w="4004" w:type="dxa"/>
            <w:tcBorders>
              <w:top w:val="nil"/>
              <w:left w:val="nil"/>
              <w:bottom w:val="single" w:sz="6" w:space="0" w:color="000000"/>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Dividends from non-public sector</w:t>
            </w:r>
          </w:p>
        </w:tc>
        <w:tc>
          <w:tcPr>
            <w:tcW w:w="939" w:type="dxa"/>
            <w:gridSpan w:val="2"/>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14.5</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15.5</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16.7</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17.0</w:t>
            </w:r>
          </w:p>
        </w:tc>
      </w:tr>
      <w:tr w:rsidR="00B03921" w:rsidRPr="00F166F6" w:rsidTr="00F166F6">
        <w:trPr>
          <w:cantSplit/>
        </w:trPr>
        <w:tc>
          <w:tcPr>
            <w:tcW w:w="4004" w:type="dxa"/>
            <w:tcBorders>
              <w:top w:val="nil"/>
              <w:left w:val="nil"/>
              <w:bottom w:val="nil"/>
              <w:right w:val="nil"/>
            </w:tcBorders>
            <w:shd w:val="solid" w:color="FFFFFF" w:fill="auto"/>
          </w:tcPr>
          <w:p w:rsidR="00B03921" w:rsidRPr="00F166F6" w:rsidRDefault="00B03921" w:rsidP="00F166F6">
            <w:pPr>
              <w:pStyle w:val="Tabletext"/>
              <w:rPr>
                <w:rFonts w:eastAsiaTheme="minorEastAsia"/>
                <w:b/>
                <w:bCs/>
                <w:lang w:eastAsia="en-AU"/>
              </w:rPr>
            </w:pPr>
            <w:r w:rsidRPr="00F166F6">
              <w:rPr>
                <w:rFonts w:eastAsiaTheme="minorEastAsia"/>
                <w:b/>
                <w:bCs/>
                <w:lang w:eastAsia="en-AU"/>
              </w:rPr>
              <w:t>Dividends</w:t>
            </w:r>
          </w:p>
        </w:tc>
        <w:tc>
          <w:tcPr>
            <w:tcW w:w="939" w:type="dxa"/>
            <w:gridSpan w:val="2"/>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849.6</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733.3</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730.0</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577.5</w:t>
            </w:r>
          </w:p>
        </w:tc>
      </w:tr>
      <w:tr w:rsidR="00B03921" w:rsidRPr="00F166F6" w:rsidTr="00F166F6">
        <w:trPr>
          <w:cantSplit/>
        </w:trPr>
        <w:tc>
          <w:tcPr>
            <w:tcW w:w="4004" w:type="dxa"/>
            <w:tcBorders>
              <w:top w:val="nil"/>
              <w:left w:val="nil"/>
              <w:bottom w:val="nil"/>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Income tax equivalent revenue from PFC sector</w:t>
            </w:r>
          </w:p>
        </w:tc>
        <w:tc>
          <w:tcPr>
            <w:tcW w:w="939" w:type="dxa"/>
            <w:gridSpan w:val="2"/>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124.2</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124.2</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110.1</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276.5</w:t>
            </w:r>
          </w:p>
        </w:tc>
      </w:tr>
      <w:tr w:rsidR="00B03921" w:rsidRPr="00F166F6" w:rsidTr="00F166F6">
        <w:trPr>
          <w:cantSplit/>
        </w:trPr>
        <w:tc>
          <w:tcPr>
            <w:tcW w:w="4105" w:type="dxa"/>
            <w:gridSpan w:val="2"/>
            <w:tcBorders>
              <w:top w:val="nil"/>
              <w:left w:val="nil"/>
              <w:bottom w:val="single" w:sz="6" w:space="0" w:color="000000"/>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Income tax equivalent revenue from PNFC sector</w:t>
            </w:r>
          </w:p>
        </w:tc>
        <w:tc>
          <w:tcPr>
            <w:tcW w:w="838"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162.9</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127.7</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166.8</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187.3</w:t>
            </w:r>
          </w:p>
        </w:tc>
      </w:tr>
      <w:tr w:rsidR="00B03921" w:rsidRPr="00F166F6" w:rsidTr="00F166F6">
        <w:trPr>
          <w:cantSplit/>
        </w:trPr>
        <w:tc>
          <w:tcPr>
            <w:tcW w:w="4004" w:type="dxa"/>
            <w:tcBorders>
              <w:top w:val="nil"/>
              <w:left w:val="nil"/>
              <w:bottom w:val="nil"/>
              <w:right w:val="nil"/>
            </w:tcBorders>
            <w:shd w:val="solid" w:color="FFFFFF" w:fill="auto"/>
          </w:tcPr>
          <w:p w:rsidR="00B03921" w:rsidRPr="00F166F6" w:rsidRDefault="00B03921" w:rsidP="00F166F6">
            <w:pPr>
              <w:pStyle w:val="Tabletext"/>
              <w:rPr>
                <w:rFonts w:eastAsiaTheme="minorEastAsia"/>
                <w:b/>
                <w:bCs/>
                <w:lang w:eastAsia="en-AU"/>
              </w:rPr>
            </w:pPr>
            <w:r w:rsidRPr="00F166F6">
              <w:rPr>
                <w:rFonts w:eastAsiaTheme="minorEastAsia"/>
                <w:b/>
                <w:bCs/>
                <w:lang w:eastAsia="en-AU"/>
              </w:rPr>
              <w:t>Income tax equivalent revenue</w:t>
            </w:r>
          </w:p>
        </w:tc>
        <w:tc>
          <w:tcPr>
            <w:tcW w:w="939" w:type="dxa"/>
            <w:gridSpan w:val="2"/>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287.1</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251.9</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276.9</w:t>
            </w:r>
          </w:p>
        </w:tc>
        <w:tc>
          <w:tcPr>
            <w:tcW w:w="939" w:type="dxa"/>
            <w:tcBorders>
              <w:top w:val="nil"/>
              <w:left w:val="nil"/>
              <w:bottom w:val="nil"/>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463.8</w:t>
            </w:r>
          </w:p>
        </w:tc>
      </w:tr>
      <w:tr w:rsidR="00B03921" w:rsidRPr="00F166F6" w:rsidTr="00F166F6">
        <w:trPr>
          <w:cantSplit/>
        </w:trPr>
        <w:tc>
          <w:tcPr>
            <w:tcW w:w="4004" w:type="dxa"/>
            <w:tcBorders>
              <w:top w:val="nil"/>
              <w:left w:val="nil"/>
              <w:bottom w:val="single" w:sz="6" w:space="0" w:color="000000"/>
              <w:right w:val="nil"/>
            </w:tcBorders>
            <w:shd w:val="solid" w:color="FFFFFF" w:fill="auto"/>
          </w:tcPr>
          <w:p w:rsidR="00B03921" w:rsidRPr="00F166F6" w:rsidRDefault="00B03921" w:rsidP="00F166F6">
            <w:pPr>
              <w:pStyle w:val="Tabletext"/>
              <w:rPr>
                <w:rFonts w:eastAsiaTheme="minorEastAsia"/>
                <w:lang w:eastAsia="en-AU"/>
              </w:rPr>
            </w:pPr>
            <w:r w:rsidRPr="00F166F6">
              <w:rPr>
                <w:rFonts w:eastAsiaTheme="minorEastAsia"/>
                <w:lang w:eastAsia="en-AU"/>
              </w:rPr>
              <w:t>Local government rate equivalent revenue</w:t>
            </w:r>
          </w:p>
        </w:tc>
        <w:tc>
          <w:tcPr>
            <w:tcW w:w="939" w:type="dxa"/>
            <w:gridSpan w:val="2"/>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7.5</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3.7</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4.9</w:t>
            </w:r>
          </w:p>
        </w:tc>
        <w:tc>
          <w:tcPr>
            <w:tcW w:w="939" w:type="dxa"/>
            <w:tcBorders>
              <w:top w:val="nil"/>
              <w:left w:val="nil"/>
              <w:bottom w:val="single" w:sz="6" w:space="0" w:color="000000"/>
              <w:right w:val="nil"/>
            </w:tcBorders>
            <w:shd w:val="solid" w:color="FFFFFF" w:fill="auto"/>
          </w:tcPr>
          <w:p w:rsidR="00B03921" w:rsidRPr="00F166F6" w:rsidRDefault="00B03921" w:rsidP="00F166F6">
            <w:pPr>
              <w:pStyle w:val="TableofFigures"/>
              <w:rPr>
                <w:rFonts w:eastAsiaTheme="minorEastAsia"/>
                <w:lang w:eastAsia="en-AU"/>
              </w:rPr>
            </w:pPr>
            <w:r w:rsidRPr="00F166F6">
              <w:rPr>
                <w:rFonts w:eastAsiaTheme="minorEastAsia"/>
                <w:lang w:eastAsia="en-AU"/>
              </w:rPr>
              <w:t xml:space="preserve"> 11.0</w:t>
            </w:r>
          </w:p>
        </w:tc>
      </w:tr>
      <w:tr w:rsidR="00B03921" w:rsidRPr="00F166F6" w:rsidTr="00F166F6">
        <w:trPr>
          <w:cantSplit/>
        </w:trPr>
        <w:tc>
          <w:tcPr>
            <w:tcW w:w="4004" w:type="dxa"/>
            <w:tcBorders>
              <w:top w:val="single" w:sz="6" w:space="0" w:color="000000"/>
              <w:left w:val="nil"/>
              <w:bottom w:val="single" w:sz="12" w:space="0" w:color="000000"/>
              <w:right w:val="nil"/>
            </w:tcBorders>
            <w:shd w:val="solid" w:color="FFFFFF" w:fill="auto"/>
          </w:tcPr>
          <w:p w:rsidR="00B03921" w:rsidRPr="00F166F6" w:rsidRDefault="00B03921" w:rsidP="00F166F6">
            <w:pPr>
              <w:pStyle w:val="Tabletext"/>
              <w:rPr>
                <w:rFonts w:eastAsiaTheme="minorEastAsia"/>
                <w:b/>
                <w:bCs/>
                <w:lang w:eastAsia="en-AU"/>
              </w:rPr>
            </w:pPr>
            <w:r w:rsidRPr="00F166F6">
              <w:rPr>
                <w:rFonts w:eastAsiaTheme="minorEastAsia"/>
                <w:b/>
                <w:bCs/>
                <w:lang w:eastAsia="en-AU"/>
              </w:rPr>
              <w:t>Total dividends and income tax equivalent and rate equivalent revenue</w:t>
            </w:r>
          </w:p>
        </w:tc>
        <w:tc>
          <w:tcPr>
            <w:tcW w:w="939" w:type="dxa"/>
            <w:gridSpan w:val="2"/>
            <w:tcBorders>
              <w:top w:val="single" w:sz="6" w:space="0" w:color="000000"/>
              <w:left w:val="nil"/>
              <w:bottom w:val="single" w:sz="12" w:space="0" w:color="000000"/>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1 144.3</w:t>
            </w:r>
          </w:p>
        </w:tc>
        <w:tc>
          <w:tcPr>
            <w:tcW w:w="939" w:type="dxa"/>
            <w:tcBorders>
              <w:top w:val="single" w:sz="6" w:space="0" w:color="000000"/>
              <w:left w:val="nil"/>
              <w:bottom w:val="single" w:sz="12" w:space="0" w:color="000000"/>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 xml:space="preserve"> 988.8</w:t>
            </w:r>
          </w:p>
        </w:tc>
        <w:tc>
          <w:tcPr>
            <w:tcW w:w="939" w:type="dxa"/>
            <w:tcBorders>
              <w:top w:val="single" w:sz="6" w:space="0" w:color="000000"/>
              <w:left w:val="nil"/>
              <w:bottom w:val="single" w:sz="12" w:space="0" w:color="000000"/>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1 011.8</w:t>
            </w:r>
          </w:p>
        </w:tc>
        <w:tc>
          <w:tcPr>
            <w:tcW w:w="939" w:type="dxa"/>
            <w:tcBorders>
              <w:top w:val="single" w:sz="6" w:space="0" w:color="000000"/>
              <w:left w:val="nil"/>
              <w:bottom w:val="single" w:sz="12" w:space="0" w:color="000000"/>
              <w:right w:val="nil"/>
            </w:tcBorders>
            <w:shd w:val="solid" w:color="FFFFFF" w:fill="auto"/>
          </w:tcPr>
          <w:p w:rsidR="00B03921" w:rsidRPr="00F166F6" w:rsidRDefault="00B03921" w:rsidP="00F166F6">
            <w:pPr>
              <w:pStyle w:val="TableofFigures"/>
              <w:rPr>
                <w:rFonts w:eastAsiaTheme="minorEastAsia"/>
                <w:b/>
                <w:bCs/>
                <w:lang w:eastAsia="en-AU"/>
              </w:rPr>
            </w:pPr>
            <w:r w:rsidRPr="00F166F6">
              <w:rPr>
                <w:rFonts w:eastAsiaTheme="minorEastAsia"/>
                <w:b/>
                <w:bCs/>
                <w:lang w:eastAsia="en-AU"/>
              </w:rPr>
              <w:t>1 052.4</w:t>
            </w:r>
          </w:p>
        </w:tc>
      </w:tr>
    </w:tbl>
    <w:p w:rsidR="00F166F6" w:rsidRDefault="00F166F6" w:rsidP="00F166F6">
      <w:pPr>
        <w:pStyle w:val="BodyText"/>
      </w:pPr>
    </w:p>
    <w:p w:rsidR="00B03921" w:rsidRDefault="00B03921" w:rsidP="00F166F6">
      <w:pPr>
        <w:pStyle w:val="BodyText"/>
      </w:pPr>
      <w:r>
        <w:t xml:space="preserve"> </w:t>
      </w:r>
    </w:p>
    <w:p w:rsidR="00B03921" w:rsidRPr="00311164" w:rsidRDefault="00B03921" w:rsidP="00016914">
      <w:pPr>
        <w:pStyle w:val="Tableheading"/>
      </w:pPr>
      <w:r w:rsidRPr="00311164">
        <w:t>(b)</w:t>
      </w:r>
      <w:r w:rsidRPr="00311164">
        <w:tab/>
        <w:t>Dividends by entity</w:t>
      </w:r>
    </w:p>
    <w:p w:rsidR="00B03921" w:rsidRPr="005C543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937"/>
        <w:gridCol w:w="1008"/>
        <w:gridCol w:w="937"/>
        <w:gridCol w:w="939"/>
        <w:gridCol w:w="939"/>
      </w:tblGrid>
      <w:tr w:rsidR="00B03921" w:rsidRPr="005C543F" w:rsidTr="00F166F6">
        <w:trPr>
          <w:tblHeader/>
        </w:trPr>
        <w:tc>
          <w:tcPr>
            <w:tcW w:w="3937"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1008"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37"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39"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39"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016914" w:rsidRPr="005C543F" w:rsidTr="00016914">
        <w:tc>
          <w:tcPr>
            <w:tcW w:w="7760" w:type="dxa"/>
            <w:gridSpan w:val="5"/>
            <w:tcBorders>
              <w:top w:val="single" w:sz="6" w:space="0" w:color="auto"/>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Public financial corporations</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Pr>
                <w:rFonts w:eastAsiaTheme="minorEastAsia"/>
                <w:lang w:eastAsia="en-AU"/>
              </w:rPr>
              <w:t>WorkS</w:t>
            </w:r>
            <w:r w:rsidRPr="005C543F">
              <w:rPr>
                <w:rFonts w:eastAsiaTheme="minorEastAsia"/>
                <w:lang w:eastAsia="en-AU"/>
              </w:rPr>
              <w:t>afe Victoria</w:t>
            </w:r>
            <w:r w:rsidRPr="005C543F">
              <w:rPr>
                <w:rFonts w:eastAsiaTheme="minorEastAsia"/>
                <w:vertAlign w:val="superscript"/>
                <w:lang w:eastAsia="en-AU"/>
              </w:rPr>
              <w:t>(a)</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Victorian Managed Insurance Authority</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145.0</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145.0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87.0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43.0</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Transport Accident Commission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433.6</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341.9</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405.0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257.8</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Treasury Corporation of Victoria</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38.2</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35.4</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40.0</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State Trustees Ltd</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w:t>
            </w:r>
          </w:p>
        </w:tc>
      </w:tr>
      <w:tr w:rsidR="00B03921" w:rsidRPr="005C543F" w:rsidTr="00F166F6">
        <w:tc>
          <w:tcPr>
            <w:tcW w:w="3937"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Victorian Funds Management Corporation</w:t>
            </w:r>
          </w:p>
        </w:tc>
        <w:tc>
          <w:tcPr>
            <w:tcW w:w="100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w:t>
            </w:r>
          </w:p>
        </w:tc>
        <w:tc>
          <w:tcPr>
            <w:tcW w:w="937"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w:t>
            </w:r>
          </w:p>
        </w:tc>
        <w:tc>
          <w:tcPr>
            <w:tcW w:w="939"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w:t>
            </w:r>
          </w:p>
        </w:tc>
        <w:tc>
          <w:tcPr>
            <w:tcW w:w="939"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w:t>
            </w:r>
          </w:p>
        </w:tc>
      </w:tr>
      <w:tr w:rsidR="00B03921" w:rsidRPr="005C543F" w:rsidTr="00F166F6">
        <w:tc>
          <w:tcPr>
            <w:tcW w:w="3937"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Dividends from PFC sector</w:t>
            </w:r>
          </w:p>
        </w:tc>
        <w:tc>
          <w:tcPr>
            <w:tcW w:w="100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619.5</w:t>
            </w:r>
          </w:p>
        </w:tc>
        <w:tc>
          <w:tcPr>
            <w:tcW w:w="937"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522.2</w:t>
            </w:r>
          </w:p>
        </w:tc>
        <w:tc>
          <w:tcPr>
            <w:tcW w:w="9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530.7</w:t>
            </w:r>
          </w:p>
        </w:tc>
        <w:tc>
          <w:tcPr>
            <w:tcW w:w="9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343.9</w:t>
            </w:r>
          </w:p>
        </w:tc>
      </w:tr>
      <w:tr w:rsidR="00016914" w:rsidRPr="005C543F" w:rsidTr="00016914">
        <w:trPr>
          <w:trHeight w:hRule="exact" w:val="120"/>
        </w:trPr>
        <w:tc>
          <w:tcPr>
            <w:tcW w:w="7760" w:type="dxa"/>
            <w:gridSpan w:val="5"/>
            <w:tcBorders>
              <w:top w:val="nil"/>
              <w:left w:val="nil"/>
              <w:bottom w:val="nil"/>
              <w:right w:val="nil"/>
            </w:tcBorders>
            <w:shd w:val="solid" w:color="FFFFFF" w:fill="auto"/>
          </w:tcPr>
          <w:p w:rsidR="00016914" w:rsidRPr="005C543F" w:rsidRDefault="00016914" w:rsidP="00016914">
            <w:pPr>
              <w:pStyle w:val="Tabletext"/>
              <w:rPr>
                <w:rFonts w:eastAsiaTheme="minorEastAsia"/>
                <w:lang w:eastAsia="en-AU"/>
              </w:rPr>
            </w:pPr>
            <w:r w:rsidRPr="005C543F">
              <w:rPr>
                <w:rFonts w:eastAsiaTheme="minorEastAsia"/>
                <w:lang w:eastAsia="en-AU"/>
              </w:rPr>
              <w:t xml:space="preserve"> </w:t>
            </w:r>
          </w:p>
          <w:p w:rsidR="00016914" w:rsidRPr="005C543F" w:rsidRDefault="00016914" w:rsidP="00016914">
            <w:pPr>
              <w:pStyle w:val="TableofFigures"/>
              <w:rPr>
                <w:rFonts w:eastAsiaTheme="minorEastAsia"/>
                <w:lang w:eastAsia="en-AU"/>
              </w:rPr>
            </w:pPr>
            <w:r w:rsidRPr="005C543F">
              <w:rPr>
                <w:rFonts w:eastAsiaTheme="minorEastAsia"/>
                <w:lang w:eastAsia="en-AU"/>
              </w:rPr>
              <w:t xml:space="preserve"> </w:t>
            </w:r>
          </w:p>
          <w:p w:rsidR="00016914" w:rsidRPr="005C543F" w:rsidRDefault="00016914" w:rsidP="00016914">
            <w:pPr>
              <w:pStyle w:val="TableofFigures"/>
              <w:rPr>
                <w:rFonts w:eastAsiaTheme="minorEastAsia"/>
                <w:lang w:eastAsia="en-AU"/>
              </w:rPr>
            </w:pPr>
            <w:r w:rsidRPr="005C543F">
              <w:rPr>
                <w:rFonts w:eastAsiaTheme="minorEastAsia"/>
                <w:lang w:eastAsia="en-AU"/>
              </w:rPr>
              <w:t xml:space="preserve"> </w:t>
            </w:r>
          </w:p>
          <w:p w:rsidR="00016914" w:rsidRPr="005C543F" w:rsidRDefault="00016914" w:rsidP="00016914">
            <w:pPr>
              <w:pStyle w:val="TableofFigures"/>
              <w:rPr>
                <w:rFonts w:eastAsiaTheme="minorEastAsia"/>
                <w:lang w:eastAsia="en-AU"/>
              </w:rPr>
            </w:pPr>
            <w:r w:rsidRPr="005C543F">
              <w:rPr>
                <w:rFonts w:eastAsiaTheme="minorEastAsia"/>
                <w:lang w:eastAsia="en-AU"/>
              </w:rPr>
              <w:t xml:space="preserve"> </w:t>
            </w:r>
          </w:p>
          <w:p w:rsidR="00016914" w:rsidRPr="005C543F" w:rsidRDefault="00016914" w:rsidP="00016914">
            <w:pPr>
              <w:pStyle w:val="TableofFigures"/>
              <w:rPr>
                <w:rFonts w:eastAsiaTheme="minorEastAsia"/>
                <w:lang w:eastAsia="en-AU"/>
              </w:rPr>
            </w:pPr>
            <w:r w:rsidRPr="005C543F">
              <w:rPr>
                <w:rFonts w:eastAsiaTheme="minorEastAsia"/>
                <w:lang w:eastAsia="en-AU"/>
              </w:rPr>
              <w:t xml:space="preserve"> </w:t>
            </w:r>
          </w:p>
        </w:tc>
      </w:tr>
      <w:tr w:rsidR="00016914" w:rsidRPr="005C543F" w:rsidTr="00016914">
        <w:tc>
          <w:tcPr>
            <w:tcW w:w="7760" w:type="dxa"/>
            <w:gridSpan w:val="5"/>
            <w:tcBorders>
              <w:top w:val="nil"/>
              <w:left w:val="nil"/>
              <w:bottom w:val="nil"/>
              <w:right w:val="nil"/>
            </w:tcBorders>
            <w:shd w:val="solid" w:color="FFFFFF" w:fill="auto"/>
          </w:tcPr>
          <w:p w:rsidR="00016914" w:rsidRPr="005C543F" w:rsidRDefault="00016914" w:rsidP="00016914">
            <w:pPr>
              <w:pStyle w:val="Tabletext"/>
              <w:rPr>
                <w:rFonts w:eastAsiaTheme="minorEastAsia"/>
                <w:b/>
                <w:bCs/>
                <w:lang w:eastAsia="en-AU"/>
              </w:rPr>
            </w:pPr>
            <w:r w:rsidRPr="005C543F">
              <w:rPr>
                <w:rFonts w:eastAsiaTheme="minorEastAsia"/>
                <w:b/>
                <w:bCs/>
                <w:lang w:eastAsia="en-AU"/>
              </w:rPr>
              <w:t>Public non-financial corporations</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Melbourne Water Corporation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17.1</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38.3</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43.9</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48.9</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City West Water Corporation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14.1</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16.4</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19.4</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22.1</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South East Water Corporation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32.5</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30.5</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36.6</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44.0</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Yarra Valley Water Corporation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15.1</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4.9</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9.0</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State Electricity Commission of Victoria (Shell)</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100.0</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100.0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70.0</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80.0</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Victorian Regional Channels Authority</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w:t>
            </w:r>
          </w:p>
        </w:tc>
      </w:tr>
      <w:tr w:rsidR="00B03921" w:rsidRPr="005C543F" w:rsidTr="00F166F6">
        <w:tc>
          <w:tcPr>
            <w:tcW w:w="3937"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Port of Melbourne Corporation</w:t>
            </w:r>
          </w:p>
        </w:tc>
        <w:tc>
          <w:tcPr>
            <w:tcW w:w="100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27.6</w:t>
            </w:r>
          </w:p>
        </w:tc>
        <w:tc>
          <w:tcPr>
            <w:tcW w:w="93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3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r>
      <w:tr w:rsidR="00B03921" w:rsidRPr="005C543F" w:rsidTr="00F166F6">
        <w:tc>
          <w:tcPr>
            <w:tcW w:w="3937" w:type="dxa"/>
            <w:tcBorders>
              <w:top w:val="nil"/>
              <w:left w:val="nil"/>
              <w:bottom w:val="single" w:sz="12"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Others</w:t>
            </w:r>
          </w:p>
        </w:tc>
        <w:tc>
          <w:tcPr>
            <w:tcW w:w="1008"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8.0</w:t>
            </w:r>
          </w:p>
        </w:tc>
        <w:tc>
          <w:tcPr>
            <w:tcW w:w="937"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w:t>
            </w:r>
          </w:p>
        </w:tc>
        <w:tc>
          <w:tcPr>
            <w:tcW w:w="939"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w:t>
            </w:r>
          </w:p>
        </w:tc>
        <w:tc>
          <w:tcPr>
            <w:tcW w:w="939"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r>
      <w:tr w:rsidR="00B03921" w:rsidRPr="005C543F" w:rsidTr="00F166F6">
        <w:tc>
          <w:tcPr>
            <w:tcW w:w="3937" w:type="dxa"/>
            <w:tcBorders>
              <w:top w:val="single" w:sz="12"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Dividends from PNFC sector</w:t>
            </w:r>
          </w:p>
        </w:tc>
        <w:tc>
          <w:tcPr>
            <w:tcW w:w="1008" w:type="dxa"/>
            <w:tcBorders>
              <w:top w:val="single" w:sz="12"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215.6</w:t>
            </w:r>
          </w:p>
        </w:tc>
        <w:tc>
          <w:tcPr>
            <w:tcW w:w="937" w:type="dxa"/>
            <w:tcBorders>
              <w:top w:val="single" w:sz="12"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195.6</w:t>
            </w:r>
          </w:p>
        </w:tc>
        <w:tc>
          <w:tcPr>
            <w:tcW w:w="939" w:type="dxa"/>
            <w:tcBorders>
              <w:top w:val="single" w:sz="12"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182.7</w:t>
            </w:r>
          </w:p>
        </w:tc>
        <w:tc>
          <w:tcPr>
            <w:tcW w:w="939" w:type="dxa"/>
            <w:tcBorders>
              <w:top w:val="single" w:sz="12"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216.6</w:t>
            </w:r>
          </w:p>
        </w:tc>
      </w:tr>
    </w:tbl>
    <w:p w:rsidR="00B03921" w:rsidRDefault="00B03921" w:rsidP="00016914">
      <w:pPr>
        <w:pStyle w:val="Notes"/>
      </w:pPr>
      <w:r>
        <w:t>Note:</w:t>
      </w:r>
    </w:p>
    <w:p w:rsidR="00B03921" w:rsidRDefault="00B03921" w:rsidP="00016914">
      <w:pPr>
        <w:pStyle w:val="Notes"/>
      </w:pPr>
      <w:r>
        <w:t xml:space="preserve">(a) </w:t>
      </w:r>
      <w:r>
        <w:tab/>
        <w:t>Consistent with the Government</w:t>
      </w:r>
      <w:r w:rsidR="00BA5A16">
        <w:t>’</w:t>
      </w:r>
      <w:r>
        <w:t>s pre</w:t>
      </w:r>
      <w:r>
        <w:noBreakHyphen/>
        <w:t>election commitment, there will be no dividends extracted from WorkSafe Victoria in this budget. The Government expects monies will be returned to the State in future years for a re</w:t>
      </w:r>
      <w:r>
        <w:noBreakHyphen/>
        <w:t>established and expanded WorkHealth scheme and other purposes in line with its pre</w:t>
      </w:r>
      <w:r>
        <w:noBreakHyphen/>
        <w:t>election commitment.</w:t>
      </w:r>
    </w:p>
    <w:p w:rsidR="00B03921" w:rsidRDefault="00B03921" w:rsidP="00016914">
      <w:pPr>
        <w:pStyle w:val="Heading2Notes"/>
      </w:pPr>
      <w:bookmarkStart w:id="18" w:name="_Toc418103348"/>
      <w:bookmarkStart w:id="19" w:name="_Toc418191969"/>
      <w:bookmarkStart w:id="20" w:name="_Toc418274861"/>
      <w:bookmarkStart w:id="21" w:name="_Toc418276607"/>
      <w:r>
        <w:t>Note 4:</w:t>
      </w:r>
      <w:r>
        <w:tab/>
        <w:t>Sales of goods and services</w:t>
      </w:r>
      <w:bookmarkEnd w:id="18"/>
      <w:bookmarkEnd w:id="19"/>
      <w:bookmarkEnd w:id="20"/>
      <w:bookmarkEnd w:id="21"/>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Motor vehicle regulatory fees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228.6</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204.6</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180.2</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191.7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regulatory fees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522.8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527.9</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Sale of goods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67.9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69.4</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Provision of services</w:t>
            </w:r>
            <w:r w:rsidRPr="005C543F">
              <w:rPr>
                <w:rFonts w:eastAsiaTheme="minorEastAsia"/>
                <w:vertAlign w:val="superscript"/>
                <w:lang w:eastAsia="en-AU"/>
              </w:rPr>
              <w:t>(a)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4 114.0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4 108.4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4 180.5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4 150.6</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Rental</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59.5</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Refunds and reimbursements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55.5</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Inter-sector capital asset charge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1 751.8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1 901.6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1 949.2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1 971.2</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sales of goods and services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6 779.1</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6 908.9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7 016.3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7 025.7</w:t>
            </w:r>
          </w:p>
        </w:tc>
      </w:tr>
    </w:tbl>
    <w:p w:rsidR="00B03921" w:rsidRDefault="00B03921" w:rsidP="00016914">
      <w:pPr>
        <w:pStyle w:val="Notes"/>
      </w:pPr>
      <w:r>
        <w:t>Note:</w:t>
      </w:r>
    </w:p>
    <w:p w:rsidR="00B03921" w:rsidRDefault="00B03921" w:rsidP="00016914">
      <w:pPr>
        <w:pStyle w:val="Notes"/>
      </w:pPr>
      <w:r>
        <w:t xml:space="preserve">(a) </w:t>
      </w:r>
      <w:r>
        <w:tab/>
        <w:t>Further disclosure on provision of services by department is available on the Department of Treasury and Finance</w:t>
      </w:r>
      <w:r w:rsidR="00BA5A16">
        <w:t>’</w:t>
      </w:r>
      <w:r>
        <w:t>s website. This further disclosure is not subject to review by the Victorian Auditor</w:t>
      </w:r>
      <w:r>
        <w:noBreakHyphen/>
        <w:t>General</w:t>
      </w:r>
      <w:r w:rsidR="00BA5A16">
        <w:t>’</w:t>
      </w:r>
      <w:r>
        <w:t>s Office.</w:t>
      </w:r>
    </w:p>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22" w:name="_Toc418103349"/>
      <w:bookmarkStart w:id="23" w:name="_Toc418191970"/>
      <w:bookmarkStart w:id="24" w:name="_Toc418274862"/>
      <w:bookmarkStart w:id="25" w:name="_Toc418276608"/>
      <w:r>
        <w:t>Note 5:</w:t>
      </w:r>
      <w:r>
        <w:tab/>
        <w:t>Grant revenue</w:t>
      </w:r>
      <w:bookmarkEnd w:id="22"/>
      <w:bookmarkEnd w:id="23"/>
      <w:bookmarkEnd w:id="24"/>
      <w:bookmarkEnd w:id="25"/>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General purpose grants – goods and services tax</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12 769.9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13 351.5</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14 401.3</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15 842.5</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Specific purpose grants for on-passing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3 388.7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3 601.4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3 798.5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3 966.8</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 for specific purposes</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9 269.5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8 980.6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9 159.5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8 649.2</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25 428.1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25 933.5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27 359.2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28 458.5</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contributions and grants</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151.4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156.1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148.4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146.9</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grants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25 579.5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26 089.6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27 507.6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28 605.4</w:t>
            </w:r>
          </w:p>
        </w:tc>
      </w:tr>
    </w:tbl>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26" w:name="_Toc418103350"/>
      <w:bookmarkStart w:id="27" w:name="_Toc418191971"/>
      <w:bookmarkStart w:id="28" w:name="_Toc418274863"/>
      <w:bookmarkStart w:id="29" w:name="_Toc418276609"/>
      <w:r>
        <w:t>Note 6:</w:t>
      </w:r>
      <w:r>
        <w:tab/>
        <w:t>Other revenue</w:t>
      </w:r>
      <w:bookmarkEnd w:id="26"/>
      <w:bookmarkEnd w:id="27"/>
      <w:bookmarkEnd w:id="28"/>
      <w:bookmarkEnd w:id="29"/>
    </w:p>
    <w:p w:rsidR="00B03921" w:rsidRPr="005C543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Fair value of assets received free of charge </w:t>
            </w:r>
            <w:r w:rsidR="00F166F6">
              <w:rPr>
                <w:rFonts w:eastAsiaTheme="minorEastAsia"/>
                <w:lang w:eastAsia="en-AU"/>
              </w:rPr>
              <w:br/>
            </w:r>
            <w:r w:rsidRPr="005C543F">
              <w:rPr>
                <w:rFonts w:eastAsiaTheme="minorEastAsia"/>
                <w:lang w:eastAsia="en-AU"/>
              </w:rPr>
              <w:t>or for nominal consideration</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61.6</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61.8</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61.5</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59.5</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Fines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777.3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799.3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816.7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832.4</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Royalties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51.1</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Donations and gifts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345.9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301.7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non-property rental</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20.4</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miscellaneous revenue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956.0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971.0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986.2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1 024.1</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revenue</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2 170.6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2 249.4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2 235.4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2 289.1</w:t>
            </w:r>
          </w:p>
        </w:tc>
      </w:tr>
    </w:tbl>
    <w:p w:rsidR="00B03921" w:rsidRDefault="00B03921" w:rsidP="00016914">
      <w:pPr>
        <w:pStyle w:val="BodyText"/>
      </w:pPr>
    </w:p>
    <w:p w:rsidR="00B03921" w:rsidRDefault="00B03921" w:rsidP="00016914">
      <w:pPr>
        <w:pStyle w:val="Heading2Notes"/>
      </w:pPr>
      <w:bookmarkStart w:id="30" w:name="_Toc418103351"/>
      <w:bookmarkStart w:id="31" w:name="_Toc418191972"/>
      <w:bookmarkStart w:id="32" w:name="_Toc418274864"/>
      <w:bookmarkStart w:id="33" w:name="_Toc418276610"/>
      <w:r>
        <w:t>Note 7:</w:t>
      </w:r>
      <w:r>
        <w:tab/>
      </w:r>
      <w:r w:rsidRPr="002E3FD9">
        <w:t>Superannuation</w:t>
      </w:r>
      <w:bookmarkEnd w:id="30"/>
      <w:bookmarkEnd w:id="31"/>
      <w:bookmarkEnd w:id="32"/>
      <w:bookmarkEnd w:id="33"/>
    </w:p>
    <w:p w:rsidR="00B03921" w:rsidRPr="00311164" w:rsidRDefault="00B03921" w:rsidP="00016914">
      <w:pPr>
        <w:pStyle w:val="Tableheading"/>
      </w:pPr>
      <w:r w:rsidRPr="00311164">
        <w:t xml:space="preserve">(a) </w:t>
      </w:r>
      <w:r w:rsidRPr="00311164">
        <w:tab/>
        <w:t>Superannuation costs recognised in the operating statement</w:t>
      </w:r>
    </w:p>
    <w:p w:rsidR="00B03921" w:rsidRPr="005C543F" w:rsidRDefault="00F166F6"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A035F3" w:rsidRPr="005C543F" w:rsidTr="008224DF">
        <w:tc>
          <w:tcPr>
            <w:tcW w:w="7760" w:type="dxa"/>
            <w:gridSpan w:val="5"/>
            <w:tcBorders>
              <w:top w:val="single" w:sz="6" w:space="0" w:color="auto"/>
              <w:left w:val="nil"/>
              <w:bottom w:val="nil"/>
              <w:right w:val="nil"/>
            </w:tcBorders>
            <w:shd w:val="solid" w:color="FFFFFF" w:fill="auto"/>
          </w:tcPr>
          <w:p w:rsidR="00A035F3" w:rsidRPr="005C543F" w:rsidRDefault="00A035F3" w:rsidP="00A035F3">
            <w:pPr>
              <w:pStyle w:val="Tabletext"/>
              <w:rPr>
                <w:rFonts w:eastAsiaTheme="minorEastAsia"/>
                <w:b/>
                <w:bCs/>
                <w:lang w:eastAsia="en-AU"/>
              </w:rPr>
            </w:pPr>
            <w:r w:rsidRPr="005C543F">
              <w:rPr>
                <w:rFonts w:eastAsiaTheme="minorEastAsia"/>
                <w:b/>
                <w:bCs/>
                <w:lang w:eastAsia="en-AU"/>
              </w:rPr>
              <w:t>Defined benefit plans</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superannuation interest expense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886.5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798.2</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Current service cost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825.9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782.9</w:t>
            </w:r>
          </w:p>
        </w:tc>
      </w:tr>
      <w:tr w:rsidR="00A035F3" w:rsidRPr="005C543F" w:rsidTr="008224DF">
        <w:tc>
          <w:tcPr>
            <w:tcW w:w="7760" w:type="dxa"/>
            <w:gridSpan w:val="5"/>
            <w:tcBorders>
              <w:top w:val="nil"/>
              <w:left w:val="nil"/>
              <w:bottom w:val="nil"/>
              <w:right w:val="nil"/>
            </w:tcBorders>
            <w:shd w:val="solid" w:color="FFFFFF" w:fill="auto"/>
          </w:tcPr>
          <w:p w:rsidR="00A035F3" w:rsidRPr="005C543F" w:rsidRDefault="00A035F3" w:rsidP="00A035F3">
            <w:pPr>
              <w:pStyle w:val="Tabletext"/>
              <w:rPr>
                <w:rFonts w:eastAsiaTheme="minorEastAsia"/>
                <w:lang w:eastAsia="en-AU"/>
              </w:rPr>
            </w:pPr>
            <w:r w:rsidRPr="005C543F">
              <w:rPr>
                <w:rFonts w:eastAsiaTheme="minorEastAsia"/>
                <w:lang w:eastAsia="en-AU"/>
              </w:rPr>
              <w:t xml:space="preserve">Remeasurements: </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Pr>
                <w:rFonts w:eastAsiaTheme="minorEastAsia"/>
                <w:lang w:eastAsia="en-AU"/>
              </w:rPr>
              <w:tab/>
            </w:r>
            <w:r w:rsidRPr="005C543F">
              <w:rPr>
                <w:rFonts w:eastAsiaTheme="minorEastAsia"/>
                <w:lang w:eastAsia="en-AU"/>
              </w:rPr>
              <w:t>Expected return on superannuation assets excluding interest income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(962.4)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(995.0)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(1 027.3)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(1 062.8)</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expense recognised in respect of defined benefit plans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749.9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677.8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602.3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518.3</w:t>
            </w:r>
          </w:p>
        </w:tc>
      </w:tr>
      <w:tr w:rsidR="00A035F3" w:rsidRPr="005C543F" w:rsidTr="008224DF">
        <w:tc>
          <w:tcPr>
            <w:tcW w:w="7760" w:type="dxa"/>
            <w:gridSpan w:val="5"/>
            <w:tcBorders>
              <w:top w:val="nil"/>
              <w:left w:val="nil"/>
              <w:bottom w:val="nil"/>
              <w:right w:val="nil"/>
            </w:tcBorders>
            <w:shd w:val="solid" w:color="FFFFFF" w:fill="auto"/>
          </w:tcPr>
          <w:p w:rsidR="00A035F3" w:rsidRPr="005C543F" w:rsidRDefault="00A035F3" w:rsidP="00A035F3">
            <w:pPr>
              <w:pStyle w:val="Tabletext"/>
              <w:rPr>
                <w:rFonts w:eastAsiaTheme="minorEastAsia"/>
                <w:b/>
                <w:bCs/>
                <w:lang w:eastAsia="en-AU"/>
              </w:rPr>
            </w:pPr>
            <w:r w:rsidRPr="005C543F">
              <w:rPr>
                <w:rFonts w:eastAsiaTheme="minorEastAsia"/>
                <w:b/>
                <w:bCs/>
                <w:lang w:eastAsia="en-AU"/>
              </w:rPr>
              <w:t xml:space="preserve">Defined contribution plans </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Employer contributions to defined contribution plans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1 214.1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1 231.5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1 260.8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1 301.0</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(including pensions)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62.9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63.5</w:t>
            </w:r>
          </w:p>
        </w:tc>
      </w:tr>
      <w:tr w:rsidR="00B03921" w:rsidRPr="005C543F" w:rsidTr="00016914">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expense recognised in respect of defined contribution plans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1 275.7</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1 293.8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1 323.8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1 364.5</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 xml:space="preserve">Total superannuation expense recognised </w:t>
            </w:r>
            <w:r w:rsidR="00F166F6">
              <w:rPr>
                <w:rFonts w:eastAsiaTheme="minorEastAsia"/>
                <w:b/>
                <w:bCs/>
                <w:lang w:eastAsia="en-AU"/>
              </w:rPr>
              <w:br/>
            </w:r>
            <w:r w:rsidRPr="005C543F">
              <w:rPr>
                <w:rFonts w:eastAsiaTheme="minorEastAsia"/>
                <w:b/>
                <w:bCs/>
                <w:lang w:eastAsia="en-AU"/>
              </w:rPr>
              <w:t>in operating statement</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2 025.7</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1 971.6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1 926.1</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1 882.8</w:t>
            </w:r>
          </w:p>
        </w:tc>
      </w:tr>
      <w:tr w:rsidR="00A035F3" w:rsidRPr="005C543F" w:rsidTr="008224DF">
        <w:tc>
          <w:tcPr>
            <w:tcW w:w="7760" w:type="dxa"/>
            <w:gridSpan w:val="5"/>
            <w:tcBorders>
              <w:top w:val="single" w:sz="12" w:space="0" w:color="000000"/>
              <w:left w:val="nil"/>
              <w:bottom w:val="nil"/>
              <w:right w:val="nil"/>
            </w:tcBorders>
            <w:shd w:val="solid" w:color="FFFFFF" w:fill="auto"/>
          </w:tcPr>
          <w:p w:rsidR="00A035F3" w:rsidRPr="005C543F" w:rsidRDefault="00A035F3" w:rsidP="00A035F3">
            <w:pPr>
              <w:pStyle w:val="Tabletext"/>
              <w:rPr>
                <w:rFonts w:eastAsiaTheme="minorEastAsia"/>
                <w:b/>
                <w:bCs/>
                <w:lang w:eastAsia="en-AU"/>
              </w:rPr>
            </w:pPr>
            <w:r w:rsidRPr="005C543F">
              <w:rPr>
                <w:rFonts w:eastAsiaTheme="minorEastAsia"/>
                <w:b/>
                <w:bCs/>
                <w:lang w:eastAsia="en-AU"/>
              </w:rPr>
              <w:t xml:space="preserve">Represented by: </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Pr>
                <w:rFonts w:eastAsiaTheme="minorEastAsia"/>
                <w:lang w:eastAsia="en-AU"/>
              </w:rPr>
              <w:tab/>
            </w:r>
            <w:r w:rsidRPr="005C543F">
              <w:rPr>
                <w:rFonts w:eastAsiaTheme="minorEastAsia"/>
                <w:lang w:eastAsia="en-AU"/>
              </w:rPr>
              <w:t>Net superannuation interest expense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886.5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798.2</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Pr>
                <w:rFonts w:eastAsiaTheme="minorEastAsia"/>
                <w:lang w:eastAsia="en-AU"/>
              </w:rPr>
              <w:tab/>
            </w:r>
            <w:r w:rsidRPr="005C543F">
              <w:rPr>
                <w:rFonts w:eastAsiaTheme="minorEastAsia"/>
                <w:lang w:eastAsia="en-AU"/>
              </w:rPr>
              <w:t>Other superannuation</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2 101.7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2 107.1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2 121.9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2 147.4</w:t>
            </w:r>
          </w:p>
        </w:tc>
      </w:tr>
      <w:tr w:rsidR="00B03921" w:rsidRPr="005C543F" w:rsidTr="00016914">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Superannuation expense from transactions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2 988.1</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2 966.6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2 953.4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2 945.6</w:t>
            </w:r>
          </w:p>
        </w:tc>
      </w:tr>
      <w:tr w:rsidR="00B03921" w:rsidRPr="005C543F" w:rsidTr="00016914">
        <w:tc>
          <w:tcPr>
            <w:tcW w:w="3784" w:type="dxa"/>
            <w:tcBorders>
              <w:top w:val="single" w:sz="6" w:space="0" w:color="000000"/>
              <w:left w:val="nil"/>
              <w:bottom w:val="single" w:sz="4" w:space="0" w:color="auto"/>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Remeasurements recognised in other comprehensive income</w:t>
            </w:r>
          </w:p>
        </w:tc>
        <w:tc>
          <w:tcPr>
            <w:tcW w:w="994" w:type="dxa"/>
            <w:tcBorders>
              <w:top w:val="single" w:sz="6" w:space="0" w:color="000000"/>
              <w:left w:val="nil"/>
              <w:bottom w:val="single" w:sz="4" w:space="0" w:color="auto"/>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(962.4)</w:t>
            </w:r>
          </w:p>
        </w:tc>
        <w:tc>
          <w:tcPr>
            <w:tcW w:w="994" w:type="dxa"/>
            <w:tcBorders>
              <w:top w:val="single" w:sz="6" w:space="0" w:color="000000"/>
              <w:left w:val="nil"/>
              <w:bottom w:val="single" w:sz="4" w:space="0" w:color="auto"/>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(995.0)</w:t>
            </w:r>
          </w:p>
        </w:tc>
        <w:tc>
          <w:tcPr>
            <w:tcW w:w="994" w:type="dxa"/>
            <w:tcBorders>
              <w:top w:val="single" w:sz="6" w:space="0" w:color="000000"/>
              <w:left w:val="nil"/>
              <w:bottom w:val="single" w:sz="4" w:space="0" w:color="auto"/>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(1 027.3)</w:t>
            </w:r>
          </w:p>
        </w:tc>
        <w:tc>
          <w:tcPr>
            <w:tcW w:w="994" w:type="dxa"/>
            <w:tcBorders>
              <w:top w:val="single" w:sz="6" w:space="0" w:color="000000"/>
              <w:left w:val="nil"/>
              <w:bottom w:val="single" w:sz="4" w:space="0" w:color="auto"/>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(1 062.8)</w:t>
            </w:r>
          </w:p>
        </w:tc>
      </w:tr>
      <w:tr w:rsidR="00B03921" w:rsidRPr="005C543F" w:rsidTr="00016914">
        <w:tc>
          <w:tcPr>
            <w:tcW w:w="3784" w:type="dxa"/>
            <w:tcBorders>
              <w:top w:val="single" w:sz="4" w:space="0" w:color="auto"/>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 xml:space="preserve">Total superannuation expense recognised </w:t>
            </w:r>
            <w:r w:rsidR="00F166F6">
              <w:rPr>
                <w:rFonts w:eastAsiaTheme="minorEastAsia"/>
                <w:b/>
                <w:bCs/>
                <w:lang w:eastAsia="en-AU"/>
              </w:rPr>
              <w:br/>
            </w:r>
            <w:r w:rsidRPr="005C543F">
              <w:rPr>
                <w:rFonts w:eastAsiaTheme="minorEastAsia"/>
                <w:b/>
                <w:bCs/>
                <w:lang w:eastAsia="en-AU"/>
              </w:rPr>
              <w:t>in operating statement</w:t>
            </w:r>
          </w:p>
        </w:tc>
        <w:tc>
          <w:tcPr>
            <w:tcW w:w="994" w:type="dxa"/>
            <w:tcBorders>
              <w:top w:val="single" w:sz="4"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2 025.7</w:t>
            </w:r>
          </w:p>
        </w:tc>
        <w:tc>
          <w:tcPr>
            <w:tcW w:w="994" w:type="dxa"/>
            <w:tcBorders>
              <w:top w:val="single" w:sz="4"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1 971.6</w:t>
            </w:r>
          </w:p>
        </w:tc>
        <w:tc>
          <w:tcPr>
            <w:tcW w:w="994" w:type="dxa"/>
            <w:tcBorders>
              <w:top w:val="single" w:sz="4"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1 926.1</w:t>
            </w:r>
          </w:p>
        </w:tc>
        <w:tc>
          <w:tcPr>
            <w:tcW w:w="994" w:type="dxa"/>
            <w:tcBorders>
              <w:top w:val="single" w:sz="4"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1 882.8</w:t>
            </w:r>
          </w:p>
        </w:tc>
      </w:tr>
    </w:tbl>
    <w:p w:rsidR="00B03921" w:rsidRDefault="00B03921" w:rsidP="00016914">
      <w:pPr>
        <w:pStyle w:val="BodyText"/>
      </w:pPr>
    </w:p>
    <w:p w:rsidR="00B03921" w:rsidRDefault="00B03921" w:rsidP="00016914">
      <w:pPr>
        <w:pStyle w:val="BodyText"/>
      </w:pPr>
    </w:p>
    <w:p w:rsidR="00B03921" w:rsidRDefault="00B03921" w:rsidP="00016914">
      <w:pPr>
        <w:pStyle w:val="Tableheading"/>
      </w:pPr>
      <w:r w:rsidRPr="00C97310">
        <w:t xml:space="preserve">(b) </w:t>
      </w:r>
      <w:r>
        <w:tab/>
      </w:r>
      <w:r w:rsidRPr="00C97310">
        <w:t>Reconciliation of the present value of the defined benefit obligation</w:t>
      </w:r>
    </w:p>
    <w:p w:rsidR="00B03921" w:rsidRDefault="00B03921" w:rsidP="00016914">
      <w:pPr>
        <w:pStyle w:val="million"/>
        <w:rPr>
          <w:rFonts w:ascii="Times New Roman" w:hAnsi="Times New Roman"/>
          <w:i w:val="0"/>
          <w:sz w:val="20"/>
          <w:szCs w:val="20"/>
          <w:lang w:eastAsia="en-AU"/>
        </w:rPr>
      </w:pPr>
      <w:r w:rsidRPr="00C97310">
        <w:t>($ million)</w:t>
      </w:r>
    </w:p>
    <w:tbl>
      <w:tblPr>
        <w:tblW w:w="7760" w:type="dxa"/>
        <w:tblInd w:w="28" w:type="dxa"/>
        <w:tblLayout w:type="fixed"/>
        <w:tblCellMar>
          <w:left w:w="45" w:type="dxa"/>
          <w:right w:w="45" w:type="dxa"/>
        </w:tblCellMar>
        <w:tblLook w:val="0000" w:firstRow="0" w:lastRow="0" w:firstColumn="0" w:lastColumn="0" w:noHBand="0" w:noVBand="0"/>
      </w:tblPr>
      <w:tblGrid>
        <w:gridCol w:w="3909"/>
        <w:gridCol w:w="869"/>
        <w:gridCol w:w="994"/>
        <w:gridCol w:w="994"/>
        <w:gridCol w:w="994"/>
      </w:tblGrid>
      <w:tr w:rsidR="00A035F3" w:rsidRPr="00B33BE5" w:rsidTr="00F166F6">
        <w:trPr>
          <w:trHeight w:val="503"/>
        </w:trPr>
        <w:tc>
          <w:tcPr>
            <w:tcW w:w="3909" w:type="dxa"/>
            <w:tcBorders>
              <w:top w:val="single" w:sz="6" w:space="0" w:color="auto"/>
              <w:left w:val="single" w:sz="6" w:space="0" w:color="auto"/>
              <w:right w:val="nil"/>
            </w:tcBorders>
            <w:shd w:val="clear" w:color="000000" w:fill="000000"/>
          </w:tcPr>
          <w:p w:rsidR="00A035F3" w:rsidRPr="00B33BE5" w:rsidRDefault="00A035F3" w:rsidP="00016914">
            <w:pPr>
              <w:pStyle w:val="Tabletext"/>
              <w:rPr>
                <w:rFonts w:eastAsiaTheme="minorEastAsia"/>
                <w:lang w:eastAsia="en-AU"/>
              </w:rPr>
            </w:pPr>
            <w:r w:rsidRPr="00B33BE5">
              <w:rPr>
                <w:rFonts w:eastAsiaTheme="minorEastAsia"/>
                <w:lang w:eastAsia="en-AU"/>
              </w:rPr>
              <w:t xml:space="preserve"> </w:t>
            </w:r>
          </w:p>
          <w:p w:rsidR="00A035F3" w:rsidRPr="00B33BE5" w:rsidRDefault="00A035F3" w:rsidP="00016914">
            <w:pPr>
              <w:pStyle w:val="Tabletext"/>
              <w:rPr>
                <w:rFonts w:eastAsiaTheme="minorEastAsia"/>
                <w:lang w:eastAsia="en-AU"/>
              </w:rPr>
            </w:pPr>
            <w:r w:rsidRPr="00B33BE5">
              <w:rPr>
                <w:rFonts w:eastAsiaTheme="minorEastAsia"/>
                <w:lang w:eastAsia="en-AU"/>
              </w:rPr>
              <w:t xml:space="preserve"> </w:t>
            </w:r>
          </w:p>
        </w:tc>
        <w:tc>
          <w:tcPr>
            <w:tcW w:w="869"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2015-16</w:t>
            </w:r>
            <w:r>
              <w:rPr>
                <w:rFonts w:eastAsiaTheme="minorEastAsia"/>
                <w:iCs/>
                <w:color w:val="FFFFFF"/>
                <w:lang w:eastAsia="en-AU"/>
              </w:rPr>
              <w:t xml:space="preserve"> </w:t>
            </w:r>
            <w:r w:rsidRPr="00B33BE5">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2016-17</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2017-18</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2018-19</w:t>
            </w:r>
            <w:r>
              <w:rPr>
                <w:rFonts w:eastAsiaTheme="minorEastAsia"/>
                <w:iCs/>
                <w:color w:val="FFFFFF"/>
                <w:lang w:eastAsia="en-AU"/>
              </w:rPr>
              <w:t xml:space="preserve"> </w:t>
            </w:r>
            <w:r w:rsidRPr="00B33BE5">
              <w:rPr>
                <w:rFonts w:eastAsiaTheme="minorEastAsia"/>
                <w:iCs/>
                <w:color w:val="FFFFFF"/>
                <w:lang w:eastAsia="en-AU"/>
              </w:rPr>
              <w:t>estimate</w:t>
            </w:r>
          </w:p>
        </w:tc>
      </w:tr>
      <w:tr w:rsidR="00B03921" w:rsidRPr="00B33BE5" w:rsidTr="00F166F6">
        <w:tc>
          <w:tcPr>
            <w:tcW w:w="3909" w:type="dxa"/>
            <w:tcBorders>
              <w:top w:val="single" w:sz="6" w:space="0" w:color="auto"/>
              <w:left w:val="nil"/>
              <w:bottom w:val="nil"/>
              <w:right w:val="nil"/>
            </w:tcBorders>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Opening balance of defined benefit obligation</w:t>
            </w:r>
          </w:p>
        </w:tc>
        <w:tc>
          <w:tcPr>
            <w:tcW w:w="869"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51 030.2</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50 793.6</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50 434.7</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49 983.7</w:t>
            </w:r>
          </w:p>
        </w:tc>
      </w:tr>
      <w:tr w:rsidR="00B03921" w:rsidRPr="00B33BE5" w:rsidTr="00F166F6">
        <w:tc>
          <w:tcPr>
            <w:tcW w:w="3909"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Current service cost</w:t>
            </w:r>
          </w:p>
        </w:tc>
        <w:tc>
          <w:tcPr>
            <w:tcW w:w="869"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825.9</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813.3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798.1</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782.9</w:t>
            </w:r>
          </w:p>
        </w:tc>
      </w:tr>
      <w:tr w:rsidR="00B03921" w:rsidRPr="00B33BE5" w:rsidTr="00F166F6">
        <w:tc>
          <w:tcPr>
            <w:tcW w:w="3909"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Interest expense</w:t>
            </w:r>
          </w:p>
        </w:tc>
        <w:tc>
          <w:tcPr>
            <w:tcW w:w="869"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1 429.6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1 421.3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1 409.8</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1 395.4</w:t>
            </w:r>
          </w:p>
        </w:tc>
      </w:tr>
      <w:tr w:rsidR="00B03921" w:rsidRPr="00B33BE5" w:rsidTr="00F166F6">
        <w:tc>
          <w:tcPr>
            <w:tcW w:w="3909"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Contributions by plan participants</w:t>
            </w:r>
          </w:p>
        </w:tc>
        <w:tc>
          <w:tcPr>
            <w:tcW w:w="869"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188.3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183.0</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177.6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172.3</w:t>
            </w:r>
          </w:p>
        </w:tc>
      </w:tr>
      <w:tr w:rsidR="00B03921" w:rsidRPr="00B33BE5" w:rsidTr="00F166F6">
        <w:tc>
          <w:tcPr>
            <w:tcW w:w="3909" w:type="dxa"/>
            <w:tcBorders>
              <w:top w:val="nil"/>
              <w:left w:val="nil"/>
              <w:bottom w:val="single" w:sz="6" w:space="0" w:color="auto"/>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Benefits paid</w:t>
            </w:r>
          </w:p>
        </w:tc>
        <w:tc>
          <w:tcPr>
            <w:tcW w:w="869"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(2 680.4)</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(2 776.5)</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(2 836.6)</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(2 898.8)</w:t>
            </w:r>
          </w:p>
        </w:tc>
      </w:tr>
      <w:tr w:rsidR="00B03921" w:rsidRPr="00B33BE5" w:rsidTr="00F166F6">
        <w:tc>
          <w:tcPr>
            <w:tcW w:w="3909"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Closing balance of defined benefit obligation</w:t>
            </w:r>
          </w:p>
        </w:tc>
        <w:tc>
          <w:tcPr>
            <w:tcW w:w="869"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50 793.6</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50 434.7</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49 983.7</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49 435.4</w:t>
            </w:r>
          </w:p>
        </w:tc>
      </w:tr>
    </w:tbl>
    <w:p w:rsidR="00B03921" w:rsidRDefault="00B03921" w:rsidP="00016914">
      <w:pPr>
        <w:pStyle w:val="million"/>
      </w:pPr>
      <w:r>
        <w:t xml:space="preserve"> </w:t>
      </w:r>
    </w:p>
    <w:p w:rsidR="00B03921" w:rsidRDefault="00B03921" w:rsidP="00016914">
      <w:pPr>
        <w:pStyle w:val="Heading2NotesContd"/>
      </w:pPr>
      <w:r>
        <w:t>Note 7:</w:t>
      </w:r>
      <w:r>
        <w:tab/>
      </w:r>
      <w:r w:rsidRPr="002E3FD9">
        <w:t>Superannuation</w:t>
      </w:r>
      <w:r>
        <w:t xml:space="preserve"> </w:t>
      </w:r>
      <w:r w:rsidRPr="00211203">
        <w:rPr>
          <w:i/>
        </w:rPr>
        <w:t>(continued)</w:t>
      </w:r>
    </w:p>
    <w:p w:rsidR="00B03921" w:rsidRDefault="00B03921" w:rsidP="00016914">
      <w:pPr>
        <w:pStyle w:val="Tableheading"/>
      </w:pPr>
      <w:r>
        <w:t xml:space="preserve">(c) </w:t>
      </w:r>
      <w:r>
        <w:tab/>
        <w:t>Reconciliation of the fair value of superannuation plan assets</w:t>
      </w:r>
    </w:p>
    <w:p w:rsidR="00B03921" w:rsidRPr="00B33BE5"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A035F3" w:rsidRPr="00B33BE5" w:rsidTr="008224DF">
        <w:trPr>
          <w:trHeight w:val="503"/>
        </w:trPr>
        <w:tc>
          <w:tcPr>
            <w:tcW w:w="3784" w:type="dxa"/>
            <w:tcBorders>
              <w:top w:val="single" w:sz="6" w:space="0" w:color="auto"/>
              <w:left w:val="single" w:sz="6" w:space="0" w:color="auto"/>
              <w:right w:val="nil"/>
            </w:tcBorders>
            <w:shd w:val="clear" w:color="000000" w:fill="000000"/>
          </w:tcPr>
          <w:p w:rsidR="00A035F3" w:rsidRPr="00B33BE5" w:rsidRDefault="00A035F3" w:rsidP="00A035F3">
            <w:pPr>
              <w:pStyle w:val="Tabletext"/>
              <w:rPr>
                <w:rFonts w:eastAsiaTheme="minorEastAsia"/>
                <w:lang w:eastAsia="en-AU"/>
              </w:rPr>
            </w:pPr>
            <w:r w:rsidRPr="00B33BE5">
              <w:rPr>
                <w:rFonts w:eastAsiaTheme="minorEastAsia"/>
                <w:lang w:eastAsia="en-AU"/>
              </w:rPr>
              <w:t xml:space="preserve"> </w:t>
            </w:r>
          </w:p>
        </w:tc>
        <w:tc>
          <w:tcPr>
            <w:tcW w:w="994"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2015-16</w:t>
            </w:r>
            <w:r>
              <w:rPr>
                <w:rFonts w:eastAsiaTheme="minorEastAsia"/>
                <w:iCs/>
                <w:color w:val="FFFFFF"/>
                <w:lang w:eastAsia="en-AU"/>
              </w:rPr>
              <w:t xml:space="preserve"> </w:t>
            </w:r>
            <w:r w:rsidRPr="00B33BE5">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2016-17</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2017-18</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A035F3" w:rsidRPr="00B33BE5" w:rsidRDefault="00A035F3" w:rsidP="00A035F3">
            <w:pPr>
              <w:pStyle w:val="Tabletextheading"/>
              <w:rPr>
                <w:rFonts w:eastAsiaTheme="minorEastAsia"/>
                <w:iCs/>
                <w:color w:val="FFFFFF"/>
                <w:lang w:eastAsia="en-AU"/>
              </w:rPr>
            </w:pPr>
            <w:r w:rsidRPr="00B33BE5">
              <w:rPr>
                <w:rFonts w:eastAsiaTheme="minorEastAsia"/>
                <w:iCs/>
                <w:color w:val="FFFFFF"/>
                <w:lang w:eastAsia="en-AU"/>
              </w:rPr>
              <w:t>2018-19</w:t>
            </w:r>
            <w:r>
              <w:rPr>
                <w:rFonts w:eastAsiaTheme="minorEastAsia"/>
                <w:iCs/>
                <w:color w:val="FFFFFF"/>
                <w:lang w:eastAsia="en-AU"/>
              </w:rPr>
              <w:t xml:space="preserve"> </w:t>
            </w:r>
            <w:r w:rsidRPr="00B33BE5">
              <w:rPr>
                <w:rFonts w:eastAsiaTheme="minorEastAsia"/>
                <w:iCs/>
                <w:color w:val="FFFFFF"/>
                <w:lang w:eastAsia="en-AU"/>
              </w:rPr>
              <w:t>estimate</w:t>
            </w:r>
          </w:p>
        </w:tc>
      </w:tr>
      <w:tr w:rsidR="00B03921" w:rsidRPr="00B33BE5" w:rsidTr="00016914">
        <w:tc>
          <w:tcPr>
            <w:tcW w:w="3784" w:type="dxa"/>
            <w:tcBorders>
              <w:top w:val="single" w:sz="6" w:space="0" w:color="auto"/>
              <w:left w:val="nil"/>
              <w:bottom w:val="nil"/>
              <w:right w:val="nil"/>
            </w:tcBorders>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Opening balance of plan assets</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20 276.1</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20 984.7</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21 765.8</w:t>
            </w:r>
          </w:p>
        </w:tc>
        <w:tc>
          <w:tcPr>
            <w:tcW w:w="994" w:type="dxa"/>
            <w:tcBorders>
              <w:top w:val="single" w:sz="6" w:space="0" w:color="auto"/>
              <w:left w:val="nil"/>
              <w:bottom w:val="nil"/>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21 926.6</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Interest income</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543.2</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561.7</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578.3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597.2</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Return on plan assets not included in interest income</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962.4</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995.0</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1 027.3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1 062.8</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Employer contributions</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1 695.1</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1 817.8</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1 214.2</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1 550.5</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Contributions by plan participants</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188.3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183.0</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177.6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172.3</w:t>
            </w:r>
          </w:p>
        </w:tc>
      </w:tr>
      <w:tr w:rsidR="00B03921" w:rsidRPr="00B33BE5" w:rsidTr="00016914">
        <w:tc>
          <w:tcPr>
            <w:tcW w:w="3784" w:type="dxa"/>
            <w:tcBorders>
              <w:top w:val="nil"/>
              <w:left w:val="nil"/>
              <w:bottom w:val="single" w:sz="6" w:space="0" w:color="auto"/>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Benefits paid (including tax paid)</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(2 680.4)</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(2 776.5)</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(2 836.6)</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(2 898.8)</w:t>
            </w:r>
          </w:p>
        </w:tc>
      </w:tr>
      <w:tr w:rsidR="00B03921" w:rsidRPr="00B33BE5" w:rsidTr="00016914">
        <w:tc>
          <w:tcPr>
            <w:tcW w:w="378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Closing balance of plan assets</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20 984.7</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21 765.8</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21 926.6</w:t>
            </w:r>
          </w:p>
        </w:tc>
        <w:tc>
          <w:tcPr>
            <w:tcW w:w="994" w:type="dxa"/>
            <w:tcBorders>
              <w:top w:val="single" w:sz="6" w:space="0" w:color="auto"/>
              <w:left w:val="nil"/>
              <w:bottom w:val="single" w:sz="12" w:space="0" w:color="000000"/>
              <w:right w:val="nil"/>
            </w:tcBorders>
            <w:shd w:val="clear" w:color="auto"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22 410.6</w:t>
            </w:r>
          </w:p>
        </w:tc>
      </w:tr>
    </w:tbl>
    <w:p w:rsidR="00B03921" w:rsidRDefault="00B03921" w:rsidP="00016914">
      <w:pPr>
        <w:pStyle w:val="BodyText"/>
      </w:pPr>
    </w:p>
    <w:p w:rsidR="00B03921" w:rsidRDefault="00B03921" w:rsidP="00016914">
      <w:pPr>
        <w:pStyle w:val="BodyText"/>
      </w:pPr>
    </w:p>
    <w:p w:rsidR="00B03921" w:rsidRDefault="00B03921" w:rsidP="00016914">
      <w:pPr>
        <w:pStyle w:val="Tableheading"/>
      </w:pPr>
      <w:r w:rsidRPr="00C97310">
        <w:t xml:space="preserve">(d) </w:t>
      </w:r>
      <w:r>
        <w:tab/>
      </w:r>
      <w:r w:rsidRPr="00C97310">
        <w:t>Reconciliation of the superannuation liabilities</w:t>
      </w:r>
    </w:p>
    <w:p w:rsidR="00B03921" w:rsidRPr="00B33BE5" w:rsidRDefault="00B03921" w:rsidP="00016914">
      <w:pPr>
        <w:pStyle w:val="million"/>
        <w:rPr>
          <w:rFonts w:ascii="Times New Roman" w:hAnsi="Times New Roman"/>
          <w:i w:val="0"/>
          <w:sz w:val="20"/>
          <w:szCs w:val="20"/>
          <w:lang w:eastAsia="en-AU"/>
        </w:rPr>
      </w:pPr>
      <w:r w:rsidRPr="00C97310">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E90A36" w:rsidRPr="00B33BE5" w:rsidTr="008224DF">
        <w:trPr>
          <w:trHeight w:val="503"/>
        </w:trPr>
        <w:tc>
          <w:tcPr>
            <w:tcW w:w="3784" w:type="dxa"/>
            <w:tcBorders>
              <w:top w:val="single" w:sz="6" w:space="0" w:color="auto"/>
              <w:left w:val="single" w:sz="6" w:space="0" w:color="auto"/>
              <w:right w:val="nil"/>
            </w:tcBorders>
            <w:shd w:val="clear" w:color="000000" w:fill="000000"/>
          </w:tcPr>
          <w:p w:rsidR="00E90A36" w:rsidRPr="00B33BE5" w:rsidRDefault="00E90A36"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E90A36" w:rsidRPr="00B33BE5" w:rsidRDefault="00E90A36" w:rsidP="00E90A36">
            <w:pPr>
              <w:pStyle w:val="Tabletextheading"/>
              <w:rPr>
                <w:rFonts w:eastAsiaTheme="minorEastAsia"/>
                <w:iCs/>
                <w:color w:val="FFFFFF"/>
                <w:lang w:eastAsia="en-AU"/>
              </w:rPr>
            </w:pPr>
            <w:r w:rsidRPr="00B33BE5">
              <w:rPr>
                <w:rFonts w:eastAsiaTheme="minorEastAsia"/>
                <w:iCs/>
                <w:color w:val="FFFFFF"/>
                <w:lang w:eastAsia="en-AU"/>
              </w:rPr>
              <w:t>2015-16</w:t>
            </w:r>
            <w:r>
              <w:rPr>
                <w:rFonts w:eastAsiaTheme="minorEastAsia"/>
                <w:iCs/>
                <w:color w:val="FFFFFF"/>
                <w:lang w:eastAsia="en-AU"/>
              </w:rPr>
              <w:t xml:space="preserve"> </w:t>
            </w:r>
            <w:r w:rsidRPr="00B33BE5">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E90A36" w:rsidRPr="00B33BE5" w:rsidRDefault="00E90A36" w:rsidP="00E90A36">
            <w:pPr>
              <w:pStyle w:val="Tabletextheading"/>
              <w:rPr>
                <w:rFonts w:eastAsiaTheme="minorEastAsia"/>
                <w:iCs/>
                <w:color w:val="FFFFFF"/>
                <w:lang w:eastAsia="en-AU"/>
              </w:rPr>
            </w:pPr>
            <w:r w:rsidRPr="00B33BE5">
              <w:rPr>
                <w:rFonts w:eastAsiaTheme="minorEastAsia"/>
                <w:iCs/>
                <w:color w:val="FFFFFF"/>
                <w:lang w:eastAsia="en-AU"/>
              </w:rPr>
              <w:t>2016-17</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E90A36" w:rsidRPr="00B33BE5" w:rsidRDefault="00E90A36" w:rsidP="00E90A36">
            <w:pPr>
              <w:pStyle w:val="Tabletextheading"/>
              <w:rPr>
                <w:rFonts w:eastAsiaTheme="minorEastAsia"/>
                <w:iCs/>
                <w:color w:val="FFFFFF"/>
                <w:lang w:eastAsia="en-AU"/>
              </w:rPr>
            </w:pPr>
            <w:r w:rsidRPr="00B33BE5">
              <w:rPr>
                <w:rFonts w:eastAsiaTheme="minorEastAsia"/>
                <w:iCs/>
                <w:color w:val="FFFFFF"/>
                <w:lang w:eastAsia="en-AU"/>
              </w:rPr>
              <w:t>2017-18</w:t>
            </w:r>
            <w:r>
              <w:rPr>
                <w:rFonts w:eastAsiaTheme="minorEastAsia"/>
                <w:iCs/>
                <w:color w:val="FFFFFF"/>
                <w:lang w:eastAsia="en-AU"/>
              </w:rPr>
              <w:t xml:space="preserve"> </w:t>
            </w:r>
            <w:r w:rsidRPr="00B33BE5">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E90A36" w:rsidRPr="00B33BE5" w:rsidRDefault="00E90A36" w:rsidP="00E90A36">
            <w:pPr>
              <w:pStyle w:val="Tabletextheading"/>
              <w:rPr>
                <w:rFonts w:eastAsiaTheme="minorEastAsia"/>
                <w:iCs/>
                <w:color w:val="FFFFFF"/>
                <w:lang w:eastAsia="en-AU"/>
              </w:rPr>
            </w:pPr>
            <w:r w:rsidRPr="00B33BE5">
              <w:rPr>
                <w:rFonts w:eastAsiaTheme="minorEastAsia"/>
                <w:iCs/>
                <w:color w:val="FFFFFF"/>
                <w:lang w:eastAsia="en-AU"/>
              </w:rPr>
              <w:t>2018-19</w:t>
            </w:r>
            <w:r>
              <w:rPr>
                <w:rFonts w:eastAsiaTheme="minorEastAsia"/>
                <w:iCs/>
                <w:color w:val="FFFFFF"/>
                <w:lang w:eastAsia="en-AU"/>
              </w:rPr>
              <w:t xml:space="preserve"> </w:t>
            </w:r>
            <w:r w:rsidRPr="00B33BE5">
              <w:rPr>
                <w:rFonts w:eastAsiaTheme="minorEastAsia"/>
                <w:iCs/>
                <w:color w:val="FFFFFF"/>
                <w:lang w:eastAsia="en-AU"/>
              </w:rPr>
              <w:t>estimate</w:t>
            </w:r>
          </w:p>
        </w:tc>
      </w:tr>
      <w:tr w:rsidR="00E90A36" w:rsidRPr="00B33BE5" w:rsidTr="008224DF">
        <w:tc>
          <w:tcPr>
            <w:tcW w:w="7760" w:type="dxa"/>
            <w:gridSpan w:val="5"/>
            <w:tcBorders>
              <w:top w:val="single" w:sz="6" w:space="0" w:color="auto"/>
              <w:left w:val="nil"/>
              <w:bottom w:val="nil"/>
              <w:right w:val="nil"/>
            </w:tcBorders>
          </w:tcPr>
          <w:p w:rsidR="00E90A36" w:rsidRPr="00B33BE5" w:rsidRDefault="00E90A36" w:rsidP="00E90A36">
            <w:pPr>
              <w:pStyle w:val="Tabletext"/>
              <w:rPr>
                <w:rFonts w:eastAsiaTheme="minorEastAsia"/>
                <w:b/>
                <w:lang w:eastAsia="en-AU"/>
              </w:rPr>
            </w:pPr>
            <w:r w:rsidRPr="00B33BE5">
              <w:rPr>
                <w:rFonts w:eastAsiaTheme="minorEastAsia"/>
                <w:b/>
                <w:bCs/>
                <w:lang w:eastAsia="en-AU"/>
              </w:rPr>
              <w:t>Emergency Services and State Super</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Defined benefit obligation</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46 002.2</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45 729.4</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45 364.0</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44 895.2</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vertAlign w:val="superscript"/>
                <w:lang w:eastAsia="en-AU"/>
              </w:rPr>
            </w:pPr>
            <w:r>
              <w:rPr>
                <w:rFonts w:eastAsiaTheme="minorEastAsia"/>
                <w:lang w:eastAsia="en-AU"/>
              </w:rPr>
              <w:t>Tax liability</w:t>
            </w:r>
            <w:r w:rsidRPr="00B33BE5">
              <w:rPr>
                <w:rFonts w:eastAsiaTheme="minorEastAsia"/>
                <w:vertAlign w:val="superscript"/>
                <w:lang w:eastAsia="en-AU"/>
              </w:rPr>
              <w:t>(a)</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2 835.8</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2 747.4</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2 655.7</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2 569.9</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Plan assets</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(20 087.2)</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(20 913.3)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(21 117.7)</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(21 647.3)</w:t>
            </w:r>
          </w:p>
        </w:tc>
      </w:tr>
      <w:tr w:rsidR="00B03921" w:rsidRPr="00B33BE5" w:rsidTr="00016914">
        <w:tc>
          <w:tcPr>
            <w:tcW w:w="3784" w:type="dxa"/>
            <w:tcBorders>
              <w:top w:val="single" w:sz="6" w:space="0" w:color="auto"/>
              <w:left w:val="nil"/>
              <w:bottom w:val="single" w:sz="6" w:space="0" w:color="auto"/>
              <w:right w:val="nil"/>
            </w:tcBorders>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Net liability/(asset)</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28 750.8</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27 563.5</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26 902.0</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25 817.8</w:t>
            </w:r>
          </w:p>
        </w:tc>
      </w:tr>
      <w:tr w:rsidR="00E90A36" w:rsidRPr="00B33BE5" w:rsidTr="008224DF">
        <w:tc>
          <w:tcPr>
            <w:tcW w:w="7760" w:type="dxa"/>
            <w:gridSpan w:val="5"/>
            <w:tcBorders>
              <w:top w:val="nil"/>
              <w:left w:val="nil"/>
              <w:bottom w:val="nil"/>
              <w:right w:val="nil"/>
            </w:tcBorders>
          </w:tcPr>
          <w:p w:rsidR="00E90A36" w:rsidRPr="00B33BE5" w:rsidRDefault="00E90A36" w:rsidP="00E90A36">
            <w:pPr>
              <w:pStyle w:val="Tabletext"/>
              <w:rPr>
                <w:rFonts w:eastAsiaTheme="minorEastAsia"/>
                <w:b/>
                <w:lang w:eastAsia="en-AU"/>
              </w:rPr>
            </w:pPr>
            <w:r>
              <w:rPr>
                <w:rFonts w:eastAsiaTheme="minorEastAsia"/>
                <w:b/>
                <w:bCs/>
                <w:lang w:eastAsia="en-AU"/>
              </w:rPr>
              <w:t>Other funds</w:t>
            </w:r>
            <w:r w:rsidRPr="00B33BE5">
              <w:rPr>
                <w:rFonts w:eastAsiaTheme="minorEastAsia"/>
                <w:b/>
                <w:bCs/>
                <w:vertAlign w:val="superscript"/>
                <w:lang w:eastAsia="en-AU"/>
              </w:rPr>
              <w:t>(b)</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Defined benefit obligation</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1 962.2</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1 963.5</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1 968.6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1 974.2</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vertAlign w:val="superscript"/>
                <w:lang w:eastAsia="en-AU"/>
              </w:rPr>
            </w:pPr>
            <w:r>
              <w:rPr>
                <w:rFonts w:eastAsiaTheme="minorEastAsia"/>
                <w:lang w:eastAsia="en-AU"/>
              </w:rPr>
              <w:t>Tax liability</w:t>
            </w:r>
            <w:r w:rsidRPr="00B33BE5">
              <w:rPr>
                <w:rFonts w:eastAsiaTheme="minorEastAsia"/>
                <w:vertAlign w:val="superscript"/>
                <w:lang w:eastAsia="en-AU"/>
              </w:rPr>
              <w:t>(a)</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(6.5)</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(5.5)</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(4.6)</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(3.9)</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Plan assets</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(897.6)</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(852.6)</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(809.0)</w:t>
            </w:r>
          </w:p>
        </w:tc>
        <w:tc>
          <w:tcPr>
            <w:tcW w:w="994" w:type="dxa"/>
            <w:tcBorders>
              <w:top w:val="nil"/>
              <w:left w:val="nil"/>
              <w:bottom w:val="nil"/>
              <w:right w:val="nil"/>
            </w:tcBorders>
          </w:tcPr>
          <w:p w:rsidR="00B03921" w:rsidRPr="00B33BE5" w:rsidRDefault="00B03921" w:rsidP="00016914">
            <w:pPr>
              <w:pStyle w:val="TableofFigures"/>
              <w:rPr>
                <w:rFonts w:eastAsiaTheme="minorEastAsia" w:cs="Calibri"/>
                <w:color w:val="000000"/>
                <w:lang w:eastAsia="en-AU"/>
              </w:rPr>
            </w:pPr>
            <w:r>
              <w:rPr>
                <w:rFonts w:eastAsiaTheme="minorEastAsia"/>
                <w:lang w:eastAsia="en-AU"/>
              </w:rPr>
              <w:t>(763.3)</w:t>
            </w:r>
          </w:p>
        </w:tc>
      </w:tr>
      <w:tr w:rsidR="00B03921" w:rsidRPr="00B33BE5" w:rsidTr="00016914">
        <w:tc>
          <w:tcPr>
            <w:tcW w:w="3784" w:type="dxa"/>
            <w:tcBorders>
              <w:top w:val="single" w:sz="6" w:space="0" w:color="auto"/>
              <w:left w:val="nil"/>
              <w:bottom w:val="single" w:sz="6" w:space="0" w:color="auto"/>
              <w:right w:val="nil"/>
            </w:tcBorders>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Net liability/(asset)</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1 058.1</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1 105.4</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1 155.0</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1 207.0</w:t>
            </w:r>
          </w:p>
        </w:tc>
      </w:tr>
      <w:tr w:rsidR="00E90A36" w:rsidRPr="00B33BE5" w:rsidTr="008224DF">
        <w:tc>
          <w:tcPr>
            <w:tcW w:w="7760" w:type="dxa"/>
            <w:gridSpan w:val="5"/>
            <w:tcBorders>
              <w:top w:val="nil"/>
              <w:left w:val="nil"/>
              <w:bottom w:val="nil"/>
              <w:right w:val="nil"/>
            </w:tcBorders>
          </w:tcPr>
          <w:p w:rsidR="00E90A36" w:rsidRPr="00B33BE5" w:rsidRDefault="00E90A36" w:rsidP="00E90A36">
            <w:pPr>
              <w:pStyle w:val="Tabletext"/>
              <w:rPr>
                <w:rFonts w:eastAsiaTheme="minorEastAsia"/>
                <w:b/>
                <w:lang w:eastAsia="en-AU"/>
              </w:rPr>
            </w:pPr>
            <w:r w:rsidRPr="00B33BE5">
              <w:rPr>
                <w:rFonts w:eastAsiaTheme="minorEastAsia"/>
                <w:b/>
                <w:bCs/>
                <w:lang w:eastAsia="en-AU"/>
              </w:rPr>
              <w:t>Total superannuation</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Defined benefit obligation</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47 964.3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47 692.9</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47 332.6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46 869.4</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vertAlign w:val="superscript"/>
                <w:lang w:eastAsia="en-AU"/>
              </w:rPr>
            </w:pPr>
            <w:r>
              <w:rPr>
                <w:rFonts w:eastAsiaTheme="minorEastAsia"/>
                <w:lang w:eastAsia="en-AU"/>
              </w:rPr>
              <w:t>Tax liability</w:t>
            </w:r>
            <w:r w:rsidRPr="00B33BE5">
              <w:rPr>
                <w:rFonts w:eastAsiaTheme="minorEastAsia"/>
                <w:vertAlign w:val="superscript"/>
                <w:lang w:eastAsia="en-AU"/>
              </w:rPr>
              <w:t>(a)</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2 829.3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2 741.9</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2 651.1</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2 566.0</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Plan assets</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(20 984.7)</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(21 765.8)</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(21 926.6)</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(22 410.6)</w:t>
            </w:r>
          </w:p>
        </w:tc>
      </w:tr>
      <w:tr w:rsidR="00B03921" w:rsidRPr="00B33BE5" w:rsidTr="00016914">
        <w:tc>
          <w:tcPr>
            <w:tcW w:w="3784" w:type="dxa"/>
            <w:tcBorders>
              <w:top w:val="single" w:sz="6" w:space="0" w:color="auto"/>
              <w:left w:val="nil"/>
              <w:bottom w:val="single" w:sz="6" w:space="0" w:color="auto"/>
              <w:right w:val="nil"/>
            </w:tcBorders>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Superannuation liability</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29 808.9</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28 668.9</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28 057.1</w:t>
            </w:r>
          </w:p>
        </w:tc>
        <w:tc>
          <w:tcPr>
            <w:tcW w:w="994" w:type="dxa"/>
            <w:tcBorders>
              <w:top w:val="single" w:sz="6" w:space="0" w:color="auto"/>
              <w:left w:val="nil"/>
              <w:bottom w:val="single" w:sz="6" w:space="0" w:color="auto"/>
              <w:right w:val="nil"/>
            </w:tcBorders>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27 024.8</w:t>
            </w:r>
          </w:p>
        </w:tc>
      </w:tr>
      <w:tr w:rsidR="00E90A36" w:rsidRPr="00B33BE5" w:rsidTr="008224DF">
        <w:tc>
          <w:tcPr>
            <w:tcW w:w="7760" w:type="dxa"/>
            <w:gridSpan w:val="5"/>
            <w:tcBorders>
              <w:top w:val="nil"/>
              <w:left w:val="nil"/>
              <w:bottom w:val="nil"/>
              <w:right w:val="nil"/>
            </w:tcBorders>
          </w:tcPr>
          <w:p w:rsidR="00E90A36" w:rsidRPr="00B33BE5" w:rsidRDefault="00E90A36" w:rsidP="00E90A36">
            <w:pPr>
              <w:pStyle w:val="Tabletext"/>
              <w:rPr>
                <w:rFonts w:eastAsiaTheme="minorEastAsia"/>
                <w:b/>
                <w:lang w:eastAsia="en-AU"/>
              </w:rPr>
            </w:pPr>
            <w:r w:rsidRPr="00B33BE5">
              <w:rPr>
                <w:rFonts w:eastAsiaTheme="minorEastAsia"/>
                <w:b/>
                <w:bCs/>
                <w:lang w:eastAsia="en-AU"/>
              </w:rPr>
              <w:t>Represented by:</w:t>
            </w:r>
          </w:p>
        </w:tc>
      </w:tr>
      <w:tr w:rsidR="00B03921" w:rsidRPr="00B33BE5" w:rsidTr="00016914">
        <w:tc>
          <w:tcPr>
            <w:tcW w:w="3784" w:type="dxa"/>
            <w:tcBorders>
              <w:top w:val="nil"/>
              <w:left w:val="nil"/>
              <w:bottom w:val="nil"/>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Current liability</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1 333.4</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 xml:space="preserve"> 736.3</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1 078.4</w:t>
            </w:r>
          </w:p>
        </w:tc>
        <w:tc>
          <w:tcPr>
            <w:tcW w:w="994" w:type="dxa"/>
            <w:tcBorders>
              <w:top w:val="nil"/>
              <w:left w:val="nil"/>
              <w:bottom w:val="nil"/>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1 105.4</w:t>
            </w:r>
          </w:p>
        </w:tc>
      </w:tr>
      <w:tr w:rsidR="00B03921" w:rsidRPr="00B33BE5" w:rsidTr="00016914">
        <w:tc>
          <w:tcPr>
            <w:tcW w:w="3784" w:type="dxa"/>
            <w:tcBorders>
              <w:top w:val="nil"/>
              <w:left w:val="nil"/>
              <w:bottom w:val="single" w:sz="6" w:space="0" w:color="auto"/>
              <w:right w:val="nil"/>
            </w:tcBorders>
          </w:tcPr>
          <w:p w:rsidR="00B03921" w:rsidRPr="00B33BE5" w:rsidRDefault="00B03921" w:rsidP="00016914">
            <w:pPr>
              <w:pStyle w:val="Tabletext"/>
              <w:rPr>
                <w:rFonts w:eastAsiaTheme="minorEastAsia"/>
                <w:lang w:eastAsia="en-AU"/>
              </w:rPr>
            </w:pPr>
            <w:r w:rsidRPr="00B33BE5">
              <w:rPr>
                <w:rFonts w:eastAsiaTheme="minorEastAsia"/>
                <w:lang w:eastAsia="en-AU"/>
              </w:rPr>
              <w:t>Non-current liability</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28 475.5</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27 932.6</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26 978.7</w:t>
            </w:r>
          </w:p>
        </w:tc>
        <w:tc>
          <w:tcPr>
            <w:tcW w:w="994" w:type="dxa"/>
            <w:tcBorders>
              <w:top w:val="nil"/>
              <w:left w:val="nil"/>
              <w:bottom w:val="single" w:sz="6" w:space="0" w:color="auto"/>
              <w:right w:val="nil"/>
            </w:tcBorders>
          </w:tcPr>
          <w:p w:rsidR="00B03921" w:rsidRPr="00B33BE5" w:rsidRDefault="00B03921" w:rsidP="00016914">
            <w:pPr>
              <w:pStyle w:val="TableofFigures"/>
              <w:rPr>
                <w:rFonts w:eastAsiaTheme="minorEastAsia"/>
                <w:lang w:eastAsia="en-AU"/>
              </w:rPr>
            </w:pPr>
            <w:r w:rsidRPr="00B33BE5">
              <w:rPr>
                <w:rFonts w:eastAsiaTheme="minorEastAsia"/>
                <w:lang w:eastAsia="en-AU"/>
              </w:rPr>
              <w:t>25 919.5</w:t>
            </w:r>
          </w:p>
        </w:tc>
      </w:tr>
      <w:tr w:rsidR="00B03921" w:rsidRPr="00B33BE5" w:rsidTr="00016914">
        <w:tc>
          <w:tcPr>
            <w:tcW w:w="3784" w:type="dxa"/>
            <w:tcBorders>
              <w:top w:val="single" w:sz="6" w:space="0" w:color="auto"/>
              <w:left w:val="nil"/>
              <w:bottom w:val="single" w:sz="12" w:space="0" w:color="auto"/>
              <w:right w:val="nil"/>
            </w:tcBorders>
            <w:shd w:val="solid" w:color="FFFFFF" w:fill="auto"/>
          </w:tcPr>
          <w:p w:rsidR="00B03921" w:rsidRPr="00B33BE5" w:rsidRDefault="00B03921" w:rsidP="00016914">
            <w:pPr>
              <w:pStyle w:val="Tabletext"/>
              <w:rPr>
                <w:rFonts w:eastAsiaTheme="minorEastAsia"/>
                <w:b/>
                <w:bCs/>
                <w:lang w:eastAsia="en-AU"/>
              </w:rPr>
            </w:pPr>
            <w:r w:rsidRPr="00B33BE5">
              <w:rPr>
                <w:rFonts w:eastAsiaTheme="minorEastAsia"/>
                <w:b/>
                <w:bCs/>
                <w:lang w:eastAsia="en-AU"/>
              </w:rPr>
              <w:t>Total superannuation liability</w:t>
            </w:r>
          </w:p>
        </w:tc>
        <w:tc>
          <w:tcPr>
            <w:tcW w:w="994" w:type="dxa"/>
            <w:tcBorders>
              <w:top w:val="single" w:sz="6" w:space="0" w:color="auto"/>
              <w:left w:val="nil"/>
              <w:bottom w:val="single" w:sz="12" w:space="0" w:color="auto"/>
              <w:right w:val="nil"/>
            </w:tcBorders>
            <w:shd w:val="solid" w:color="FFFFFF"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29 808.9</w:t>
            </w:r>
          </w:p>
        </w:tc>
        <w:tc>
          <w:tcPr>
            <w:tcW w:w="994" w:type="dxa"/>
            <w:tcBorders>
              <w:top w:val="single" w:sz="6" w:space="0" w:color="auto"/>
              <w:left w:val="nil"/>
              <w:bottom w:val="single" w:sz="12" w:space="0" w:color="auto"/>
              <w:right w:val="nil"/>
            </w:tcBorders>
            <w:shd w:val="solid" w:color="FFFFFF"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28 668.9</w:t>
            </w:r>
          </w:p>
        </w:tc>
        <w:tc>
          <w:tcPr>
            <w:tcW w:w="994" w:type="dxa"/>
            <w:tcBorders>
              <w:top w:val="single" w:sz="6" w:space="0" w:color="auto"/>
              <w:left w:val="nil"/>
              <w:bottom w:val="single" w:sz="12" w:space="0" w:color="auto"/>
              <w:right w:val="nil"/>
            </w:tcBorders>
            <w:shd w:val="solid" w:color="FFFFFF"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28 057.1</w:t>
            </w:r>
          </w:p>
        </w:tc>
        <w:tc>
          <w:tcPr>
            <w:tcW w:w="994" w:type="dxa"/>
            <w:tcBorders>
              <w:top w:val="single" w:sz="6" w:space="0" w:color="auto"/>
              <w:left w:val="nil"/>
              <w:bottom w:val="single" w:sz="12" w:space="0" w:color="auto"/>
              <w:right w:val="nil"/>
            </w:tcBorders>
            <w:shd w:val="solid" w:color="FFFFFF" w:fill="auto"/>
          </w:tcPr>
          <w:p w:rsidR="00B03921" w:rsidRPr="00B33BE5" w:rsidRDefault="00B03921" w:rsidP="00016914">
            <w:pPr>
              <w:pStyle w:val="TableofFigures"/>
              <w:rPr>
                <w:rFonts w:eastAsiaTheme="minorEastAsia"/>
                <w:b/>
                <w:bCs/>
                <w:lang w:eastAsia="en-AU"/>
              </w:rPr>
            </w:pPr>
            <w:r w:rsidRPr="00B33BE5">
              <w:rPr>
                <w:rFonts w:eastAsiaTheme="minorEastAsia"/>
                <w:b/>
                <w:bCs/>
                <w:lang w:eastAsia="en-AU"/>
              </w:rPr>
              <w:t>27 024.8</w:t>
            </w:r>
          </w:p>
        </w:tc>
      </w:tr>
    </w:tbl>
    <w:p w:rsidR="00B03921" w:rsidRDefault="00B03921" w:rsidP="00016914">
      <w:pPr>
        <w:pStyle w:val="Notes"/>
      </w:pPr>
      <w:r>
        <w:t>Notes:</w:t>
      </w:r>
    </w:p>
    <w:p w:rsidR="00B03921" w:rsidRDefault="00B03921" w:rsidP="00016914">
      <w:pPr>
        <w:pStyle w:val="Notes"/>
      </w:pPr>
      <w:r>
        <w:t xml:space="preserve">(a) </w:t>
      </w:r>
      <w:r>
        <w:tab/>
        <w:t>Tax liability represents the present value of tax payments on contributions that are expected to be required to fund accrued benefits.</w:t>
      </w:r>
    </w:p>
    <w:p w:rsidR="00B03921" w:rsidRDefault="00B03921" w:rsidP="00016914">
      <w:pPr>
        <w:pStyle w:val="Notes"/>
      </w:pPr>
      <w:r>
        <w:t xml:space="preserve">(b) </w:t>
      </w:r>
      <w:r>
        <w:tab/>
        <w:t>Other funds include constitutionally protected schemes and the State</w:t>
      </w:r>
      <w:r w:rsidR="00BA5A16">
        <w:t>’</w:t>
      </w:r>
      <w:r>
        <w:t>s share of liabilities of the Defined Benefit Scheme of the Health Super Fund.</w:t>
      </w:r>
    </w:p>
    <w:p w:rsidR="00B03921" w:rsidRDefault="00B03921" w:rsidP="00016914">
      <w:pPr>
        <w:pStyle w:val="Heading2Notes"/>
      </w:pPr>
      <w:bookmarkStart w:id="34" w:name="_Toc418103352"/>
      <w:bookmarkStart w:id="35" w:name="_Toc418191973"/>
      <w:bookmarkStart w:id="36" w:name="_Toc418274865"/>
      <w:bookmarkStart w:id="37" w:name="_Toc418276611"/>
      <w:r>
        <w:t>Note 8:</w:t>
      </w:r>
      <w:r>
        <w:tab/>
        <w:t>Depreciation</w:t>
      </w:r>
      <w:bookmarkEnd w:id="34"/>
      <w:bookmarkEnd w:id="35"/>
      <w:bookmarkEnd w:id="36"/>
      <w:bookmarkEnd w:id="37"/>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49"/>
        <w:gridCol w:w="924"/>
        <w:gridCol w:w="923"/>
        <w:gridCol w:w="938"/>
        <w:gridCol w:w="926"/>
      </w:tblGrid>
      <w:tr w:rsidR="00B03921" w:rsidRPr="005C543F" w:rsidTr="00016914">
        <w:trPr>
          <w:tblHeader/>
        </w:trPr>
        <w:tc>
          <w:tcPr>
            <w:tcW w:w="4049"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2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23"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38"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26"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4049"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Buildings</w:t>
            </w:r>
            <w:r w:rsidRPr="005C543F">
              <w:rPr>
                <w:rFonts w:eastAsiaTheme="minorEastAsia"/>
                <w:vertAlign w:val="superscript"/>
                <w:lang w:eastAsia="en-AU"/>
              </w:rPr>
              <w:t>(a)</w:t>
            </w:r>
          </w:p>
        </w:tc>
        <w:tc>
          <w:tcPr>
            <w:tcW w:w="92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1 028.3</w:t>
            </w:r>
          </w:p>
        </w:tc>
        <w:tc>
          <w:tcPr>
            <w:tcW w:w="923"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1 122.7</w:t>
            </w:r>
          </w:p>
        </w:tc>
        <w:tc>
          <w:tcPr>
            <w:tcW w:w="93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1 152.0</w:t>
            </w:r>
          </w:p>
        </w:tc>
        <w:tc>
          <w:tcPr>
            <w:tcW w:w="926"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1 198.7</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Leasehold buildings</w:t>
            </w:r>
          </w:p>
        </w:tc>
        <w:tc>
          <w:tcPr>
            <w:tcW w:w="92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98.0</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107.9</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139.5</w:t>
            </w:r>
          </w:p>
        </w:tc>
        <w:tc>
          <w:tcPr>
            <w:tcW w:w="92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156.0</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Infrastructure systems</w:t>
            </w:r>
          </w:p>
        </w:tc>
        <w:tc>
          <w:tcPr>
            <w:tcW w:w="92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28.5</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28.8</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29.2</w:t>
            </w:r>
          </w:p>
        </w:tc>
        <w:tc>
          <w:tcPr>
            <w:tcW w:w="92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29.2</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Plant, equipment and vehicles</w:t>
            </w:r>
          </w:p>
        </w:tc>
        <w:tc>
          <w:tcPr>
            <w:tcW w:w="92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656.9</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689.0</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743.2</w:t>
            </w:r>
          </w:p>
        </w:tc>
        <w:tc>
          <w:tcPr>
            <w:tcW w:w="92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804.5</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Roads and road networks</w:t>
            </w:r>
          </w:p>
        </w:tc>
        <w:tc>
          <w:tcPr>
            <w:tcW w:w="92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646.0</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662.1</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694.3</w:t>
            </w:r>
          </w:p>
        </w:tc>
        <w:tc>
          <w:tcPr>
            <w:tcW w:w="92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843.8</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Cultural assets</w:t>
            </w:r>
          </w:p>
        </w:tc>
        <w:tc>
          <w:tcPr>
            <w:tcW w:w="92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25.1</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25.9</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27.5</w:t>
            </w:r>
          </w:p>
        </w:tc>
        <w:tc>
          <w:tcPr>
            <w:tcW w:w="92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30.9</w:t>
            </w:r>
          </w:p>
        </w:tc>
      </w:tr>
      <w:tr w:rsidR="00B03921" w:rsidRPr="005C543F" w:rsidTr="00016914">
        <w:tc>
          <w:tcPr>
            <w:tcW w:w="4049"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Intangible produced assets</w:t>
            </w:r>
            <w:r w:rsidRPr="005C543F">
              <w:rPr>
                <w:rFonts w:eastAsiaTheme="minorEastAsia"/>
                <w:vertAlign w:val="superscript"/>
                <w:lang w:eastAsia="en-AU"/>
              </w:rPr>
              <w:t>(b)</w:t>
            </w:r>
          </w:p>
        </w:tc>
        <w:tc>
          <w:tcPr>
            <w:tcW w:w="92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94.1</w:t>
            </w:r>
          </w:p>
        </w:tc>
        <w:tc>
          <w:tcPr>
            <w:tcW w:w="923"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85.2</w:t>
            </w:r>
          </w:p>
        </w:tc>
        <w:tc>
          <w:tcPr>
            <w:tcW w:w="93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94.6</w:t>
            </w:r>
          </w:p>
        </w:tc>
        <w:tc>
          <w:tcPr>
            <w:tcW w:w="926"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83.1</w:t>
            </w:r>
          </w:p>
        </w:tc>
      </w:tr>
      <w:tr w:rsidR="00B03921" w:rsidRPr="005C543F" w:rsidTr="00016914">
        <w:tc>
          <w:tcPr>
            <w:tcW w:w="404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depreciation</w:t>
            </w:r>
          </w:p>
        </w:tc>
        <w:tc>
          <w:tcPr>
            <w:tcW w:w="92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2 576.9</w:t>
            </w:r>
          </w:p>
        </w:tc>
        <w:tc>
          <w:tcPr>
            <w:tcW w:w="923"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2 721.6</w:t>
            </w:r>
          </w:p>
        </w:tc>
        <w:tc>
          <w:tcPr>
            <w:tcW w:w="93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2 880.2</w:t>
            </w:r>
          </w:p>
        </w:tc>
        <w:tc>
          <w:tcPr>
            <w:tcW w:w="926"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3 146.1</w:t>
            </w:r>
          </w:p>
        </w:tc>
      </w:tr>
    </w:tbl>
    <w:p w:rsidR="00B03921" w:rsidRDefault="00B03921" w:rsidP="00016914">
      <w:pPr>
        <w:pStyle w:val="Notes"/>
      </w:pPr>
      <w:r>
        <w:t>Notes:</w:t>
      </w:r>
    </w:p>
    <w:p w:rsidR="00B03921" w:rsidRDefault="00B03921" w:rsidP="00016914">
      <w:pPr>
        <w:pStyle w:val="Notes"/>
      </w:pPr>
      <w:r>
        <w:t xml:space="preserve">(a) </w:t>
      </w:r>
      <w:r>
        <w:tab/>
        <w:t>Includes estimated depreciation on amounts not yet allocated to projects in 2015</w:t>
      </w:r>
      <w:r>
        <w:noBreakHyphen/>
        <w:t>16 to 2018</w:t>
      </w:r>
      <w:r>
        <w:noBreakHyphen/>
        <w:t>19.</w:t>
      </w:r>
    </w:p>
    <w:p w:rsidR="00B03921" w:rsidRDefault="00B03921" w:rsidP="00016914">
      <w:pPr>
        <w:pStyle w:val="Notes"/>
      </w:pPr>
      <w:r>
        <w:t xml:space="preserve">(b) </w:t>
      </w:r>
      <w:r>
        <w:tab/>
        <w:t>Amortisation of intangible non</w:t>
      </w:r>
      <w:r>
        <w:noBreakHyphen/>
        <w:t>produced assets is included under other gain/(losses) from other economic flows.</w:t>
      </w:r>
    </w:p>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38" w:name="_Toc418103353"/>
      <w:bookmarkStart w:id="39" w:name="_Toc418191974"/>
      <w:bookmarkStart w:id="40" w:name="_Toc418274866"/>
      <w:bookmarkStart w:id="41" w:name="_Toc418276612"/>
      <w:r>
        <w:t>Note 9:</w:t>
      </w:r>
      <w:r>
        <w:tab/>
        <w:t>Interest expense</w:t>
      </w:r>
      <w:bookmarkEnd w:id="38"/>
      <w:bookmarkEnd w:id="39"/>
      <w:bookmarkEnd w:id="40"/>
      <w:bookmarkEnd w:id="41"/>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49"/>
        <w:gridCol w:w="927"/>
        <w:gridCol w:w="928"/>
        <w:gridCol w:w="928"/>
        <w:gridCol w:w="928"/>
      </w:tblGrid>
      <w:tr w:rsidR="00B03921" w:rsidRPr="005C543F" w:rsidTr="00016914">
        <w:trPr>
          <w:tblHeader/>
        </w:trPr>
        <w:tc>
          <w:tcPr>
            <w:tcW w:w="4049"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27"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28"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28"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28"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4049"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on long-term interest-bearing liabilities</w:t>
            </w:r>
          </w:p>
        </w:tc>
        <w:tc>
          <w:tcPr>
            <w:tcW w:w="927"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1 239.6</w:t>
            </w:r>
          </w:p>
        </w:tc>
        <w:tc>
          <w:tcPr>
            <w:tcW w:w="92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1 151.2</w:t>
            </w:r>
          </w:p>
        </w:tc>
        <w:tc>
          <w:tcPr>
            <w:tcW w:w="92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1 179.2</w:t>
            </w:r>
          </w:p>
        </w:tc>
        <w:tc>
          <w:tcPr>
            <w:tcW w:w="92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1 133.5</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Interest on short-term interest-bearing liabilities</w:t>
            </w:r>
          </w:p>
        </w:tc>
        <w:tc>
          <w:tcPr>
            <w:tcW w:w="92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48.2</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47.3</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44.2</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44.0</w:t>
            </w:r>
          </w:p>
        </w:tc>
      </w:tr>
      <w:tr w:rsidR="00B03921" w:rsidRPr="005C543F" w:rsidTr="00016914">
        <w:tc>
          <w:tcPr>
            <w:tcW w:w="404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Finance charges on finance leases</w:t>
            </w:r>
          </w:p>
        </w:tc>
        <w:tc>
          <w:tcPr>
            <w:tcW w:w="927"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770.3</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863.7</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902.5</w:t>
            </w:r>
          </w:p>
        </w:tc>
        <w:tc>
          <w:tcPr>
            <w:tcW w:w="92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903.9</w:t>
            </w:r>
          </w:p>
        </w:tc>
      </w:tr>
      <w:tr w:rsidR="00B03921" w:rsidRPr="005C543F" w:rsidTr="00016914">
        <w:tc>
          <w:tcPr>
            <w:tcW w:w="4049"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Discount interest on payables</w:t>
            </w:r>
          </w:p>
        </w:tc>
        <w:tc>
          <w:tcPr>
            <w:tcW w:w="927"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38.0</w:t>
            </w:r>
          </w:p>
        </w:tc>
        <w:tc>
          <w:tcPr>
            <w:tcW w:w="92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36.8</w:t>
            </w:r>
          </w:p>
        </w:tc>
        <w:tc>
          <w:tcPr>
            <w:tcW w:w="92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36.8</w:t>
            </w:r>
          </w:p>
        </w:tc>
        <w:tc>
          <w:tcPr>
            <w:tcW w:w="92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36.8</w:t>
            </w:r>
          </w:p>
        </w:tc>
      </w:tr>
      <w:tr w:rsidR="00B03921" w:rsidRPr="005C543F" w:rsidTr="00016914">
        <w:tc>
          <w:tcPr>
            <w:tcW w:w="404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interest expense</w:t>
            </w:r>
          </w:p>
        </w:tc>
        <w:tc>
          <w:tcPr>
            <w:tcW w:w="927"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2 096.1</w:t>
            </w:r>
          </w:p>
        </w:tc>
        <w:tc>
          <w:tcPr>
            <w:tcW w:w="92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2 099.1</w:t>
            </w:r>
          </w:p>
        </w:tc>
        <w:tc>
          <w:tcPr>
            <w:tcW w:w="92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2 162.8</w:t>
            </w:r>
          </w:p>
        </w:tc>
        <w:tc>
          <w:tcPr>
            <w:tcW w:w="92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2 118.3</w:t>
            </w:r>
          </w:p>
        </w:tc>
      </w:tr>
    </w:tbl>
    <w:p w:rsidR="00B03921" w:rsidRDefault="00B03921" w:rsidP="00016914">
      <w:pPr>
        <w:pStyle w:val="million"/>
      </w:pPr>
      <w:r>
        <w:t xml:space="preserve"> </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42" w:name="_Toc418103354"/>
      <w:bookmarkStart w:id="43" w:name="_Toc418191975"/>
      <w:bookmarkStart w:id="44" w:name="_Toc418274867"/>
      <w:bookmarkStart w:id="45" w:name="_Toc418276613"/>
      <w:r>
        <w:t>Note 10:</w:t>
      </w:r>
      <w:r>
        <w:tab/>
        <w:t>Grant expense</w:t>
      </w:r>
      <w:bookmarkEnd w:id="42"/>
      <w:bookmarkEnd w:id="43"/>
      <w:bookmarkEnd w:id="44"/>
      <w:bookmarkEnd w:id="45"/>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AD7F83" w:rsidRPr="005C543F" w:rsidTr="008224DF">
        <w:tc>
          <w:tcPr>
            <w:tcW w:w="7760" w:type="dxa"/>
            <w:gridSpan w:val="5"/>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Current grants and other transfers expense</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Commonwealth Government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160.0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143.8</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Local government (including grants for </w:t>
            </w:r>
            <w:r w:rsidR="008E3FEB">
              <w:rPr>
                <w:rFonts w:eastAsiaTheme="minorEastAsia"/>
                <w:lang w:eastAsia="en-AU"/>
              </w:rPr>
              <w:br/>
            </w:r>
            <w:r w:rsidRPr="005C543F">
              <w:rPr>
                <w:rFonts w:eastAsiaTheme="minorEastAsia"/>
                <w:lang w:eastAsia="en-AU"/>
              </w:rPr>
              <w:t>on-passing)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858.7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772.5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763.3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784.4</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Private sector and not-for-profit for </w:t>
            </w:r>
            <w:r w:rsidR="008E3FEB">
              <w:rPr>
                <w:rFonts w:eastAsiaTheme="minorEastAsia"/>
                <w:lang w:eastAsia="en-AU"/>
              </w:rPr>
              <w:br/>
            </w:r>
            <w:r w:rsidRPr="005C543F">
              <w:rPr>
                <w:rFonts w:eastAsiaTheme="minorEastAsia"/>
                <w:lang w:eastAsia="en-AU"/>
              </w:rPr>
              <w:t>on-passing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2 843.0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3 055.6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3 229.5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3 383.4</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private sector and not-for-profit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1 872.6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2 105.2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2 274.2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2 384.7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 within the Victorian Government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2 843.4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2 941.8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3 007.0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3 010.8</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 to other state governments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r>
      <w:tr w:rsidR="00B03921" w:rsidRPr="005C543F" w:rsidTr="00016914">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current grants and other transfers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8 618.6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9 046.4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9 433.5</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9 718.4</w:t>
            </w:r>
          </w:p>
        </w:tc>
      </w:tr>
      <w:tr w:rsidR="00AD7F83" w:rsidRPr="005C543F" w:rsidTr="008224DF">
        <w:tc>
          <w:tcPr>
            <w:tcW w:w="7760" w:type="dxa"/>
            <w:gridSpan w:val="5"/>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Capital grants expense</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Commonwealth Government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Local government (including grants for </w:t>
            </w:r>
            <w:r w:rsidR="008E3FEB">
              <w:rPr>
                <w:rFonts w:eastAsiaTheme="minorEastAsia"/>
                <w:lang w:eastAsia="en-AU"/>
              </w:rPr>
              <w:br/>
            </w:r>
            <w:r w:rsidRPr="005C543F">
              <w:rPr>
                <w:rFonts w:eastAsiaTheme="minorEastAsia"/>
                <w:lang w:eastAsia="en-AU"/>
              </w:rPr>
              <w:t>on-passing)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53.2</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Private sector and not-for-profit on-passing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private sector and not-for-profit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4.1</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Grants within the Victorian Government</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grants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w:t>
            </w:r>
          </w:p>
        </w:tc>
      </w:tr>
      <w:tr w:rsidR="00B03921" w:rsidRPr="005C543F" w:rsidTr="00016914">
        <w:tc>
          <w:tcPr>
            <w:tcW w:w="378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capital grants and other transfers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68.3</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102.2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113.8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131.0</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grants and other transfers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8 686.9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9 148.6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9 547.3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9 849.3</w:t>
            </w:r>
          </w:p>
        </w:tc>
      </w:tr>
    </w:tbl>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46" w:name="_Toc418103355"/>
      <w:bookmarkStart w:id="47" w:name="_Toc418191976"/>
      <w:bookmarkStart w:id="48" w:name="_Toc418274868"/>
      <w:bookmarkStart w:id="49" w:name="_Toc418276614"/>
      <w:r>
        <w:t>Note 11:</w:t>
      </w:r>
      <w:r>
        <w:tab/>
        <w:t>Other operating expenses</w:t>
      </w:r>
      <w:bookmarkEnd w:id="46"/>
      <w:bookmarkEnd w:id="47"/>
      <w:bookmarkEnd w:id="48"/>
      <w:bookmarkEnd w:id="49"/>
    </w:p>
    <w:p w:rsidR="00B03921" w:rsidRPr="005C543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Purchase of supplies and consumables</w:t>
            </w:r>
            <w:r w:rsidRPr="005C543F">
              <w:rPr>
                <w:rFonts w:eastAsiaTheme="minorEastAsia"/>
                <w:vertAlign w:val="superscript"/>
                <w:lang w:eastAsia="en-AU"/>
              </w:rPr>
              <w:t>(a)</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7 519.7</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7 908.2</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8 333.0</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8 612.6</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Cost of goods sold</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17.8</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Finance expenses and fees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21.5</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Purchase of services</w:t>
            </w:r>
            <w:r w:rsidRPr="005C543F">
              <w:rPr>
                <w:rFonts w:eastAsiaTheme="minorEastAsia"/>
                <w:vertAlign w:val="superscript"/>
                <w:lang w:eastAsia="en-AU"/>
              </w:rPr>
              <w:t>(a)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8 840.9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8 375.8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8 548.6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8 537.7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Maintenance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673.8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655.9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665.2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677.6</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Operating lease payments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292.8</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696.1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726.2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757.6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785.3</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operating expenses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18 058.3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17 993.3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18 635.8</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18 945.4</w:t>
            </w:r>
          </w:p>
        </w:tc>
      </w:tr>
    </w:tbl>
    <w:p w:rsidR="00B03921" w:rsidRDefault="00B03921" w:rsidP="00016914">
      <w:pPr>
        <w:pStyle w:val="Notes"/>
      </w:pPr>
      <w:r>
        <w:t>Note:</w:t>
      </w:r>
    </w:p>
    <w:p w:rsidR="00B03921" w:rsidRDefault="00B03921" w:rsidP="00016914">
      <w:pPr>
        <w:pStyle w:val="Notes"/>
      </w:pPr>
      <w:r>
        <w:t xml:space="preserve">(a) </w:t>
      </w:r>
      <w:r>
        <w:tab/>
        <w:t>Further disclosure on other operating expenses by department is available on the Department of Treasury and Finance</w:t>
      </w:r>
      <w:r w:rsidR="00BA5A16">
        <w:t>’</w:t>
      </w:r>
      <w:r>
        <w:t>s website. This further disclosure is not subject to review by the Victorian Auditor</w:t>
      </w:r>
      <w:r>
        <w:noBreakHyphen/>
        <w:t>General</w:t>
      </w:r>
      <w:r w:rsidR="00BA5A16">
        <w:t>’</w:t>
      </w:r>
      <w:r>
        <w:t>s Office.</w:t>
      </w: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50" w:name="_Toc418103356"/>
      <w:bookmarkStart w:id="51" w:name="_Toc418191977"/>
      <w:bookmarkStart w:id="52" w:name="_Toc418274869"/>
      <w:bookmarkStart w:id="53" w:name="_Toc418276615"/>
      <w:r>
        <w:t>Note 1</w:t>
      </w:r>
      <w:r w:rsidRPr="00191148">
        <w:t>2</w:t>
      </w:r>
      <w:r>
        <w:t>:</w:t>
      </w:r>
      <w:r>
        <w:tab/>
      </w:r>
      <w:r w:rsidRPr="00191148">
        <w:t xml:space="preserve">Expenses by government purpose </w:t>
      </w:r>
      <w:r>
        <w:t>and by department</w:t>
      </w:r>
      <w:bookmarkEnd w:id="50"/>
      <w:bookmarkEnd w:id="51"/>
      <w:bookmarkEnd w:id="52"/>
      <w:bookmarkEnd w:id="53"/>
    </w:p>
    <w:p w:rsidR="00B03921" w:rsidRDefault="00B03921" w:rsidP="00016914">
      <w:pPr>
        <w:pStyle w:val="Tableheading"/>
      </w:pPr>
      <w:r w:rsidRPr="00B4445A">
        <w:t>(a)</w:t>
      </w:r>
      <w:r>
        <w:tab/>
      </w:r>
      <w:r w:rsidRPr="00B4445A">
        <w:t>Expenses by gover</w:t>
      </w:r>
      <w:r>
        <w:t>nment purpose classification</w:t>
      </w:r>
      <w:r w:rsidRPr="00191148">
        <w:rPr>
          <w:vertAlign w:val="superscript"/>
        </w:rPr>
        <w:t>(a)</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AD7F83" w:rsidRPr="005C543F" w:rsidTr="008224DF">
        <w:trPr>
          <w:trHeight w:val="503"/>
          <w:tblHeader/>
        </w:trPr>
        <w:tc>
          <w:tcPr>
            <w:tcW w:w="3784" w:type="dxa"/>
            <w:tcBorders>
              <w:top w:val="single" w:sz="6" w:space="0" w:color="auto"/>
              <w:left w:val="single" w:sz="6" w:space="0" w:color="auto"/>
              <w:right w:val="nil"/>
            </w:tcBorders>
            <w:shd w:val="clear" w:color="000000" w:fill="000000"/>
          </w:tcPr>
          <w:p w:rsidR="00AD7F83" w:rsidRPr="005C543F" w:rsidRDefault="00AD7F83"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2015-16</w:t>
            </w:r>
            <w:r>
              <w:rPr>
                <w:rFonts w:eastAsiaTheme="minorEastAsia"/>
                <w:color w:val="FFFFFF"/>
                <w:lang w:eastAsia="en-AU"/>
              </w:rPr>
              <w:t xml:space="preserve"> </w:t>
            </w:r>
            <w:r w:rsidRPr="005C543F">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2016-17</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2017-18</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2018-19</w:t>
            </w:r>
            <w:r>
              <w:rPr>
                <w:rFonts w:eastAsiaTheme="minorEastAsia"/>
                <w:color w:val="FFFFFF"/>
                <w:lang w:eastAsia="en-AU"/>
              </w:rPr>
              <w:t xml:space="preserve"> </w:t>
            </w:r>
            <w:r w:rsidRPr="005C543F">
              <w:rPr>
                <w:rFonts w:eastAsiaTheme="minorEastAsia"/>
                <w:color w:val="FFFFFF"/>
                <w:lang w:eastAsia="en-AU"/>
              </w:rPr>
              <w:t>estimate</w:t>
            </w:r>
          </w:p>
        </w:tc>
      </w:tr>
      <w:tr w:rsidR="00AD7F83" w:rsidRPr="005C543F" w:rsidTr="008224DF">
        <w:tc>
          <w:tcPr>
            <w:tcW w:w="7760" w:type="dxa"/>
            <w:gridSpan w:val="5"/>
            <w:tcBorders>
              <w:top w:val="single" w:sz="6" w:space="0" w:color="auto"/>
              <w:left w:val="nil"/>
              <w:bottom w:val="nil"/>
              <w:right w:val="nil"/>
            </w:tcBorders>
          </w:tcPr>
          <w:p w:rsidR="00AD7F83" w:rsidRPr="005C543F" w:rsidRDefault="00AD7F83" w:rsidP="00AD7F83">
            <w:pPr>
              <w:pStyle w:val="Tabletext"/>
              <w:rPr>
                <w:rFonts w:eastAsiaTheme="minorEastAsia"/>
                <w:b/>
                <w:lang w:eastAsia="en-AU"/>
              </w:rPr>
            </w:pPr>
            <w:r w:rsidRPr="005C543F">
              <w:rPr>
                <w:rFonts w:eastAsiaTheme="minorEastAsia"/>
                <w:b/>
                <w:bCs/>
                <w:lang w:eastAsia="en-AU"/>
              </w:rPr>
              <w:t>Expenses</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General public services</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1 150.0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1 349.0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1 900.4</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2 383.5</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Public order and safety</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6 128.3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6 160.2</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6 404.3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6 593.4</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Education</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14 041.7</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14 541.6</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15 083.0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15 297.4</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Health</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15 264.5</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15 738.0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16 261.8</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16 767.4</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Social security and welfare</w:t>
            </w:r>
            <w:r>
              <w:rPr>
                <w:rFonts w:eastAsiaTheme="minorEastAsia"/>
                <w:vertAlign w:val="superscript"/>
                <w:lang w:eastAsia="en-AU"/>
              </w:rPr>
              <w:t>(b)</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4 345.2</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3 988.0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4 340.5</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4 745.7</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Housing and community amenities</w:t>
            </w:r>
            <w:r>
              <w:rPr>
                <w:rFonts w:eastAsiaTheme="minorEastAsia"/>
                <w:vertAlign w:val="superscript"/>
                <w:lang w:eastAsia="en-AU"/>
              </w:rPr>
              <w:t>(c)</w:t>
            </w:r>
            <w:r w:rsidRPr="005C543F">
              <w:rPr>
                <w:rFonts w:eastAsiaTheme="minorEastAsia"/>
                <w:lang w:eastAsia="en-AU"/>
              </w:rPr>
              <w:t xml:space="preserve"> </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3 169.7</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2 922.5</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2 837.3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2 741.0</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Recreation and culture</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647.4</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638.0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618.7</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618.2</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Fuel and energy</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184.6</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189.3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192.7</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123.3</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Agriculture, forestry, fishing and hunting</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375.9</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345.8</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344.0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340.6</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Transport and communications</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6 312.8</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6 473.3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6 483.9</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6 610.5</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Other economic affairs</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819.6</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739.0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732.4</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650.0</w:t>
            </w:r>
          </w:p>
        </w:tc>
      </w:tr>
      <w:tr w:rsidR="00B03921" w:rsidRPr="005C543F" w:rsidTr="00016914">
        <w:tc>
          <w:tcPr>
            <w:tcW w:w="3784" w:type="dxa"/>
            <w:tcBorders>
              <w:top w:val="nil"/>
              <w:left w:val="nil"/>
              <w:bottom w:val="single" w:sz="6" w:space="0" w:color="auto"/>
              <w:right w:val="nil"/>
            </w:tcBorders>
          </w:tcPr>
          <w:p w:rsidR="00B03921" w:rsidRPr="005C543F" w:rsidRDefault="00B03921" w:rsidP="00016914">
            <w:pPr>
              <w:pStyle w:val="Tabletext"/>
              <w:rPr>
                <w:rFonts w:eastAsiaTheme="minorEastAsia"/>
                <w:vertAlign w:val="superscript"/>
                <w:lang w:eastAsia="en-AU"/>
              </w:rPr>
            </w:pPr>
            <w:r>
              <w:rPr>
                <w:rFonts w:eastAsiaTheme="minorEastAsia"/>
                <w:lang w:eastAsia="en-AU"/>
              </w:rPr>
              <w:t>Other purposes</w:t>
            </w:r>
            <w:r>
              <w:rPr>
                <w:rFonts w:eastAsiaTheme="minorEastAsia"/>
                <w:vertAlign w:val="superscript"/>
                <w:lang w:eastAsia="en-AU"/>
              </w:rPr>
              <w:t>(d</w:t>
            </w:r>
            <w:r w:rsidRPr="005C543F">
              <w:rPr>
                <w:rFonts w:eastAsiaTheme="minorEastAsia"/>
                <w:vertAlign w:val="superscript"/>
                <w:lang w:eastAsia="en-AU"/>
              </w:rPr>
              <w:t>)</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1 870.3</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2 412.7</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2 472.0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2 479.5</w:t>
            </w:r>
          </w:p>
        </w:tc>
      </w:tr>
      <w:tr w:rsidR="00B03921" w:rsidRPr="005C543F" w:rsidTr="00016914">
        <w:tc>
          <w:tcPr>
            <w:tcW w:w="378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expenses by go</w:t>
            </w:r>
            <w:r w:rsidR="008E3FEB">
              <w:rPr>
                <w:rFonts w:eastAsiaTheme="minorEastAsia"/>
                <w:b/>
                <w:bCs/>
                <w:lang w:eastAsia="en-AU"/>
              </w:rPr>
              <w:t>vernment purpose classification</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54 309.8</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55 497.4</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57 671.0</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59 350.7</w:t>
            </w:r>
          </w:p>
        </w:tc>
      </w:tr>
    </w:tbl>
    <w:p w:rsidR="00B03921" w:rsidRDefault="00B03921" w:rsidP="00016914">
      <w:pPr>
        <w:pStyle w:val="Notes"/>
      </w:pPr>
      <w:r>
        <w:t>Notes:</w:t>
      </w:r>
    </w:p>
    <w:p w:rsidR="00B03921" w:rsidRDefault="00B03921" w:rsidP="00016914">
      <w:pPr>
        <w:pStyle w:val="Notes"/>
      </w:pPr>
      <w:r>
        <w:t xml:space="preserve">(a) </w:t>
      </w:r>
      <w:r>
        <w:tab/>
        <w:t xml:space="preserve">Note 41 of the </w:t>
      </w:r>
      <w:r w:rsidRPr="00191148">
        <w:rPr>
          <w:i w:val="0"/>
        </w:rPr>
        <w:t>2013</w:t>
      </w:r>
      <w:r>
        <w:rPr>
          <w:i w:val="0"/>
        </w:rPr>
        <w:noBreakHyphen/>
      </w:r>
      <w:r w:rsidRPr="00191148">
        <w:rPr>
          <w:i w:val="0"/>
        </w:rPr>
        <w:t>14 Financial Report</w:t>
      </w:r>
      <w:r>
        <w:t xml:space="preserve"> </w:t>
      </w:r>
      <w:r w:rsidRPr="00B13C1E">
        <w:t>for the State of Victoria</w:t>
      </w:r>
      <w:r w:rsidRPr="003420D5">
        <w:rPr>
          <w:i w:val="0"/>
        </w:rPr>
        <w:t xml:space="preserve"> </w:t>
      </w:r>
      <w:r>
        <w:t>provides definitions and descriptions of government purpose classifications.</w:t>
      </w:r>
    </w:p>
    <w:p w:rsidR="00B03921" w:rsidRDefault="00B03921" w:rsidP="00016914">
      <w:pPr>
        <w:pStyle w:val="Notes"/>
      </w:pPr>
      <w:r>
        <w:t>(b)</w:t>
      </w:r>
      <w:r>
        <w:tab/>
        <w:t xml:space="preserve">From July 2016, the Commonwealth </w:t>
      </w:r>
      <w:r w:rsidRPr="009F6FAD">
        <w:t xml:space="preserve">will be responsible for home support services for people aged over 65 years. Health expenditure is adjusted from 2016-17 to reflect this transfer. </w:t>
      </w:r>
      <w:r>
        <w:t>The State</w:t>
      </w:r>
      <w:r w:rsidR="00BA5A16">
        <w:t>’</w:t>
      </w:r>
      <w:r>
        <w:t>s contribution to the National Disability Insurance Scheme commences from 2016-17 and increases thereafter as more clients transition into the scheme.</w:t>
      </w:r>
    </w:p>
    <w:p w:rsidR="00B03921" w:rsidRDefault="00B03921" w:rsidP="00016914">
      <w:pPr>
        <w:pStyle w:val="Notes"/>
      </w:pPr>
      <w:r>
        <w:t>(c)</w:t>
      </w:r>
      <w:r>
        <w:tab/>
      </w:r>
      <w:r w:rsidRPr="009F6FAD">
        <w:t>The downward movement from 2015-16 relates to sun setting initiatives and movements in funding across years for various initiatives.</w:t>
      </w:r>
    </w:p>
    <w:p w:rsidR="00B03921" w:rsidRDefault="00B03921" w:rsidP="00016914">
      <w:pPr>
        <w:pStyle w:val="Notes"/>
      </w:pPr>
      <w:r>
        <w:t xml:space="preserve">(d) </w:t>
      </w:r>
      <w:r>
        <w:tab/>
        <w:t>Other purposes include provision available to be allocated to specific departments and projects, future demand growth, departmental underspending and items not yet formalised at the time of publication.</w:t>
      </w: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Contd"/>
      </w:pPr>
      <w:r>
        <w:t>Note 1</w:t>
      </w:r>
      <w:r w:rsidRPr="00191148">
        <w:t>2</w:t>
      </w:r>
      <w:r>
        <w:t>:</w:t>
      </w:r>
      <w:r>
        <w:tab/>
      </w:r>
      <w:r w:rsidRPr="00191148">
        <w:t xml:space="preserve">Expenses by government purpose </w:t>
      </w:r>
      <w:r>
        <w:t xml:space="preserve">and by department </w:t>
      </w:r>
      <w:r w:rsidRPr="00211203">
        <w:rPr>
          <w:i/>
        </w:rPr>
        <w:t>(continued)</w:t>
      </w:r>
    </w:p>
    <w:p w:rsidR="00B03921" w:rsidRDefault="00B03921" w:rsidP="00016914">
      <w:pPr>
        <w:pStyle w:val="Tableheading"/>
      </w:pPr>
      <w:r>
        <w:t>(b)</w:t>
      </w:r>
      <w:r>
        <w:tab/>
        <w:t>Total expenses by department</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825"/>
        <w:gridCol w:w="112"/>
        <w:gridCol w:w="841"/>
        <w:gridCol w:w="994"/>
        <w:gridCol w:w="994"/>
        <w:gridCol w:w="994"/>
      </w:tblGrid>
      <w:tr w:rsidR="00AD7F83" w:rsidRPr="005C543F" w:rsidTr="008224DF">
        <w:trPr>
          <w:trHeight w:val="503"/>
          <w:tblHeader/>
        </w:trPr>
        <w:tc>
          <w:tcPr>
            <w:tcW w:w="3825" w:type="dxa"/>
            <w:tcBorders>
              <w:top w:val="single" w:sz="6" w:space="0" w:color="auto"/>
              <w:left w:val="single" w:sz="6" w:space="0" w:color="auto"/>
              <w:right w:val="nil"/>
            </w:tcBorders>
            <w:shd w:val="clear" w:color="000000" w:fill="000000"/>
          </w:tcPr>
          <w:p w:rsidR="00AD7F83" w:rsidRPr="005C543F" w:rsidRDefault="00AD7F83" w:rsidP="00016914">
            <w:pPr>
              <w:pStyle w:val="Tabletext"/>
              <w:rPr>
                <w:rFonts w:eastAsiaTheme="minorEastAsia"/>
                <w:lang w:eastAsia="en-AU"/>
              </w:rPr>
            </w:pPr>
          </w:p>
        </w:tc>
        <w:tc>
          <w:tcPr>
            <w:tcW w:w="953" w:type="dxa"/>
            <w:gridSpan w:val="2"/>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2015-16</w:t>
            </w:r>
            <w:r>
              <w:rPr>
                <w:rFonts w:eastAsiaTheme="minorEastAsia"/>
                <w:color w:val="FFFFFF"/>
                <w:lang w:eastAsia="en-AU"/>
              </w:rPr>
              <w:t xml:space="preserve"> </w:t>
            </w:r>
            <w:r w:rsidRPr="005C543F">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2016-17</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2017-18</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2018-19</w:t>
            </w:r>
            <w:r>
              <w:rPr>
                <w:rFonts w:eastAsiaTheme="minorEastAsia"/>
                <w:color w:val="FFFFFF"/>
                <w:lang w:eastAsia="en-AU"/>
              </w:rPr>
              <w:t xml:space="preserve"> </w:t>
            </w:r>
            <w:r w:rsidRPr="005C543F">
              <w:rPr>
                <w:rFonts w:eastAsiaTheme="minorEastAsia"/>
                <w:color w:val="FFFFFF"/>
                <w:lang w:eastAsia="en-AU"/>
              </w:rPr>
              <w:t>estimate</w:t>
            </w:r>
          </w:p>
        </w:tc>
      </w:tr>
      <w:tr w:rsidR="00AD7F83" w:rsidRPr="005C543F" w:rsidTr="008224DF">
        <w:tc>
          <w:tcPr>
            <w:tcW w:w="7760" w:type="dxa"/>
            <w:gridSpan w:val="6"/>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lang w:eastAsia="en-AU"/>
              </w:rPr>
            </w:pPr>
            <w:r w:rsidRPr="005C543F">
              <w:rPr>
                <w:rFonts w:eastAsiaTheme="minorEastAsia"/>
                <w:b/>
                <w:bCs/>
                <w:lang w:eastAsia="en-AU"/>
              </w:rPr>
              <w:t xml:space="preserve">Expenses </w:t>
            </w:r>
            <w:r w:rsidRPr="005C543F">
              <w:rPr>
                <w:rFonts w:eastAsiaTheme="minorEastAsia" w:cs="Calibri"/>
                <w:b/>
                <w:bCs/>
                <w:color w:val="000000"/>
                <w:lang w:eastAsia="en-AU"/>
              </w:rPr>
              <w:t>from transactions</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Economic Development, Jobs, Transport and Resources</w:t>
            </w:r>
          </w:p>
        </w:tc>
        <w:tc>
          <w:tcPr>
            <w:tcW w:w="953" w:type="dxa"/>
            <w:gridSpan w:val="2"/>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8 088.0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8 136.4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8 181.0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8 168.4</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Education and Training</w:t>
            </w:r>
          </w:p>
        </w:tc>
        <w:tc>
          <w:tcPr>
            <w:tcW w:w="953" w:type="dxa"/>
            <w:gridSpan w:val="2"/>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15 549.7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15 757.4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16 176.6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16 334.5</w:t>
            </w:r>
          </w:p>
        </w:tc>
      </w:tr>
      <w:tr w:rsidR="00B03921" w:rsidRPr="005C543F" w:rsidTr="00016914">
        <w:tc>
          <w:tcPr>
            <w:tcW w:w="3825" w:type="dxa"/>
            <w:tcBorders>
              <w:top w:val="nil"/>
              <w:left w:val="nil"/>
              <w:bottom w:val="nil"/>
              <w:right w:val="nil"/>
            </w:tcBorders>
            <w:shd w:val="solid" w:color="FFFFFF" w:fill="auto"/>
          </w:tcPr>
          <w:p w:rsidR="00B03921" w:rsidRPr="005B0446" w:rsidRDefault="00B03921" w:rsidP="00016914">
            <w:pPr>
              <w:pStyle w:val="Tabletext"/>
              <w:rPr>
                <w:rFonts w:eastAsiaTheme="minorEastAsia"/>
                <w:lang w:eastAsia="en-AU"/>
              </w:rPr>
            </w:pPr>
            <w:r w:rsidRPr="005B0446">
              <w:rPr>
                <w:rFonts w:eastAsiaTheme="minorEastAsia"/>
                <w:lang w:eastAsia="en-AU"/>
              </w:rPr>
              <w:t>Enviro</w:t>
            </w:r>
            <w:r>
              <w:rPr>
                <w:rFonts w:eastAsiaTheme="minorEastAsia"/>
                <w:lang w:eastAsia="en-AU"/>
              </w:rPr>
              <w:t>nment, Land, Water and Planning</w:t>
            </w:r>
            <w:r w:rsidRPr="005B0446">
              <w:rPr>
                <w:rFonts w:eastAsiaTheme="minorEastAsia"/>
                <w:vertAlign w:val="superscript"/>
                <w:lang w:eastAsia="en-AU"/>
              </w:rPr>
              <w:t>(a)</w:t>
            </w:r>
            <w:r w:rsidRPr="005B0446">
              <w:rPr>
                <w:rFonts w:eastAsiaTheme="minorEastAsia"/>
                <w:lang w:eastAsia="en-AU"/>
              </w:rPr>
              <w:t xml:space="preserve"> </w:t>
            </w:r>
          </w:p>
        </w:tc>
        <w:tc>
          <w:tcPr>
            <w:tcW w:w="953" w:type="dxa"/>
            <w:gridSpan w:val="2"/>
            <w:tcBorders>
              <w:top w:val="nil"/>
              <w:left w:val="nil"/>
              <w:bottom w:val="nil"/>
              <w:right w:val="nil"/>
            </w:tcBorders>
          </w:tcPr>
          <w:p w:rsidR="00B03921" w:rsidRPr="005B0446" w:rsidRDefault="00B03921" w:rsidP="00016914">
            <w:pPr>
              <w:pStyle w:val="TableofFigures"/>
              <w:rPr>
                <w:rFonts w:eastAsiaTheme="minorEastAsia"/>
                <w:lang w:eastAsia="en-AU"/>
              </w:rPr>
            </w:pPr>
            <w:r w:rsidRPr="005B0446">
              <w:rPr>
                <w:rFonts w:eastAsiaTheme="minorEastAsia"/>
                <w:lang w:eastAsia="en-AU"/>
              </w:rPr>
              <w:t>2 946.5</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2 632.6</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2 523.0</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2 406.1</w:t>
            </w:r>
          </w:p>
        </w:tc>
      </w:tr>
      <w:tr w:rsidR="00B03921" w:rsidRPr="005C543F" w:rsidTr="00016914">
        <w:tc>
          <w:tcPr>
            <w:tcW w:w="3825" w:type="dxa"/>
            <w:tcBorders>
              <w:top w:val="nil"/>
              <w:left w:val="nil"/>
              <w:bottom w:val="nil"/>
              <w:right w:val="nil"/>
            </w:tcBorders>
            <w:shd w:val="solid" w:color="FFFFFF" w:fill="auto"/>
          </w:tcPr>
          <w:p w:rsidR="00B03921" w:rsidRPr="005B0446" w:rsidRDefault="00B03921" w:rsidP="00016914">
            <w:pPr>
              <w:pStyle w:val="Tabletext"/>
              <w:rPr>
                <w:rFonts w:eastAsiaTheme="minorEastAsia"/>
                <w:vertAlign w:val="superscript"/>
                <w:lang w:eastAsia="en-AU"/>
              </w:rPr>
            </w:pPr>
            <w:r>
              <w:rPr>
                <w:rFonts w:eastAsiaTheme="minorEastAsia"/>
                <w:lang w:eastAsia="en-AU"/>
              </w:rPr>
              <w:t>Health and Human Services</w:t>
            </w:r>
            <w:r w:rsidRPr="005B0446">
              <w:rPr>
                <w:rFonts w:eastAsiaTheme="minorEastAsia"/>
                <w:vertAlign w:val="superscript"/>
                <w:lang w:eastAsia="en-AU"/>
              </w:rPr>
              <w:t>(b)</w:t>
            </w:r>
          </w:p>
        </w:tc>
        <w:tc>
          <w:tcPr>
            <w:tcW w:w="953" w:type="dxa"/>
            <w:gridSpan w:val="2"/>
            <w:tcBorders>
              <w:top w:val="nil"/>
              <w:left w:val="nil"/>
              <w:bottom w:val="nil"/>
              <w:right w:val="nil"/>
            </w:tcBorders>
          </w:tcPr>
          <w:p w:rsidR="00B03921" w:rsidRPr="005B0446" w:rsidRDefault="00B03921" w:rsidP="00016914">
            <w:pPr>
              <w:pStyle w:val="TableofFigures"/>
              <w:rPr>
                <w:rFonts w:eastAsiaTheme="minorEastAsia"/>
                <w:lang w:eastAsia="en-AU"/>
              </w:rPr>
            </w:pPr>
            <w:r w:rsidRPr="005B0446">
              <w:rPr>
                <w:rFonts w:eastAsiaTheme="minorEastAsia"/>
                <w:lang w:eastAsia="en-AU"/>
              </w:rPr>
              <w:t>21 362.5</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21 290.6</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21 642.4</w:t>
            </w:r>
          </w:p>
        </w:tc>
        <w:tc>
          <w:tcPr>
            <w:tcW w:w="994" w:type="dxa"/>
            <w:tcBorders>
              <w:top w:val="nil"/>
              <w:left w:val="nil"/>
              <w:bottom w:val="nil"/>
              <w:right w:val="nil"/>
            </w:tcBorders>
            <w:shd w:val="solid" w:color="FFFFFF" w:fill="auto"/>
          </w:tcPr>
          <w:p w:rsidR="00B03921" w:rsidRPr="005B0446" w:rsidRDefault="00B03921" w:rsidP="00016914">
            <w:pPr>
              <w:pStyle w:val="TableofFigures"/>
              <w:rPr>
                <w:rFonts w:eastAsiaTheme="minorEastAsia"/>
                <w:lang w:eastAsia="en-AU"/>
              </w:rPr>
            </w:pPr>
            <w:r w:rsidRPr="005B0446">
              <w:rPr>
                <w:rFonts w:eastAsiaTheme="minorEastAsia"/>
                <w:lang w:eastAsia="en-AU"/>
              </w:rPr>
              <w:t>21 930.3</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Justice and Regulation</w:t>
            </w:r>
          </w:p>
        </w:tc>
        <w:tc>
          <w:tcPr>
            <w:tcW w:w="953" w:type="dxa"/>
            <w:gridSpan w:val="2"/>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5 595.7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5 641.4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5 854.1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6 010.0</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Premier and Cabinet</w:t>
            </w:r>
          </w:p>
        </w:tc>
        <w:tc>
          <w:tcPr>
            <w:tcW w:w="953" w:type="dxa"/>
            <w:gridSpan w:val="2"/>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433.3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405.3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366.2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368.6</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Treasury and Finance </w:t>
            </w:r>
          </w:p>
        </w:tc>
        <w:tc>
          <w:tcPr>
            <w:tcW w:w="953"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6 653.5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6 647.5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6 677.2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6 728.6</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Parliament</w:t>
            </w:r>
          </w:p>
        </w:tc>
        <w:tc>
          <w:tcPr>
            <w:tcW w:w="953"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186.7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185.1</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Courts</w:t>
            </w:r>
          </w:p>
        </w:tc>
        <w:tc>
          <w:tcPr>
            <w:tcW w:w="953"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527.7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537.3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545.4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570.6</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Regulatory bodies</w:t>
            </w:r>
            <w:r>
              <w:rPr>
                <w:rFonts w:eastAsiaTheme="minorEastAsia"/>
                <w:lang w:eastAsia="en-AU"/>
              </w:rPr>
              <w:t xml:space="preserve"> and other part funded agencies</w:t>
            </w:r>
            <w:r w:rsidRPr="005C543F">
              <w:rPr>
                <w:rFonts w:eastAsiaTheme="minorEastAsia"/>
                <w:vertAlign w:val="superscript"/>
                <w:lang w:eastAsia="en-AU"/>
              </w:rPr>
              <w:t>(</w:t>
            </w:r>
            <w:r>
              <w:rPr>
                <w:rFonts w:eastAsiaTheme="minorEastAsia"/>
                <w:vertAlign w:val="superscript"/>
                <w:lang w:eastAsia="en-AU"/>
              </w:rPr>
              <w:t>c</w:t>
            </w:r>
            <w:r w:rsidRPr="005C543F">
              <w:rPr>
                <w:rFonts w:eastAsiaTheme="minorEastAsia"/>
                <w:vertAlign w:val="superscript"/>
                <w:lang w:eastAsia="en-AU"/>
              </w:rPr>
              <w:t>)</w:t>
            </w:r>
          </w:p>
        </w:tc>
        <w:tc>
          <w:tcPr>
            <w:tcW w:w="953"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1 928.0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1 908.9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1 938.7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1 976.3</w:t>
            </w:r>
          </w:p>
        </w:tc>
      </w:tr>
      <w:tr w:rsidR="00B03921" w:rsidRPr="005C543F" w:rsidTr="00016914">
        <w:tc>
          <w:tcPr>
            <w:tcW w:w="3937" w:type="dxa"/>
            <w:gridSpan w:val="2"/>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Contingenci</w:t>
            </w:r>
            <w:r>
              <w:rPr>
                <w:rFonts w:eastAsiaTheme="minorEastAsia"/>
                <w:lang w:eastAsia="en-AU"/>
              </w:rPr>
              <w:t>es not allocated to departments</w:t>
            </w:r>
            <w:r w:rsidRPr="005C543F">
              <w:rPr>
                <w:rFonts w:eastAsiaTheme="minorEastAsia"/>
                <w:vertAlign w:val="superscript"/>
                <w:lang w:eastAsia="en-AU"/>
              </w:rPr>
              <w:t>(</w:t>
            </w:r>
            <w:r>
              <w:rPr>
                <w:rFonts w:eastAsiaTheme="minorEastAsia"/>
                <w:vertAlign w:val="superscript"/>
                <w:lang w:eastAsia="en-AU"/>
              </w:rPr>
              <w:t>d</w:t>
            </w:r>
            <w:r w:rsidRPr="005C543F">
              <w:rPr>
                <w:rFonts w:eastAsiaTheme="minorEastAsia"/>
                <w:vertAlign w:val="superscript"/>
                <w:lang w:eastAsia="en-AU"/>
              </w:rPr>
              <w:t>)</w:t>
            </w:r>
          </w:p>
        </w:tc>
        <w:tc>
          <w:tcPr>
            <w:tcW w:w="841"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517.6</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1 636.3</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2 923.6</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4 193.5</w:t>
            </w:r>
          </w:p>
        </w:tc>
      </w:tr>
      <w:tr w:rsidR="00B03921" w:rsidRPr="005C543F" w:rsidTr="00016914">
        <w:tc>
          <w:tcPr>
            <w:tcW w:w="3825"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 xml:space="preserve">Total expenses by department </w:t>
            </w:r>
          </w:p>
        </w:tc>
        <w:tc>
          <w:tcPr>
            <w:tcW w:w="953" w:type="dxa"/>
            <w:gridSpan w:val="2"/>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63 789.2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64 777.1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67 013.3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68 872.1</w:t>
            </w:r>
          </w:p>
        </w:tc>
      </w:tr>
      <w:tr w:rsidR="00B03921" w:rsidRPr="005C543F" w:rsidTr="00016914">
        <w:tc>
          <w:tcPr>
            <w:tcW w:w="3825" w:type="dxa"/>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i/>
                <w:vertAlign w:val="superscript"/>
                <w:lang w:eastAsia="en-AU"/>
              </w:rPr>
            </w:pPr>
            <w:r w:rsidRPr="005C543F">
              <w:rPr>
                <w:rFonts w:eastAsiaTheme="minorEastAsia"/>
                <w:i/>
                <w:lang w:eastAsia="en-AU"/>
              </w:rPr>
              <w:t>Le</w:t>
            </w:r>
            <w:r>
              <w:rPr>
                <w:rFonts w:eastAsiaTheme="minorEastAsia"/>
                <w:i/>
                <w:lang w:eastAsia="en-AU"/>
              </w:rPr>
              <w:t>ss eliminations and adjustments</w:t>
            </w:r>
            <w:r w:rsidRPr="005C543F">
              <w:rPr>
                <w:rFonts w:eastAsiaTheme="minorEastAsia"/>
                <w:i/>
                <w:vertAlign w:val="superscript"/>
                <w:lang w:eastAsia="en-AU"/>
              </w:rPr>
              <w:t>(</w:t>
            </w:r>
            <w:r>
              <w:rPr>
                <w:rFonts w:eastAsiaTheme="minorEastAsia"/>
                <w:i/>
                <w:vertAlign w:val="superscript"/>
                <w:lang w:eastAsia="en-AU"/>
              </w:rPr>
              <w:t>e</w:t>
            </w:r>
            <w:r w:rsidRPr="005C543F">
              <w:rPr>
                <w:rFonts w:eastAsiaTheme="minorEastAsia"/>
                <w:i/>
                <w:vertAlign w:val="superscript"/>
                <w:lang w:eastAsia="en-AU"/>
              </w:rPr>
              <w:t>)</w:t>
            </w:r>
          </w:p>
        </w:tc>
        <w:tc>
          <w:tcPr>
            <w:tcW w:w="953" w:type="dxa"/>
            <w:gridSpan w:val="2"/>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(9 479.3)</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(9 279.8)</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(9 342.3)</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(9 521.4)</w:t>
            </w:r>
          </w:p>
        </w:tc>
      </w:tr>
      <w:tr w:rsidR="00B03921" w:rsidRPr="005C543F" w:rsidTr="00016914">
        <w:tc>
          <w:tcPr>
            <w:tcW w:w="3825"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text"/>
              <w:rPr>
                <w:rFonts w:eastAsiaTheme="minorEastAsia" w:cs="Calibri"/>
                <w:b/>
                <w:bCs/>
                <w:color w:val="000000"/>
                <w:lang w:eastAsia="en-AU"/>
              </w:rPr>
            </w:pPr>
            <w:r w:rsidRPr="005C543F">
              <w:rPr>
                <w:rFonts w:eastAsiaTheme="minorEastAsia"/>
                <w:b/>
                <w:bCs/>
                <w:lang w:eastAsia="en-AU"/>
              </w:rPr>
              <w:t>Total expenses from</w:t>
            </w:r>
            <w:r w:rsidRPr="005C543F">
              <w:rPr>
                <w:rFonts w:eastAsiaTheme="minorEastAsia" w:cs="Calibri"/>
                <w:b/>
                <w:bCs/>
                <w:color w:val="000000"/>
                <w:lang w:eastAsia="en-AU"/>
              </w:rPr>
              <w:t xml:space="preserve"> transactions</w:t>
            </w:r>
          </w:p>
        </w:tc>
        <w:tc>
          <w:tcPr>
            <w:tcW w:w="953" w:type="dxa"/>
            <w:gridSpan w:val="2"/>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54 309.8</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55 497.4</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57 671.0</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59 350.7</w:t>
            </w:r>
          </w:p>
        </w:tc>
      </w:tr>
    </w:tbl>
    <w:p w:rsidR="00B03921" w:rsidRDefault="00B03921" w:rsidP="00016914">
      <w:pPr>
        <w:pStyle w:val="Notes"/>
      </w:pPr>
      <w:r>
        <w:t>Notes:</w:t>
      </w:r>
    </w:p>
    <w:p w:rsidR="00B03921" w:rsidRDefault="00B03921" w:rsidP="00016914">
      <w:pPr>
        <w:pStyle w:val="Notes"/>
      </w:pPr>
      <w:r>
        <w:t>(a)</w:t>
      </w:r>
      <w:r>
        <w:tab/>
      </w:r>
      <w:r w:rsidRPr="00BB4A38">
        <w:t>The downward movement from 2015-16 relates to sun setting initiatives and movements in funding across years for various initiatives.</w:t>
      </w:r>
    </w:p>
    <w:p w:rsidR="00B03921" w:rsidRDefault="00B03921" w:rsidP="00016914">
      <w:pPr>
        <w:pStyle w:val="Notes"/>
      </w:pPr>
      <w:r>
        <w:t>(b)</w:t>
      </w:r>
      <w:r>
        <w:tab/>
      </w:r>
      <w:r w:rsidRPr="00BB4A38">
        <w:t>From July 2016, the Com</w:t>
      </w:r>
      <w:r>
        <w:t>m</w:t>
      </w:r>
      <w:r w:rsidRPr="00BB4A38">
        <w:t xml:space="preserve">onwealth will be responsible for home support services for people aged over 65 years. </w:t>
      </w:r>
      <w:r w:rsidR="00AD7F83">
        <w:br/>
      </w:r>
      <w:r w:rsidRPr="00BB4A38">
        <w:t xml:space="preserve">Health expenditure is adjusted from 2016-17 to reflect this transfer. </w:t>
      </w:r>
    </w:p>
    <w:p w:rsidR="00B03921" w:rsidRDefault="00B03921" w:rsidP="00016914">
      <w:pPr>
        <w:pStyle w:val="Notes"/>
      </w:pPr>
      <w:r>
        <w:t>(c)</w:t>
      </w:r>
      <w:r>
        <w:tab/>
        <w:t>Other general government sector agencies not allocated to departmental portfolios.</w:t>
      </w:r>
    </w:p>
    <w:p w:rsidR="00B03921" w:rsidRDefault="00B03921" w:rsidP="00016914">
      <w:pPr>
        <w:pStyle w:val="Notes"/>
      </w:pPr>
      <w:r>
        <w:t>(d)</w:t>
      </w:r>
      <w:r>
        <w:tab/>
        <w:t>Note 12(c) provides a breakdown of the general government output contingencies not allocated to departments.</w:t>
      </w:r>
    </w:p>
    <w:p w:rsidR="00B03921" w:rsidRDefault="00B03921" w:rsidP="00016914">
      <w:pPr>
        <w:pStyle w:val="Notes"/>
      </w:pPr>
      <w:r>
        <w:t>(e)</w:t>
      </w:r>
      <w:r>
        <w:tab/>
        <w:t>Mainly comprising payroll tax, capital asset charge, departmental underspend estimates and inter</w:t>
      </w:r>
      <w:r>
        <w:noBreakHyphen/>
        <w:t>departmental transfers.</w:t>
      </w:r>
    </w:p>
    <w:p w:rsidR="00B03921" w:rsidRDefault="00B03921" w:rsidP="00016914">
      <w:pPr>
        <w:pStyle w:val="BodyText"/>
      </w:pPr>
    </w:p>
    <w:p w:rsidR="00B03921" w:rsidRDefault="00831183" w:rsidP="00016914">
      <w:pPr>
        <w:pStyle w:val="Tableheading"/>
      </w:pPr>
      <w:r w:rsidRPr="00872003">
        <w:t xml:space="preserve"> </w:t>
      </w:r>
      <w:r w:rsidR="00B03921" w:rsidRPr="00872003">
        <w:t>(c)</w:t>
      </w:r>
      <w:r w:rsidR="00B03921">
        <w:tab/>
      </w:r>
      <w:r w:rsidR="00B03921" w:rsidRPr="00872003">
        <w:t>General government output contingencies not allocated to departments</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AD7F83" w:rsidRPr="005C543F" w:rsidTr="008224DF">
        <w:trPr>
          <w:trHeight w:val="503"/>
          <w:tblHeader/>
        </w:trPr>
        <w:tc>
          <w:tcPr>
            <w:tcW w:w="3784" w:type="dxa"/>
            <w:tcBorders>
              <w:top w:val="single" w:sz="6" w:space="0" w:color="auto"/>
              <w:left w:val="single" w:sz="6" w:space="0" w:color="auto"/>
              <w:right w:val="nil"/>
            </w:tcBorders>
            <w:shd w:val="clear" w:color="000000" w:fill="000000"/>
          </w:tcPr>
          <w:p w:rsidR="00AD7F83" w:rsidRPr="005C543F" w:rsidRDefault="00AD7F83"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2015-16</w:t>
            </w:r>
            <w:r>
              <w:rPr>
                <w:rFonts w:eastAsiaTheme="minorEastAsia"/>
                <w:color w:val="FFFFFF"/>
                <w:lang w:eastAsia="en-AU"/>
              </w:rPr>
              <w:t xml:space="preserve"> </w:t>
            </w:r>
            <w:r w:rsidRPr="005C543F">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2016-17</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2017-18</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AD7F83" w:rsidRPr="005C543F" w:rsidRDefault="00AD7F83" w:rsidP="00AD7F83">
            <w:pPr>
              <w:pStyle w:val="Tabletextheading"/>
              <w:rPr>
                <w:rFonts w:eastAsiaTheme="minorEastAsia"/>
                <w:color w:val="FFFFFF"/>
                <w:lang w:eastAsia="en-AU"/>
              </w:rPr>
            </w:pPr>
            <w:r w:rsidRPr="005C543F">
              <w:rPr>
                <w:rFonts w:eastAsiaTheme="minorEastAsia"/>
                <w:color w:val="FFFFFF"/>
                <w:lang w:eastAsia="en-AU"/>
              </w:rPr>
              <w:t>2018-19</w:t>
            </w:r>
            <w:r>
              <w:rPr>
                <w:rFonts w:eastAsiaTheme="minorEastAsia"/>
                <w:color w:val="FFFFFF"/>
                <w:lang w:eastAsia="en-AU"/>
              </w:rPr>
              <w:t xml:space="preserve"> </w:t>
            </w:r>
            <w:r w:rsidRPr="005C543F">
              <w:rPr>
                <w:rFonts w:eastAsiaTheme="minorEastAsia"/>
                <w:color w:val="FFFFFF"/>
                <w:lang w:eastAsia="en-AU"/>
              </w:rPr>
              <w:t>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Decis</w:t>
            </w:r>
            <w:r>
              <w:rPr>
                <w:rFonts w:eastAsiaTheme="minorEastAsia"/>
                <w:lang w:eastAsia="en-AU"/>
              </w:rPr>
              <w:t>ions made but not yet allocated</w:t>
            </w:r>
            <w:r w:rsidRPr="005C543F">
              <w:rPr>
                <w:rFonts w:eastAsiaTheme="minorEastAsia"/>
                <w:vertAlign w:val="superscript"/>
                <w:lang w:eastAsia="en-AU"/>
              </w:rPr>
              <w:t>(a)</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417.6</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1 336.3</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2 423.6</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3 493.5</w:t>
            </w:r>
          </w:p>
        </w:tc>
      </w:tr>
      <w:tr w:rsidR="00B03921" w:rsidRPr="005C543F" w:rsidTr="00016914">
        <w:tc>
          <w:tcPr>
            <w:tcW w:w="3784" w:type="dxa"/>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Funding not</w:t>
            </w:r>
            <w:r>
              <w:rPr>
                <w:rFonts w:eastAsiaTheme="minorEastAsia"/>
                <w:lang w:eastAsia="en-AU"/>
              </w:rPr>
              <w:t xml:space="preserve"> allocated to specific purposes</w:t>
            </w:r>
            <w:r w:rsidRPr="005C543F">
              <w:rPr>
                <w:rFonts w:eastAsiaTheme="minorEastAsia"/>
                <w:vertAlign w:val="superscript"/>
                <w:lang w:eastAsia="en-AU"/>
              </w:rPr>
              <w:t>(b)</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100.0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300.0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700.0</w:t>
            </w:r>
          </w:p>
        </w:tc>
      </w:tr>
      <w:tr w:rsidR="00B03921" w:rsidRPr="005C543F" w:rsidTr="00016914">
        <w:tc>
          <w:tcPr>
            <w:tcW w:w="378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general government output contingencies</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517.6</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sidRPr="005C543F">
              <w:rPr>
                <w:rFonts w:eastAsiaTheme="minorEastAsia"/>
                <w:b/>
                <w:bCs/>
                <w:lang w:eastAsia="en-AU"/>
              </w:rPr>
              <w:t>1 636.3</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2 923.6</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4 193.5</w:t>
            </w:r>
          </w:p>
        </w:tc>
      </w:tr>
    </w:tbl>
    <w:p w:rsidR="00B03921" w:rsidRDefault="00B03921" w:rsidP="00016914">
      <w:pPr>
        <w:pStyle w:val="Notes"/>
      </w:pPr>
      <w:r>
        <w:t>Notes:</w:t>
      </w:r>
    </w:p>
    <w:p w:rsidR="00B03921" w:rsidRDefault="00B03921" w:rsidP="00016914">
      <w:pPr>
        <w:pStyle w:val="Notes"/>
      </w:pPr>
      <w:r>
        <w:t>(a)</w:t>
      </w:r>
      <w:r>
        <w:tab/>
        <w:t>Reflects existing government policy decisions for which funding has yet to be allocated to departments; provision for election commitments to be funded in future budgets; provisions not yet allocated to meet additional price and demand growth for health, disability and education; and a provision for estimated additional depreciation costs associated with the general government unallocated capital contingency.</w:t>
      </w:r>
    </w:p>
    <w:p w:rsidR="00B03921" w:rsidRDefault="00B03921" w:rsidP="00016914">
      <w:pPr>
        <w:pStyle w:val="Notes"/>
      </w:pPr>
      <w:r>
        <w:t>(b)</w:t>
      </w:r>
      <w:r>
        <w:tab/>
        <w:t>An unallocated provision available to contribute to future government policy decisions and commitments, including for decisions to extend lapsing programs across the budget and forward estimates.</w:t>
      </w:r>
    </w:p>
    <w:p w:rsidR="00B03921" w:rsidRDefault="00B03921" w:rsidP="00016914">
      <w:pPr>
        <w:pStyle w:val="Heading2Notes"/>
      </w:pPr>
      <w:bookmarkStart w:id="54" w:name="_Toc418103357"/>
      <w:bookmarkStart w:id="55" w:name="_Toc418191978"/>
      <w:bookmarkStart w:id="56" w:name="_Toc418274870"/>
      <w:bookmarkStart w:id="57" w:name="_Toc418276616"/>
      <w:r>
        <w:t>Note 13:</w:t>
      </w:r>
      <w:r>
        <w:tab/>
      </w:r>
      <w:r w:rsidRPr="0074631B">
        <w:t>Other gains/(losse</w:t>
      </w:r>
      <w:r>
        <w:t>s) from other economic flows</w:t>
      </w:r>
      <w:bookmarkEnd w:id="54"/>
      <w:bookmarkEnd w:id="55"/>
      <w:bookmarkEnd w:id="56"/>
      <w:bookmarkEnd w:id="57"/>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(increase) in provision for doubtful receivables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(181.0)</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(176.9)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(185.4)</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(195.9)</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Amortisation of intangible non-produced assets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Net (increase) in bad debts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(153.5)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(153.7)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(153.9)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(153.9)</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gains/(losses)</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(0.7)</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gains/(losses) from other economic flows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(318.4)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(331.5)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(340.2)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(350.7)</w:t>
            </w:r>
          </w:p>
        </w:tc>
      </w:tr>
    </w:tbl>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58" w:name="_Toc418103358"/>
      <w:bookmarkStart w:id="59" w:name="_Toc418191979"/>
      <w:bookmarkStart w:id="60" w:name="_Toc418274871"/>
      <w:bookmarkStart w:id="61" w:name="_Toc418276617"/>
      <w:r>
        <w:t>Note 14:</w:t>
      </w:r>
      <w:r>
        <w:tab/>
      </w:r>
      <w:r w:rsidRPr="007022BE">
        <w:t>Reconciliation of net gain/(loss) on equity investments in other sector entities at prop</w:t>
      </w:r>
      <w:r>
        <w:t>ortional share of net assets</w:t>
      </w:r>
      <w:bookmarkEnd w:id="58"/>
      <w:bookmarkEnd w:id="59"/>
      <w:bookmarkEnd w:id="60"/>
      <w:bookmarkEnd w:id="61"/>
    </w:p>
    <w:p w:rsidR="00B03921" w:rsidRPr="005C543F" w:rsidRDefault="00B03921" w:rsidP="00016914">
      <w:pPr>
        <w:pStyle w:val="million"/>
        <w:rPr>
          <w:rFonts w:ascii="Times New Roman" w:hAnsi="Times New Roman"/>
          <w:i w:val="0"/>
          <w:sz w:val="20"/>
          <w:szCs w:val="20"/>
          <w:lang w:eastAsia="en-AU"/>
        </w:rPr>
      </w:pPr>
      <w: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Balance of investment in PNFC and PFC sectors at beginning of period</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80 446.8</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80 697.3</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82 335.7</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82 994.0</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cs="Calibri"/>
                <w:color w:val="000000"/>
                <w:vertAlign w:val="superscript"/>
                <w:lang w:eastAsia="en-AU"/>
              </w:rPr>
            </w:pPr>
            <w:r w:rsidRPr="005C543F">
              <w:rPr>
                <w:rFonts w:eastAsiaTheme="minorEastAsia"/>
                <w:lang w:eastAsia="en-AU"/>
              </w:rPr>
              <w:t>Net contributions to other sectors by owner</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249.1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2 016.4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881.1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2 167.3</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cs="Calibri"/>
                <w:color w:val="000000"/>
                <w:vertAlign w:val="superscript"/>
                <w:lang w:eastAsia="en-AU"/>
              </w:rPr>
            </w:pPr>
            <w:r w:rsidRPr="005C543F">
              <w:rPr>
                <w:rFonts w:eastAsiaTheme="minorEastAsia"/>
                <w:lang w:eastAsia="en-AU"/>
              </w:rPr>
              <w:t>Revaluation gain/(loss) for period</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(378.0)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(222.8)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(255.4)</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Investment in other sector entities at end of period</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80 697.3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82 335.7</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82 994.0</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84 905.9</w:t>
            </w:r>
          </w:p>
        </w:tc>
      </w:tr>
    </w:tbl>
    <w:p w:rsidR="00831183" w:rsidRDefault="00831183" w:rsidP="00831183">
      <w:pPr>
        <w:pStyle w:val="BodyText"/>
      </w:pPr>
      <w:bookmarkStart w:id="62" w:name="_Toc418103359"/>
      <w:bookmarkStart w:id="63" w:name="_Toc418191980"/>
      <w:bookmarkStart w:id="64" w:name="_Toc418274872"/>
      <w:bookmarkStart w:id="65" w:name="_Toc418276618"/>
    </w:p>
    <w:p w:rsidR="00831183" w:rsidRDefault="00831183" w:rsidP="00831183">
      <w:pPr>
        <w:pStyle w:val="BodyText"/>
      </w:pPr>
    </w:p>
    <w:p w:rsidR="00B03921" w:rsidRPr="00681EF5" w:rsidRDefault="00B03921" w:rsidP="00016914">
      <w:pPr>
        <w:pStyle w:val="Heading2Notes"/>
      </w:pPr>
      <w:r w:rsidRPr="00681EF5">
        <w:t>Note 15:</w:t>
      </w:r>
      <w:r w:rsidRPr="00681EF5">
        <w:tab/>
        <w:t>Net acquisition of non</w:t>
      </w:r>
      <w:r>
        <w:noBreakHyphen/>
      </w:r>
      <w:r w:rsidRPr="00681EF5">
        <w:t>financial assets from transactions</w:t>
      </w:r>
      <w:bookmarkEnd w:id="62"/>
      <w:bookmarkEnd w:id="63"/>
      <w:bookmarkEnd w:id="64"/>
      <w:bookmarkEnd w:id="65"/>
    </w:p>
    <w:p w:rsidR="00B03921" w:rsidRDefault="00B03921" w:rsidP="00016914">
      <w:pPr>
        <w:pStyle w:val="million"/>
        <w:rPr>
          <w:rFonts w:ascii="Times New Roman" w:hAnsi="Times New Roman"/>
          <w:i w:val="0"/>
          <w:sz w:val="20"/>
          <w:szCs w:val="20"/>
          <w:lang w:eastAsia="en-AU"/>
        </w:rPr>
      </w:pPr>
      <w:r w:rsidRPr="00681EF5">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5C543F" w:rsidTr="00016914">
        <w:trPr>
          <w:tblHeader/>
        </w:trPr>
        <w:tc>
          <w:tcPr>
            <w:tcW w:w="3784"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i/>
                <w:lang w:eastAsia="en-AU"/>
              </w:rPr>
            </w:pPr>
            <w:r w:rsidRPr="005C543F">
              <w:rPr>
                <w:rFonts w:eastAsiaTheme="minorEastAsia"/>
                <w:i/>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Purchases of non-financial assets (including change in inventories)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4 551.7</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6 166.9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5 663.1</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5 194.3</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Less: sale of non-financial assets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(322.0)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(554.1)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(489.9)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(294.0)</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Less: depreciation</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(2 576.9)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(2 721.6)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(2 880.2)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(3 146.1)</w:t>
            </w:r>
          </w:p>
        </w:tc>
      </w:tr>
      <w:tr w:rsidR="00B03921" w:rsidRPr="005C543F" w:rsidTr="00016914">
        <w:tc>
          <w:tcPr>
            <w:tcW w:w="3784"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Plus: other movements in non-financial assets</w:t>
            </w:r>
            <w:r w:rsidRPr="005C543F">
              <w:rPr>
                <w:rFonts w:eastAsiaTheme="minorEastAsia"/>
                <w:vertAlign w:val="superscript"/>
                <w:lang w:eastAsia="en-AU"/>
              </w:rPr>
              <w:t>(a)</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(242.6)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(1 381.0)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(1 250.6)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(1 983.0)</w:t>
            </w:r>
          </w:p>
        </w:tc>
      </w:tr>
      <w:tr w:rsidR="00B03921" w:rsidRPr="005C543F" w:rsidTr="00016914">
        <w:tc>
          <w:tcPr>
            <w:tcW w:w="378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net acquisition of non-financial assets from transactions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1 410.3</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1 510.1</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1 042.5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(228.8)</w:t>
            </w:r>
          </w:p>
        </w:tc>
      </w:tr>
    </w:tbl>
    <w:p w:rsidR="00B03921" w:rsidRDefault="00B03921" w:rsidP="00016914">
      <w:pPr>
        <w:pStyle w:val="Notes"/>
      </w:pPr>
      <w:r>
        <w:t>Note:</w:t>
      </w:r>
    </w:p>
    <w:p w:rsidR="00B03921" w:rsidRDefault="00B03921" w:rsidP="00016914">
      <w:pPr>
        <w:pStyle w:val="Notes"/>
      </w:pPr>
      <w:r>
        <w:t>(a)</w:t>
      </w:r>
      <w:r>
        <w:tab/>
        <w:t>The other movements in non-financial assets predominantly includes the transfer of fixed assets to other sectors of government and the recognition of finance lease arrangements.</w:t>
      </w:r>
    </w:p>
    <w:p w:rsidR="00B03921" w:rsidRPr="00402D9E" w:rsidRDefault="00B03921" w:rsidP="00016914">
      <w:pPr>
        <w:pStyle w:val="BodyText"/>
        <w:rPr>
          <w:sz w:val="18"/>
        </w:rPr>
      </w:pPr>
    </w:p>
    <w:p w:rsidR="00B03921" w:rsidRDefault="00B03921" w:rsidP="00016914">
      <w:pPr>
        <w:pStyle w:val="Heading2Notes"/>
      </w:pPr>
      <w:bookmarkStart w:id="66" w:name="_Toc418103360"/>
      <w:bookmarkStart w:id="67" w:name="_Toc418191981"/>
      <w:bookmarkStart w:id="68" w:name="_Toc418274873"/>
      <w:bookmarkStart w:id="69" w:name="_Toc418276619"/>
      <w:r>
        <w:t>Note 16:</w:t>
      </w:r>
      <w:r>
        <w:tab/>
      </w:r>
      <w:r w:rsidRPr="00DF2D73">
        <w:t xml:space="preserve">Advances paid and </w:t>
      </w:r>
      <w:r>
        <w:t>i</w:t>
      </w:r>
      <w:r w:rsidRPr="00DF2D73">
        <w:t>nvest</w:t>
      </w:r>
      <w:r>
        <w:t>ments, loans and placements</w:t>
      </w:r>
      <w:bookmarkEnd w:id="66"/>
      <w:bookmarkEnd w:id="67"/>
      <w:bookmarkEnd w:id="68"/>
      <w:bookmarkEnd w:id="69"/>
    </w:p>
    <w:p w:rsidR="00B03921" w:rsidRDefault="00B03921" w:rsidP="00016914">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971"/>
        <w:gridCol w:w="813"/>
        <w:gridCol w:w="994"/>
        <w:gridCol w:w="994"/>
        <w:gridCol w:w="994"/>
        <w:gridCol w:w="994"/>
        <w:gridCol w:w="46"/>
      </w:tblGrid>
      <w:tr w:rsidR="00B03921" w:rsidRPr="005C543F" w:rsidTr="00016914">
        <w:trPr>
          <w:gridAfter w:val="1"/>
          <w:wAfter w:w="46" w:type="dxa"/>
          <w:tblHeader/>
        </w:trPr>
        <w:tc>
          <w:tcPr>
            <w:tcW w:w="2971"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813"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AD7F83" w:rsidRPr="005C543F" w:rsidTr="008224DF">
        <w:tc>
          <w:tcPr>
            <w:tcW w:w="7806" w:type="dxa"/>
            <w:gridSpan w:val="7"/>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Current advances paid and investments, loans and placements</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Loans and advances paid</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56.2</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Equities and managed investment schemes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804.3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816.3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828.3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840.2</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Australian dollar term deposits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1 676.3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1 761.2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1 867.3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1 981.8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2 096.2</w:t>
            </w:r>
          </w:p>
        </w:tc>
      </w:tr>
      <w:tr w:rsidR="00B03921" w:rsidRPr="005C543F" w:rsidTr="00016914">
        <w:trPr>
          <w:gridAfter w:val="1"/>
          <w:wAfter w:w="46" w:type="dxa"/>
        </w:trPr>
        <w:tc>
          <w:tcPr>
            <w:tcW w:w="2971"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Debt securities</w:t>
            </w:r>
          </w:p>
        </w:tc>
        <w:tc>
          <w:tcPr>
            <w:tcW w:w="813"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current advances paid and investments, loans and placements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2 530.2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2 612.6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2 738.0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2 869.7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2 999.0</w:t>
            </w:r>
          </w:p>
        </w:tc>
      </w:tr>
      <w:tr w:rsidR="00AD7F83" w:rsidRPr="005C543F" w:rsidTr="008224DF">
        <w:tc>
          <w:tcPr>
            <w:tcW w:w="7806" w:type="dxa"/>
            <w:gridSpan w:val="7"/>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Non-current advances paid and investments, loans and placements</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Loans and advances paid</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4 512.5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4 479.8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4 436.3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4 385.2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4 330.8</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Equities and managed investment schemes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273.1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276.2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281.0</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Australian dollar term deposits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261.8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267.5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279.3</w:t>
            </w:r>
          </w:p>
        </w:tc>
      </w:tr>
      <w:tr w:rsidR="00B03921" w:rsidRPr="005C543F" w:rsidTr="00016914">
        <w:trPr>
          <w:gridAfter w:val="1"/>
          <w:wAfter w:w="46" w:type="dxa"/>
        </w:trPr>
        <w:tc>
          <w:tcPr>
            <w:tcW w:w="2971"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Debt securities</w:t>
            </w:r>
          </w:p>
        </w:tc>
        <w:tc>
          <w:tcPr>
            <w:tcW w:w="81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44.7</w:t>
            </w:r>
          </w:p>
        </w:tc>
      </w:tr>
      <w:tr w:rsidR="00B03921" w:rsidRPr="005C543F" w:rsidTr="00016914">
        <w:trPr>
          <w:gridAfter w:val="1"/>
          <w:wAfter w:w="46" w:type="dxa"/>
        </w:trPr>
        <w:tc>
          <w:tcPr>
            <w:tcW w:w="2971" w:type="dxa"/>
            <w:tcBorders>
              <w:top w:val="single" w:sz="6" w:space="0" w:color="000000"/>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non-current advances paid and investments, loans and placements</w:t>
            </w:r>
          </w:p>
        </w:tc>
        <w:tc>
          <w:tcPr>
            <w:tcW w:w="813"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5 077.0</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5 054.4</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5 021.6</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4 979.4</w:t>
            </w:r>
          </w:p>
        </w:tc>
        <w:tc>
          <w:tcPr>
            <w:tcW w:w="994"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4 935.8</w:t>
            </w:r>
          </w:p>
        </w:tc>
      </w:tr>
      <w:tr w:rsidR="00B03921" w:rsidRPr="005C543F" w:rsidTr="00016914">
        <w:trPr>
          <w:gridAfter w:val="1"/>
          <w:wAfter w:w="46" w:type="dxa"/>
        </w:trPr>
        <w:tc>
          <w:tcPr>
            <w:tcW w:w="2971"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advances paid and investments, loans and placements</w:t>
            </w:r>
          </w:p>
        </w:tc>
        <w:tc>
          <w:tcPr>
            <w:tcW w:w="813"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7 607.2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7 667.0</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7 759.6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7 849.1</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7 934.8</w:t>
            </w:r>
          </w:p>
        </w:tc>
      </w:tr>
      <w:tr w:rsidR="00AD7F83" w:rsidRPr="005C543F" w:rsidTr="008224DF">
        <w:trPr>
          <w:gridAfter w:val="1"/>
          <w:wAfter w:w="46" w:type="dxa"/>
        </w:trPr>
        <w:tc>
          <w:tcPr>
            <w:tcW w:w="7760" w:type="dxa"/>
            <w:gridSpan w:val="6"/>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Represented by:</w:t>
            </w:r>
          </w:p>
        </w:tc>
      </w:tr>
      <w:tr w:rsidR="00B03921" w:rsidRPr="005C543F" w:rsidTr="00016914">
        <w:trPr>
          <w:gridAfter w:val="1"/>
          <w:wAfter w:w="46" w:type="dxa"/>
        </w:trPr>
        <w:tc>
          <w:tcPr>
            <w:tcW w:w="2971" w:type="dxa"/>
            <w:tcBorders>
              <w:top w:val="nil"/>
              <w:left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Advances paid</w:t>
            </w:r>
          </w:p>
        </w:tc>
        <w:tc>
          <w:tcPr>
            <w:tcW w:w="813" w:type="dxa"/>
            <w:tcBorders>
              <w:top w:val="nil"/>
              <w:left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4 567.9</w:t>
            </w:r>
          </w:p>
        </w:tc>
        <w:tc>
          <w:tcPr>
            <w:tcW w:w="994" w:type="dxa"/>
            <w:tcBorders>
              <w:top w:val="nil"/>
              <w:left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4 520.6</w:t>
            </w:r>
          </w:p>
        </w:tc>
        <w:tc>
          <w:tcPr>
            <w:tcW w:w="994" w:type="dxa"/>
            <w:tcBorders>
              <w:top w:val="nil"/>
              <w:left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4 484.3</w:t>
            </w:r>
          </w:p>
        </w:tc>
        <w:tc>
          <w:tcPr>
            <w:tcW w:w="994" w:type="dxa"/>
            <w:tcBorders>
              <w:top w:val="nil"/>
              <w:left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4 438.5</w:t>
            </w:r>
          </w:p>
        </w:tc>
        <w:tc>
          <w:tcPr>
            <w:tcW w:w="994" w:type="dxa"/>
            <w:tcBorders>
              <w:top w:val="nil"/>
              <w:left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4 387.0</w:t>
            </w:r>
          </w:p>
        </w:tc>
      </w:tr>
      <w:tr w:rsidR="00B03921" w:rsidRPr="005C543F" w:rsidTr="00016914">
        <w:trPr>
          <w:gridAfter w:val="1"/>
          <w:wAfter w:w="46" w:type="dxa"/>
        </w:trPr>
        <w:tc>
          <w:tcPr>
            <w:tcW w:w="2971" w:type="dxa"/>
            <w:tcBorders>
              <w:top w:val="nil"/>
              <w:left w:val="nil"/>
              <w:bottom w:val="single" w:sz="12"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Investments, loans and placements</w:t>
            </w:r>
          </w:p>
        </w:tc>
        <w:tc>
          <w:tcPr>
            <w:tcW w:w="813"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3 039.3</w:t>
            </w:r>
          </w:p>
        </w:tc>
        <w:tc>
          <w:tcPr>
            <w:tcW w:w="994"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3 146.4</w:t>
            </w:r>
          </w:p>
        </w:tc>
        <w:tc>
          <w:tcPr>
            <w:tcW w:w="994"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3 275.3</w:t>
            </w:r>
          </w:p>
        </w:tc>
        <w:tc>
          <w:tcPr>
            <w:tcW w:w="994"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3 410.6</w:t>
            </w:r>
          </w:p>
        </w:tc>
        <w:tc>
          <w:tcPr>
            <w:tcW w:w="994" w:type="dxa"/>
            <w:tcBorders>
              <w:top w:val="nil"/>
              <w:left w:val="nil"/>
              <w:bottom w:val="single" w:sz="12"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3 547.8</w:t>
            </w:r>
          </w:p>
        </w:tc>
      </w:tr>
    </w:tbl>
    <w:p w:rsidR="00831183" w:rsidRDefault="00831183" w:rsidP="00016914">
      <w:pPr>
        <w:pStyle w:val="Heading2Notes"/>
      </w:pPr>
      <w:bookmarkStart w:id="70" w:name="_Toc418103361"/>
      <w:bookmarkStart w:id="71" w:name="_Toc418191982"/>
      <w:bookmarkStart w:id="72" w:name="_Toc418274874"/>
      <w:bookmarkStart w:id="73" w:name="_Toc418276620"/>
    </w:p>
    <w:p w:rsidR="00831183" w:rsidRDefault="00831183">
      <w:pPr>
        <w:spacing w:after="0"/>
        <w:rPr>
          <w:rFonts w:ascii="Calibri" w:hAnsi="Calibri"/>
          <w:b/>
          <w:kern w:val="28"/>
          <w:sz w:val="26"/>
          <w:szCs w:val="22"/>
        </w:rPr>
      </w:pPr>
      <w:r>
        <w:br w:type="page"/>
      </w:r>
    </w:p>
    <w:p w:rsidR="00B03921" w:rsidRDefault="00B03921" w:rsidP="00016914">
      <w:pPr>
        <w:pStyle w:val="Heading2Notes"/>
      </w:pPr>
      <w:r>
        <w:t>Note 17:</w:t>
      </w:r>
      <w:r>
        <w:tab/>
        <w:t>Land, buildings, infrastructure, plant and equipment</w:t>
      </w:r>
      <w:bookmarkEnd w:id="70"/>
      <w:bookmarkEnd w:id="71"/>
      <w:bookmarkEnd w:id="72"/>
      <w:bookmarkEnd w:id="73"/>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5C543F"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B03921" w:rsidRPr="005C543F" w:rsidTr="00016914">
        <w:tc>
          <w:tcPr>
            <w:tcW w:w="2790"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Buildings (written down value)</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25 792.8</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26 042.2</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26 413.9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29 134.0</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29 453.8</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Buildings leasehold</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2 360.8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3 347.2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4 211.2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5 093.7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5 006.7</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Land and national parks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39 217.7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39 590.7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39 338.0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42 156.0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42 143.5</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Infrastructure systems (written down value)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1 253.9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1 269.0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1 297.6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1 287.2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1 268.4</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Plant, equipment and vehicles (written down value)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2 414.7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2 331.5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2 058.7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1 664.2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1 201.2</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Roads and road networks (written down value)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24 310.3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24 766.1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25 596.5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28 911.0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29 330.8</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Earthworks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8 803.4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8 944.6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9 116.9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10 446.6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10 552.9</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Cultural assets (written down value)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5 480.0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5 489.4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5 846.0</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5 830.3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5 811.1</w:t>
            </w:r>
          </w:p>
        </w:tc>
      </w:tr>
      <w:tr w:rsidR="00B03921" w:rsidRPr="005C543F" w:rsidTr="00016914">
        <w:tc>
          <w:tcPr>
            <w:tcW w:w="279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land, buildings, infrastructure, plant and equipment</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109 633.6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111 780.6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113 878.7</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124 523.0</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124 768.3</w:t>
            </w:r>
          </w:p>
        </w:tc>
      </w:tr>
    </w:tbl>
    <w:p w:rsidR="00B03921" w:rsidRDefault="00B03921" w:rsidP="00016914">
      <w:pPr>
        <w:pStyle w:val="BodyText"/>
      </w:pPr>
      <w:r>
        <w:t xml:space="preserve"> </w:t>
      </w:r>
    </w:p>
    <w:p w:rsidR="00B03921" w:rsidRDefault="00B03921" w:rsidP="00016914">
      <w:pPr>
        <w:pStyle w:val="BodyText"/>
      </w:pPr>
    </w:p>
    <w:p w:rsidR="00B03921" w:rsidRDefault="00B03921" w:rsidP="00016914">
      <w:pPr>
        <w:pStyle w:val="Heading2Notes"/>
      </w:pPr>
      <w:bookmarkStart w:id="74" w:name="_Toc418103362"/>
      <w:bookmarkStart w:id="75" w:name="_Toc418191983"/>
      <w:bookmarkStart w:id="76" w:name="_Toc418274875"/>
      <w:bookmarkStart w:id="77" w:name="_Toc418276621"/>
      <w:r>
        <w:t>Note 18:</w:t>
      </w:r>
      <w:r>
        <w:tab/>
        <w:t>Reconciliation of movements in land, buildings, infrastructure, plant and equipment</w:t>
      </w:r>
      <w:r w:rsidRPr="003D3A5B">
        <w:rPr>
          <w:vertAlign w:val="superscript"/>
        </w:rPr>
        <w:t>(a)</w:t>
      </w:r>
      <w:bookmarkEnd w:id="74"/>
      <w:bookmarkEnd w:id="75"/>
      <w:bookmarkEnd w:id="76"/>
      <w:bookmarkEnd w:id="77"/>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EB2928" w:rsidRPr="005C543F" w:rsidTr="008079E9">
        <w:trPr>
          <w:trHeight w:val="503"/>
          <w:tblHeader/>
        </w:trPr>
        <w:tc>
          <w:tcPr>
            <w:tcW w:w="3784" w:type="dxa"/>
            <w:tcBorders>
              <w:top w:val="single" w:sz="6" w:space="0" w:color="auto"/>
              <w:left w:val="single" w:sz="6" w:space="0" w:color="auto"/>
              <w:right w:val="nil"/>
            </w:tcBorders>
            <w:shd w:val="clear" w:color="000000" w:fill="000000"/>
          </w:tcPr>
          <w:p w:rsidR="00EB2928" w:rsidRPr="005C543F" w:rsidRDefault="00EB2928" w:rsidP="00016914">
            <w:pPr>
              <w:pStyle w:val="Tabletext"/>
              <w:rPr>
                <w:rFonts w:eastAsiaTheme="minorEastAsia"/>
                <w:lang w:eastAsia="en-AU"/>
              </w:rPr>
            </w:pPr>
            <w:r w:rsidRPr="005C543F">
              <w:rPr>
                <w:rFonts w:eastAsiaTheme="minorEastAsia"/>
                <w:lang w:eastAsia="en-AU"/>
              </w:rPr>
              <w:t xml:space="preserve"> </w:t>
            </w:r>
          </w:p>
          <w:p w:rsidR="00EB2928" w:rsidRPr="005C543F" w:rsidRDefault="00EB2928"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2015-16</w:t>
            </w:r>
            <w:r>
              <w:rPr>
                <w:rFonts w:eastAsiaTheme="minorEastAsia"/>
                <w:iCs/>
                <w:color w:val="FFFFFF"/>
                <w:lang w:eastAsia="en-AU"/>
              </w:rPr>
              <w:t xml:space="preserve"> </w:t>
            </w:r>
            <w:r w:rsidRPr="005C543F">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2016-17</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2017-18</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2018-19</w:t>
            </w:r>
            <w:r>
              <w:rPr>
                <w:rFonts w:eastAsiaTheme="minorEastAsia"/>
                <w:iCs/>
                <w:color w:val="FFFFFF"/>
                <w:lang w:eastAsia="en-AU"/>
              </w:rPr>
              <w:t xml:space="preserve"> </w:t>
            </w:r>
            <w:r w:rsidRPr="005C543F">
              <w:rPr>
                <w:rFonts w:eastAsiaTheme="minorEastAsia"/>
                <w:iCs/>
                <w:color w:val="FFFFFF"/>
                <w:lang w:eastAsia="en-AU"/>
              </w:rPr>
              <w:t>estimate</w:t>
            </w:r>
          </w:p>
        </w:tc>
      </w:tr>
      <w:tr w:rsidR="00B03921" w:rsidRPr="005C543F" w:rsidTr="00016914">
        <w:tc>
          <w:tcPr>
            <w:tcW w:w="3784" w:type="dxa"/>
            <w:tcBorders>
              <w:top w:val="single" w:sz="6" w:space="0" w:color="auto"/>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Carrying amount at the start of the year</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109 633.6</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111 780.6</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113 878.7</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124 523.0</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vertAlign w:val="superscript"/>
                <w:lang w:eastAsia="en-AU"/>
              </w:rPr>
            </w:pPr>
            <w:r>
              <w:rPr>
                <w:rFonts w:eastAsiaTheme="minorEastAsia"/>
                <w:lang w:eastAsia="en-AU"/>
              </w:rPr>
              <w:t>Additions</w:t>
            </w:r>
            <w:r w:rsidRPr="005C543F">
              <w:rPr>
                <w:rFonts w:eastAsiaTheme="minorEastAsia"/>
                <w:vertAlign w:val="superscript"/>
                <w:lang w:eastAsia="en-AU"/>
              </w:rPr>
              <w:t>(b)</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5 469.1</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6 545.4</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6 337.8</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5 253.8</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Disposals at written down value</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(263.4)</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(493.6)</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(420.5)</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(233.5)</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Revaluations</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748.1</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513.0</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9 501.1</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421.8</w:t>
            </w:r>
          </w:p>
        </w:tc>
      </w:tr>
      <w:tr w:rsidR="00B03921" w:rsidRPr="005C543F" w:rsidTr="00016914">
        <w:tc>
          <w:tcPr>
            <w:tcW w:w="3784" w:type="dxa"/>
            <w:tcBorders>
              <w:top w:val="nil"/>
              <w:left w:val="nil"/>
              <w:bottom w:val="nil"/>
              <w:right w:val="nil"/>
            </w:tcBorders>
          </w:tcPr>
          <w:p w:rsidR="00B03921" w:rsidRPr="005C543F" w:rsidRDefault="00B03921" w:rsidP="00016914">
            <w:pPr>
              <w:pStyle w:val="Tabletext"/>
              <w:rPr>
                <w:rFonts w:eastAsiaTheme="minorEastAsia"/>
                <w:vertAlign w:val="superscript"/>
                <w:lang w:eastAsia="en-AU"/>
              </w:rPr>
            </w:pPr>
            <w:r>
              <w:rPr>
                <w:rFonts w:eastAsiaTheme="minorEastAsia"/>
                <w:lang w:eastAsia="en-AU"/>
              </w:rPr>
              <w:t>Asset transfers</w:t>
            </w:r>
            <w:r w:rsidRPr="005C543F">
              <w:rPr>
                <w:rFonts w:eastAsiaTheme="minorEastAsia"/>
                <w:vertAlign w:val="superscript"/>
                <w:lang w:eastAsia="en-AU"/>
              </w:rPr>
              <w:t>(c)</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(1 324.1)</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(1 830.3)</w:t>
            </w:r>
          </w:p>
        </w:tc>
        <w:tc>
          <w:tcPr>
            <w:tcW w:w="994" w:type="dxa"/>
            <w:tcBorders>
              <w:top w:val="nil"/>
              <w:left w:val="nil"/>
              <w:bottom w:val="nil"/>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(1 988.6)</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(2 133.9)</w:t>
            </w:r>
          </w:p>
        </w:tc>
      </w:tr>
      <w:tr w:rsidR="00B03921" w:rsidRPr="005C543F" w:rsidTr="00016914">
        <w:tc>
          <w:tcPr>
            <w:tcW w:w="3784" w:type="dxa"/>
            <w:tcBorders>
              <w:top w:val="nil"/>
              <w:left w:val="nil"/>
              <w:bottom w:val="single" w:sz="6" w:space="0" w:color="auto"/>
              <w:right w:val="nil"/>
            </w:tcBorders>
          </w:tcPr>
          <w:p w:rsidR="00B03921" w:rsidRPr="005C543F" w:rsidRDefault="00B03921" w:rsidP="00016914">
            <w:pPr>
              <w:pStyle w:val="Tabletext"/>
              <w:rPr>
                <w:rFonts w:eastAsiaTheme="minorEastAsia"/>
                <w:lang w:eastAsia="en-AU"/>
              </w:rPr>
            </w:pPr>
            <w:r w:rsidRPr="005C543F">
              <w:rPr>
                <w:rFonts w:eastAsiaTheme="minorEastAsia"/>
                <w:lang w:eastAsia="en-AU"/>
              </w:rPr>
              <w:t>Depreciation expense</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(2 482.8)</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(2 636.4)</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(2 785.5)</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(3 063.0)</w:t>
            </w:r>
          </w:p>
        </w:tc>
      </w:tr>
      <w:tr w:rsidR="00B03921" w:rsidRPr="005C543F" w:rsidTr="00016914">
        <w:tc>
          <w:tcPr>
            <w:tcW w:w="378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Carrying amount at the end of the year</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111 780.6</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113 878.7</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124 523.0</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124 768.3</w:t>
            </w:r>
          </w:p>
        </w:tc>
      </w:tr>
    </w:tbl>
    <w:p w:rsidR="00B03921" w:rsidRDefault="00B03921" w:rsidP="00016914">
      <w:pPr>
        <w:pStyle w:val="Notes"/>
      </w:pPr>
      <w:r>
        <w:t>Notes:</w:t>
      </w:r>
    </w:p>
    <w:p w:rsidR="00B03921" w:rsidRDefault="00B03921" w:rsidP="00016914">
      <w:pPr>
        <w:pStyle w:val="Notes"/>
      </w:pPr>
      <w:r>
        <w:t xml:space="preserve">(a) </w:t>
      </w:r>
      <w:r>
        <w:tab/>
        <w:t>The reconciliation of movements comprises land and buildings, infrastructure systems, plant, equipment, vehicles, roads, road infrastructure and cultural assets and excludes intangible assets, investment properties and other non</w:t>
      </w:r>
      <w:r>
        <w:noBreakHyphen/>
        <w:t>financial assets.</w:t>
      </w:r>
    </w:p>
    <w:p w:rsidR="00B03921" w:rsidRDefault="00B03921" w:rsidP="00016914">
      <w:pPr>
        <w:pStyle w:val="Notes"/>
      </w:pPr>
      <w:r>
        <w:t xml:space="preserve">(b) </w:t>
      </w:r>
      <w:r>
        <w:tab/>
        <w:t>Includes assets acquired under finance lease arrangements.</w:t>
      </w:r>
    </w:p>
    <w:p w:rsidR="00B03921" w:rsidRDefault="00B03921" w:rsidP="00016914">
      <w:pPr>
        <w:pStyle w:val="Notes"/>
      </w:pPr>
      <w:r>
        <w:t xml:space="preserve">(c) </w:t>
      </w:r>
      <w:r>
        <w:tab/>
        <w:t>Represents the transfer of assets to the public non</w:t>
      </w:r>
      <w:r>
        <w:noBreakHyphen/>
        <w:t>financial corporations sector.</w:t>
      </w: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78" w:name="_Toc418103363"/>
      <w:bookmarkStart w:id="79" w:name="_Toc418191984"/>
      <w:bookmarkStart w:id="80" w:name="_Toc418274876"/>
      <w:bookmarkStart w:id="81" w:name="_Toc418276622"/>
      <w:r>
        <w:t>Note 19:</w:t>
      </w:r>
      <w:r>
        <w:tab/>
        <w:t>Other non</w:t>
      </w:r>
      <w:r>
        <w:noBreakHyphen/>
        <w:t>financial assets</w:t>
      </w:r>
      <w:bookmarkEnd w:id="78"/>
      <w:bookmarkEnd w:id="79"/>
      <w:bookmarkEnd w:id="80"/>
      <w:bookmarkEnd w:id="81"/>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5C543F"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B03921" w:rsidRPr="005C543F" w:rsidTr="00016914">
        <w:tc>
          <w:tcPr>
            <w:tcW w:w="2790"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Intangible produced assets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1 396.3</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1 446.7</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1 489.9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1 510.7</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1 560.1</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i/>
                <w:lang w:eastAsia="en-AU"/>
              </w:rPr>
            </w:pPr>
            <w:r w:rsidRPr="005C543F">
              <w:rPr>
                <w:rFonts w:eastAsiaTheme="minorEastAsia"/>
                <w:i/>
                <w:lang w:eastAsia="en-AU"/>
              </w:rPr>
              <w:t>Accumulated depreciation</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(673.4)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(768.8)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(862.0)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(964.1)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i/>
                <w:lang w:eastAsia="en-AU"/>
              </w:rPr>
            </w:pPr>
            <w:r w:rsidRPr="005C543F">
              <w:rPr>
                <w:rFonts w:eastAsiaTheme="minorEastAsia"/>
                <w:i/>
                <w:lang w:eastAsia="en-AU"/>
              </w:rPr>
              <w:t xml:space="preserve"> (1 057.9)</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Intangible non-produced assets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i/>
                <w:lang w:eastAsia="en-AU"/>
              </w:rPr>
            </w:pPr>
            <w:r w:rsidRPr="005C543F">
              <w:rPr>
                <w:rFonts w:eastAsiaTheme="minorEastAsia"/>
                <w:i/>
                <w:lang w:eastAsia="en-AU"/>
              </w:rPr>
              <w:t>Accumulated amortisation</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(8.8)</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i/>
                <w:iCs/>
                <w:color w:val="000000"/>
                <w:lang w:eastAsia="en-AU"/>
              </w:rPr>
            </w:pPr>
            <w:r>
              <w:rPr>
                <w:rFonts w:eastAsiaTheme="minorEastAsia"/>
                <w:i/>
                <w:lang w:eastAsia="en-AU"/>
              </w:rPr>
              <w:t>(8.9)</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intangibles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723.6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678.5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628.4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547.0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502.5</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Investment properties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139.3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131.4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131.4</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Biological assets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16.9</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assets</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334.4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324.2</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340.1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256.7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226.4</w:t>
            </w:r>
          </w:p>
        </w:tc>
      </w:tr>
      <w:tr w:rsidR="00B03921" w:rsidRPr="005C543F" w:rsidTr="00016914">
        <w:tc>
          <w:tcPr>
            <w:tcW w:w="279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other non-financial assets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1 208.5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1 147.4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1 113.8</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950.6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877.3</w:t>
            </w:r>
          </w:p>
        </w:tc>
      </w:tr>
    </w:tbl>
    <w:p w:rsidR="00B03921" w:rsidRPr="004371B8" w:rsidRDefault="00B03921" w:rsidP="00016914">
      <w:pPr>
        <w:pStyle w:val="BodyText"/>
      </w:pPr>
    </w:p>
    <w:p w:rsidR="00B03921" w:rsidRDefault="00B03921" w:rsidP="00016914">
      <w:pPr>
        <w:pStyle w:val="BodyText"/>
      </w:pPr>
    </w:p>
    <w:p w:rsidR="00B03921" w:rsidRPr="004371B8" w:rsidRDefault="00B03921" w:rsidP="00016914">
      <w:pPr>
        <w:pStyle w:val="Heading2Notes"/>
      </w:pPr>
      <w:bookmarkStart w:id="82" w:name="_Toc418103364"/>
      <w:bookmarkStart w:id="83" w:name="_Toc418191985"/>
      <w:bookmarkStart w:id="84" w:name="_Toc418274877"/>
      <w:bookmarkStart w:id="85" w:name="_Toc418276623"/>
      <w:r>
        <w:t>Note 20:</w:t>
      </w:r>
      <w:r>
        <w:tab/>
        <w:t>Assets classified by government purpose and by department</w:t>
      </w:r>
      <w:bookmarkEnd w:id="82"/>
      <w:bookmarkEnd w:id="83"/>
      <w:bookmarkEnd w:id="84"/>
      <w:bookmarkEnd w:id="85"/>
    </w:p>
    <w:p w:rsidR="00B03921" w:rsidRDefault="00B03921" w:rsidP="00016914">
      <w:pPr>
        <w:pStyle w:val="Tableheading"/>
      </w:pPr>
      <w:r>
        <w:t>(a)</w:t>
      </w:r>
      <w:r>
        <w:tab/>
      </w:r>
      <w:r w:rsidRPr="004371B8">
        <w:t>Purchases of non</w:t>
      </w:r>
      <w:r>
        <w:noBreakHyphen/>
      </w:r>
      <w:r w:rsidRPr="004371B8">
        <w:t>financial assets by government purpose classification</w:t>
      </w:r>
      <w:r w:rsidRPr="004371B8">
        <w:rPr>
          <w:vertAlign w:val="superscript"/>
        </w:rPr>
        <w:t>(a)</w:t>
      </w:r>
    </w:p>
    <w:p w:rsidR="00B03921" w:rsidRPr="005C543F" w:rsidRDefault="00B03921" w:rsidP="00016914">
      <w:pPr>
        <w:pStyle w:val="million"/>
        <w:rPr>
          <w:rFonts w:ascii="Times New Roman" w:hAnsi="Times New Roman"/>
          <w:sz w:val="20"/>
          <w:lang w:eastAsia="en-AU"/>
        </w:rPr>
      </w:pPr>
      <w:r w:rsidRPr="00253A3D">
        <w:t>($ million</w:t>
      </w:r>
      <w:r>
        <w:t>)</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EB2928" w:rsidRPr="005C543F" w:rsidTr="008079E9">
        <w:trPr>
          <w:trHeight w:val="503"/>
          <w:tblHeader/>
        </w:trPr>
        <w:tc>
          <w:tcPr>
            <w:tcW w:w="3784" w:type="dxa"/>
            <w:tcBorders>
              <w:top w:val="single" w:sz="6" w:space="0" w:color="auto"/>
              <w:left w:val="single" w:sz="6" w:space="0" w:color="auto"/>
              <w:right w:val="nil"/>
            </w:tcBorders>
            <w:shd w:val="clear" w:color="000000" w:fill="000000"/>
          </w:tcPr>
          <w:p w:rsidR="00EB2928" w:rsidRPr="005C543F" w:rsidRDefault="00EB2928"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2015-16</w:t>
            </w:r>
            <w:r>
              <w:rPr>
                <w:rFonts w:eastAsiaTheme="minorEastAsia"/>
                <w:iCs/>
                <w:color w:val="FFFFFF"/>
                <w:lang w:eastAsia="en-AU"/>
              </w:rPr>
              <w:t xml:space="preserve"> </w:t>
            </w:r>
            <w:r w:rsidRPr="005C543F">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2016-17</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2017-18</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EB2928" w:rsidRPr="005C543F" w:rsidRDefault="00EB2928" w:rsidP="00EB2928">
            <w:pPr>
              <w:pStyle w:val="Tabletextheading"/>
              <w:rPr>
                <w:rFonts w:eastAsiaTheme="minorEastAsia"/>
                <w:iCs/>
                <w:color w:val="FFFFFF"/>
                <w:lang w:eastAsia="en-AU"/>
              </w:rPr>
            </w:pPr>
            <w:r w:rsidRPr="005C543F">
              <w:rPr>
                <w:rFonts w:eastAsiaTheme="minorEastAsia"/>
                <w:iCs/>
                <w:color w:val="FFFFFF"/>
                <w:lang w:eastAsia="en-AU"/>
              </w:rPr>
              <w:t>2018-19</w:t>
            </w:r>
            <w:r>
              <w:rPr>
                <w:rFonts w:eastAsiaTheme="minorEastAsia"/>
                <w:iCs/>
                <w:color w:val="FFFFFF"/>
                <w:lang w:eastAsia="en-AU"/>
              </w:rPr>
              <w:t xml:space="preserve"> </w:t>
            </w:r>
            <w:r w:rsidRPr="005C543F">
              <w:rPr>
                <w:rFonts w:eastAsiaTheme="minorEastAsia"/>
                <w:iCs/>
                <w:color w:val="FFFFFF"/>
                <w:lang w:eastAsia="en-AU"/>
              </w:rPr>
              <w:t>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General public services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127.5</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657.9</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461.2</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446.2</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Public order and safety</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799.0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379.8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540.5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192.4</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Education</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493.4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517.6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260.6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255.9</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Health</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692.4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1 042.6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275.7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Social security and welfare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114.0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79.8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68.2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67.1</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Housing and community amenities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42.9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37.1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26.7</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Recreation and culture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120.9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76.3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39.7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60.8</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Fuel and energy</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2.6</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Agriculture, forestry fishing, and hunting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4.6</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Transport and communications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2 365.6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2 846.5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2 694.8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2 392.3</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economic affairs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131.2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111.9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104.3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17.3</w:t>
            </w:r>
          </w:p>
        </w:tc>
      </w:tr>
      <w:tr w:rsidR="00B03921" w:rsidRPr="005C543F" w:rsidTr="00016914">
        <w:tc>
          <w:tcPr>
            <w:tcW w:w="3784"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Other purposes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0.9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0.9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0.9</w:t>
            </w:r>
          </w:p>
        </w:tc>
      </w:tr>
      <w:tr w:rsidR="00B03921" w:rsidRPr="005C543F" w:rsidTr="00016914">
        <w:tc>
          <w:tcPr>
            <w:tcW w:w="3784" w:type="dxa"/>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vertAlign w:val="superscript"/>
                <w:lang w:eastAsia="en-AU"/>
              </w:rPr>
            </w:pPr>
            <w:r>
              <w:rPr>
                <w:rFonts w:eastAsiaTheme="minorEastAsia"/>
                <w:lang w:eastAsia="en-AU"/>
              </w:rPr>
              <w:t>Not allocated by purpose</w:t>
            </w:r>
            <w:r w:rsidRPr="005C543F">
              <w:rPr>
                <w:rFonts w:eastAsiaTheme="minorEastAsia"/>
                <w:vertAlign w:val="superscript"/>
                <w:lang w:eastAsia="en-AU"/>
              </w:rPr>
              <w:t>(b)</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(356.1)</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403.5</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1 042.6</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1 451.7</w:t>
            </w:r>
          </w:p>
        </w:tc>
      </w:tr>
      <w:tr w:rsidR="00B03921" w:rsidRPr="005C543F" w:rsidTr="00016914">
        <w:tc>
          <w:tcPr>
            <w:tcW w:w="378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purchases of non-financial assets</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4 551.7</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6 166.9</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5 663.1</w:t>
            </w:r>
          </w:p>
        </w:tc>
        <w:tc>
          <w:tcPr>
            <w:tcW w:w="994" w:type="dxa"/>
            <w:tcBorders>
              <w:top w:val="single" w:sz="6" w:space="0" w:color="auto"/>
              <w:left w:val="nil"/>
              <w:bottom w:val="single" w:sz="12" w:space="0" w:color="000000"/>
              <w:right w:val="nil"/>
            </w:tcBorders>
            <w:shd w:val="clear" w:color="auto"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5 194.3</w:t>
            </w:r>
          </w:p>
        </w:tc>
      </w:tr>
    </w:tbl>
    <w:p w:rsidR="00B03921" w:rsidRDefault="00B03921" w:rsidP="00016914">
      <w:pPr>
        <w:pStyle w:val="Notes"/>
      </w:pPr>
      <w:r>
        <w:t>Notes:</w:t>
      </w:r>
    </w:p>
    <w:p w:rsidR="00B03921" w:rsidRDefault="00B03921" w:rsidP="00016914">
      <w:pPr>
        <w:pStyle w:val="Notes"/>
      </w:pPr>
      <w:r>
        <w:t xml:space="preserve">(a) </w:t>
      </w:r>
      <w:r>
        <w:tab/>
        <w:t xml:space="preserve">Note 41 of the </w:t>
      </w:r>
      <w:r w:rsidRPr="00253A3D">
        <w:rPr>
          <w:i w:val="0"/>
        </w:rPr>
        <w:t>2013</w:t>
      </w:r>
      <w:r>
        <w:rPr>
          <w:i w:val="0"/>
        </w:rPr>
        <w:noBreakHyphen/>
      </w:r>
      <w:r w:rsidRPr="00253A3D">
        <w:rPr>
          <w:i w:val="0"/>
        </w:rPr>
        <w:t xml:space="preserve">14 Financial Report </w:t>
      </w:r>
      <w:r w:rsidRPr="00B13C1E">
        <w:t>for the State of Victoria</w:t>
      </w:r>
      <w:r>
        <w:t xml:space="preserve"> provides definitions and descriptions of government purpose classifications.</w:t>
      </w:r>
    </w:p>
    <w:p w:rsidR="00B03921" w:rsidRDefault="00B03921" w:rsidP="00016914">
      <w:pPr>
        <w:pStyle w:val="Notes"/>
      </w:pPr>
      <w:r>
        <w:t xml:space="preserve">(b) </w:t>
      </w:r>
      <w:r>
        <w:tab/>
        <w:t>Estimated amount available to be allocated to departments and projects in future budgets, including for major capital investment. This includes departmental underspending, which may be subject to carryover.</w:t>
      </w:r>
    </w:p>
    <w:p w:rsidR="00B03921" w:rsidRDefault="00B03921" w:rsidP="00016914">
      <w:pPr>
        <w:pStyle w:val="BodyText"/>
      </w:pPr>
    </w:p>
    <w:p w:rsidR="00B03921" w:rsidRDefault="00B03921">
      <w:pPr>
        <w:spacing w:after="0"/>
        <w:rPr>
          <w:rFonts w:ascii="Calibri" w:hAnsi="Calibri"/>
          <w:b/>
          <w:sz w:val="26"/>
          <w:szCs w:val="22"/>
        </w:rPr>
      </w:pPr>
      <w:r>
        <w:br w:type="page"/>
      </w:r>
    </w:p>
    <w:p w:rsidR="0050285A" w:rsidRPr="004371B8" w:rsidRDefault="0050285A" w:rsidP="0050285A">
      <w:pPr>
        <w:pStyle w:val="Heading2Notes"/>
      </w:pPr>
      <w:r>
        <w:t>Note 20:</w:t>
      </w:r>
      <w:r>
        <w:tab/>
        <w:t xml:space="preserve">Assets classified by government purpose and by department </w:t>
      </w:r>
      <w:r w:rsidRPr="0050285A">
        <w:rPr>
          <w:i/>
        </w:rPr>
        <w:t>(continued)</w:t>
      </w:r>
    </w:p>
    <w:p w:rsidR="00B03921" w:rsidRDefault="00B03921" w:rsidP="00016914">
      <w:pPr>
        <w:pStyle w:val="Tableheading"/>
      </w:pPr>
      <w:r w:rsidRPr="004371B8">
        <w:t>(b)</w:t>
      </w:r>
      <w:r>
        <w:tab/>
      </w:r>
      <w:r w:rsidRPr="004371B8">
        <w:t>Purchase of non</w:t>
      </w:r>
      <w:r>
        <w:noBreakHyphen/>
      </w:r>
      <w:r w:rsidRPr="004371B8">
        <w:t>fin</w:t>
      </w:r>
      <w:r>
        <w:t>ancial assets by department</w:t>
      </w:r>
    </w:p>
    <w:p w:rsidR="00B03921" w:rsidRPr="00AE249F" w:rsidRDefault="00B03921" w:rsidP="00016914">
      <w:pPr>
        <w:pStyle w:val="million"/>
        <w:rPr>
          <w:rFonts w:ascii="Times New Roman" w:hAnsi="Times New Roman"/>
          <w:i w:val="0"/>
          <w:sz w:val="20"/>
          <w:szCs w:val="20"/>
          <w:lang w:eastAsia="en-AU"/>
        </w:rPr>
      </w:pPr>
      <w:r w:rsidRPr="004371B8">
        <w:t xml:space="preserve">($ </w:t>
      </w:r>
      <w:r w:rsidRPr="002C23D5">
        <w:t>million</w:t>
      </w:r>
      <w:r w:rsidRPr="004371B8">
        <w:t>)</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03921" w:rsidRPr="00AE249F" w:rsidTr="00016914">
        <w:tc>
          <w:tcPr>
            <w:tcW w:w="3784" w:type="dxa"/>
            <w:tcBorders>
              <w:top w:val="single" w:sz="6" w:space="0" w:color="auto"/>
              <w:left w:val="single" w:sz="6" w:space="0" w:color="auto"/>
              <w:bottom w:val="single" w:sz="6" w:space="0" w:color="auto"/>
              <w:right w:val="nil"/>
            </w:tcBorders>
            <w:shd w:val="clear" w:color="000000" w:fill="000000"/>
          </w:tcPr>
          <w:p w:rsidR="00B03921" w:rsidRPr="00AE249F" w:rsidRDefault="00B03921" w:rsidP="00016914">
            <w:pPr>
              <w:pStyle w:val="Tabletext"/>
              <w:rPr>
                <w:rFonts w:eastAsiaTheme="minorEastAsia"/>
                <w:i/>
                <w:lang w:eastAsia="en-AU"/>
              </w:rPr>
            </w:pPr>
            <w:r w:rsidRPr="00AE249F">
              <w:rPr>
                <w:rFonts w:eastAsiaTheme="minorEastAsia"/>
                <w:i/>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AE249F" w:rsidRDefault="00B03921" w:rsidP="00016914">
            <w:pPr>
              <w:pStyle w:val="Tabletextheading"/>
              <w:rPr>
                <w:rFonts w:eastAsiaTheme="minorEastAsia"/>
                <w:color w:val="FFFFFF"/>
                <w:lang w:eastAsia="en-AU"/>
              </w:rPr>
            </w:pPr>
            <w:r w:rsidRPr="00AE249F">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AE249F" w:rsidRDefault="00B03921" w:rsidP="00016914">
            <w:pPr>
              <w:pStyle w:val="Tabletextheading"/>
              <w:rPr>
                <w:rFonts w:eastAsiaTheme="minorEastAsia"/>
                <w:color w:val="FFFFFF"/>
                <w:lang w:eastAsia="en-AU"/>
              </w:rPr>
            </w:pPr>
            <w:r w:rsidRPr="00AE249F">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AE249F" w:rsidRDefault="00B03921" w:rsidP="00016914">
            <w:pPr>
              <w:pStyle w:val="Tabletextheading"/>
              <w:rPr>
                <w:rFonts w:eastAsiaTheme="minorEastAsia"/>
                <w:color w:val="FFFFFF"/>
                <w:lang w:eastAsia="en-AU"/>
              </w:rPr>
            </w:pPr>
            <w:r w:rsidRPr="00AE249F">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AE249F" w:rsidRDefault="00B03921" w:rsidP="00016914">
            <w:pPr>
              <w:pStyle w:val="Tabletextheading"/>
              <w:rPr>
                <w:rFonts w:eastAsiaTheme="minorEastAsia"/>
                <w:color w:val="FFFFFF"/>
                <w:lang w:eastAsia="en-AU"/>
              </w:rPr>
            </w:pPr>
            <w:r w:rsidRPr="00AE249F">
              <w:rPr>
                <w:rFonts w:eastAsiaTheme="minorEastAsia"/>
                <w:color w:val="FFFFFF"/>
                <w:lang w:eastAsia="en-AU"/>
              </w:rPr>
              <w:t>2018-19 estimate</w:t>
            </w:r>
          </w:p>
        </w:tc>
      </w:tr>
      <w:tr w:rsidR="00B03921" w:rsidRPr="00AE249F" w:rsidTr="00016914">
        <w:tc>
          <w:tcPr>
            <w:tcW w:w="3784" w:type="dxa"/>
            <w:tcBorders>
              <w:top w:val="single" w:sz="6" w:space="0" w:color="auto"/>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Economic Development, Jobs, Transport and Resources</w:t>
            </w:r>
          </w:p>
        </w:tc>
        <w:tc>
          <w:tcPr>
            <w:tcW w:w="994" w:type="dxa"/>
            <w:tcBorders>
              <w:top w:val="single" w:sz="6" w:space="0" w:color="auto"/>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2 193.7</w:t>
            </w:r>
          </w:p>
        </w:tc>
        <w:tc>
          <w:tcPr>
            <w:tcW w:w="994" w:type="dxa"/>
            <w:tcBorders>
              <w:top w:val="single" w:sz="6" w:space="0" w:color="auto"/>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2 078.6</w:t>
            </w:r>
          </w:p>
        </w:tc>
        <w:tc>
          <w:tcPr>
            <w:tcW w:w="994" w:type="dxa"/>
            <w:tcBorders>
              <w:top w:val="single" w:sz="6" w:space="0" w:color="auto"/>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1 186.4</w:t>
            </w:r>
          </w:p>
        </w:tc>
        <w:tc>
          <w:tcPr>
            <w:tcW w:w="994" w:type="dxa"/>
            <w:tcBorders>
              <w:top w:val="single" w:sz="6" w:space="0" w:color="auto"/>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615.1</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Education and Training</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487.6</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512.4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255.4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250.7</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Environment, Land, Water and Planning</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60.8</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61.3</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49.7</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39.7</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Health and Human Services</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873.4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1 112.6</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387.5</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234.1</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Justice and Regulation</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567.3</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243.2</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435.0</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8</w:t>
            </w:r>
            <w:r>
              <w:rPr>
                <w:rFonts w:eastAsiaTheme="minorEastAsia"/>
                <w:lang w:eastAsia="en-AU"/>
              </w:rPr>
              <w:t>6</w:t>
            </w:r>
            <w:r w:rsidRPr="00AE249F">
              <w:rPr>
                <w:rFonts w:eastAsiaTheme="minorEastAsia"/>
                <w:lang w:eastAsia="en-AU"/>
              </w:rPr>
              <w:t>.</w:t>
            </w:r>
            <w:r>
              <w:rPr>
                <w:rFonts w:eastAsiaTheme="minorEastAsia"/>
                <w:lang w:eastAsia="en-AU"/>
              </w:rPr>
              <w:t>1</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Premier and Cabinet</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15.5</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14.5</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12.6</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12.6</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Treasury and Finance</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37.6</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55.5</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39.3</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56.7</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Parliament</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1.8</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1.8</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1.8</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lang w:eastAsia="en-AU"/>
              </w:rPr>
            </w:pPr>
            <w:r w:rsidRPr="00AE249F">
              <w:rPr>
                <w:rFonts w:eastAsiaTheme="minorEastAsia"/>
                <w:lang w:eastAsia="en-AU"/>
              </w:rPr>
              <w:t>Courts</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53.4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32.3</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9.8</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5.8</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vertAlign w:val="superscript"/>
                <w:lang w:eastAsia="en-AU"/>
              </w:rPr>
            </w:pPr>
            <w:r w:rsidRPr="00AE249F">
              <w:rPr>
                <w:rFonts w:eastAsiaTheme="minorEastAsia"/>
                <w:lang w:eastAsia="en-AU"/>
              </w:rPr>
              <w:t>Regulatory bodies and other part funded agencies</w:t>
            </w:r>
            <w:r w:rsidRPr="00AE249F">
              <w:rPr>
                <w:rFonts w:eastAsiaTheme="minorEastAsia"/>
                <w:vertAlign w:val="superscript"/>
                <w:lang w:eastAsia="en-AU"/>
              </w:rPr>
              <w:t>(a)</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168.2</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88.9</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87.9</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87.3</w:t>
            </w:r>
          </w:p>
        </w:tc>
      </w:tr>
      <w:tr w:rsidR="00B03921" w:rsidRPr="00AE249F" w:rsidTr="00016914">
        <w:tc>
          <w:tcPr>
            <w:tcW w:w="3784" w:type="dxa"/>
            <w:tcBorders>
              <w:top w:val="nil"/>
              <w:left w:val="nil"/>
              <w:bottom w:val="nil"/>
              <w:right w:val="nil"/>
            </w:tcBorders>
            <w:shd w:val="solid" w:color="FFFFFF" w:fill="auto"/>
          </w:tcPr>
          <w:p w:rsidR="00B03921" w:rsidRPr="00AE249F" w:rsidRDefault="00B03921" w:rsidP="00016914">
            <w:pPr>
              <w:pStyle w:val="Tabletext"/>
              <w:rPr>
                <w:rFonts w:eastAsiaTheme="minorEastAsia"/>
                <w:vertAlign w:val="superscript"/>
                <w:lang w:eastAsia="en-AU"/>
              </w:rPr>
            </w:pPr>
            <w:r w:rsidRPr="00AE249F">
              <w:rPr>
                <w:rFonts w:eastAsiaTheme="minorEastAsia"/>
                <w:lang w:eastAsia="en-AU"/>
              </w:rPr>
              <w:t>Contingencies not allocated to departments</w:t>
            </w:r>
            <w:r w:rsidRPr="00AE249F">
              <w:rPr>
                <w:rFonts w:eastAsiaTheme="minorEastAsia"/>
                <w:vertAlign w:val="superscript"/>
                <w:lang w:eastAsia="en-AU"/>
              </w:rPr>
              <w:t>(b)</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478.1</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2 032.4</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3 170.8</w:t>
            </w:r>
          </w:p>
        </w:tc>
        <w:tc>
          <w:tcPr>
            <w:tcW w:w="994" w:type="dxa"/>
            <w:tcBorders>
              <w:top w:val="nil"/>
              <w:left w:val="nil"/>
              <w:bottom w:val="nil"/>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3 917.8</w:t>
            </w:r>
          </w:p>
        </w:tc>
      </w:tr>
      <w:tr w:rsidR="00B03921" w:rsidRPr="00AE249F" w:rsidTr="00016914">
        <w:tc>
          <w:tcPr>
            <w:tcW w:w="3784" w:type="dxa"/>
            <w:tcBorders>
              <w:top w:val="nil"/>
              <w:left w:val="nil"/>
              <w:bottom w:val="single" w:sz="6" w:space="0" w:color="000000"/>
              <w:right w:val="nil"/>
            </w:tcBorders>
            <w:shd w:val="solid" w:color="FFFFFF" w:fill="auto"/>
          </w:tcPr>
          <w:p w:rsidR="00B03921" w:rsidRPr="00AE249F" w:rsidRDefault="00B03921" w:rsidP="00016914">
            <w:pPr>
              <w:pStyle w:val="Tabletext"/>
              <w:rPr>
                <w:rFonts w:eastAsiaTheme="minorEastAsia"/>
                <w:vertAlign w:val="superscript"/>
                <w:lang w:eastAsia="en-AU"/>
              </w:rPr>
            </w:pPr>
            <w:r w:rsidRPr="00AE249F">
              <w:rPr>
                <w:rFonts w:eastAsiaTheme="minorEastAsia"/>
                <w:lang w:eastAsia="en-AU"/>
              </w:rPr>
              <w:t>Adjustments</w:t>
            </w:r>
            <w:r w:rsidRPr="00AE249F">
              <w:rPr>
                <w:rFonts w:eastAsiaTheme="minorEastAsia"/>
                <w:vertAlign w:val="superscript"/>
                <w:lang w:eastAsia="en-AU"/>
              </w:rPr>
              <w:t>(c)</w:t>
            </w:r>
          </w:p>
        </w:tc>
        <w:tc>
          <w:tcPr>
            <w:tcW w:w="994" w:type="dxa"/>
            <w:tcBorders>
              <w:top w:val="nil"/>
              <w:left w:val="nil"/>
              <w:bottom w:val="single" w:sz="6" w:space="0" w:color="000000"/>
              <w:right w:val="nil"/>
            </w:tcBorders>
            <w:shd w:val="solid" w:color="FFFFFF" w:fill="auto"/>
          </w:tcPr>
          <w:p w:rsidR="00B03921" w:rsidRPr="00AE249F" w:rsidRDefault="00B03921" w:rsidP="00016914">
            <w:pPr>
              <w:pStyle w:val="TableofFigures"/>
              <w:rPr>
                <w:rFonts w:eastAsiaTheme="minorEastAsia" w:cs="Calibri"/>
                <w:color w:val="000000"/>
                <w:lang w:eastAsia="en-AU"/>
              </w:rPr>
            </w:pPr>
            <w:r>
              <w:rPr>
                <w:rFonts w:eastAsiaTheme="minorEastAsia"/>
                <w:lang w:eastAsia="en-AU"/>
              </w:rPr>
              <w:t>(389.4)</w:t>
            </w:r>
          </w:p>
        </w:tc>
        <w:tc>
          <w:tcPr>
            <w:tcW w:w="994" w:type="dxa"/>
            <w:tcBorders>
              <w:top w:val="nil"/>
              <w:left w:val="nil"/>
              <w:bottom w:val="single" w:sz="6" w:space="0" w:color="000000"/>
              <w:right w:val="nil"/>
            </w:tcBorders>
            <w:shd w:val="solid" w:color="FFFFFF" w:fill="auto"/>
          </w:tcPr>
          <w:p w:rsidR="00B03921" w:rsidRPr="00AE249F" w:rsidRDefault="00B03921" w:rsidP="00016914">
            <w:pPr>
              <w:pStyle w:val="TableofFigures"/>
              <w:rPr>
                <w:rFonts w:eastAsiaTheme="minorEastAsia" w:cs="Calibri"/>
                <w:color w:val="000000"/>
                <w:lang w:eastAsia="en-AU"/>
              </w:rPr>
            </w:pPr>
            <w:r>
              <w:rPr>
                <w:rFonts w:eastAsiaTheme="minorEastAsia"/>
                <w:lang w:eastAsia="en-AU"/>
              </w:rPr>
              <w:t>(66.6)</w:t>
            </w:r>
          </w:p>
        </w:tc>
        <w:tc>
          <w:tcPr>
            <w:tcW w:w="994" w:type="dxa"/>
            <w:tcBorders>
              <w:top w:val="nil"/>
              <w:left w:val="nil"/>
              <w:bottom w:val="single" w:sz="6" w:space="0" w:color="000000"/>
              <w:right w:val="nil"/>
            </w:tcBorders>
            <w:shd w:val="solid" w:color="FFFFFF" w:fill="auto"/>
          </w:tcPr>
          <w:p w:rsidR="00B03921" w:rsidRPr="00AE249F" w:rsidRDefault="00B03921" w:rsidP="00016914">
            <w:pPr>
              <w:pStyle w:val="TableofFigures"/>
              <w:rPr>
                <w:rFonts w:eastAsiaTheme="minorEastAsia"/>
                <w:lang w:eastAsia="en-AU"/>
              </w:rPr>
            </w:pPr>
            <w:r w:rsidRPr="00AE249F">
              <w:rPr>
                <w:rFonts w:eastAsiaTheme="minorEastAsia"/>
                <w:lang w:eastAsia="en-AU"/>
              </w:rPr>
              <w:t xml:space="preserve"> 26.9</w:t>
            </w:r>
          </w:p>
        </w:tc>
        <w:tc>
          <w:tcPr>
            <w:tcW w:w="994" w:type="dxa"/>
            <w:tcBorders>
              <w:top w:val="nil"/>
              <w:left w:val="nil"/>
              <w:bottom w:val="single" w:sz="6" w:space="0" w:color="000000"/>
              <w:right w:val="nil"/>
            </w:tcBorders>
            <w:shd w:val="solid" w:color="FFFFFF" w:fill="auto"/>
          </w:tcPr>
          <w:p w:rsidR="00B03921" w:rsidRPr="00AE249F" w:rsidRDefault="00B03921" w:rsidP="00016914">
            <w:pPr>
              <w:pStyle w:val="TableofFigures"/>
              <w:rPr>
                <w:rFonts w:eastAsiaTheme="minorEastAsia" w:cs="Calibri"/>
                <w:color w:val="000000"/>
                <w:lang w:eastAsia="en-AU"/>
              </w:rPr>
            </w:pPr>
            <w:r>
              <w:rPr>
                <w:rFonts w:eastAsiaTheme="minorEastAsia"/>
                <w:lang w:eastAsia="en-AU"/>
              </w:rPr>
              <w:t>(113.4)</w:t>
            </w:r>
          </w:p>
        </w:tc>
      </w:tr>
      <w:tr w:rsidR="00B03921" w:rsidRPr="00AE249F" w:rsidTr="00016914">
        <w:tc>
          <w:tcPr>
            <w:tcW w:w="3784" w:type="dxa"/>
            <w:tcBorders>
              <w:top w:val="single" w:sz="6" w:space="0" w:color="000000"/>
              <w:left w:val="nil"/>
              <w:bottom w:val="single" w:sz="12" w:space="0" w:color="000000"/>
              <w:right w:val="nil"/>
            </w:tcBorders>
            <w:shd w:val="solid" w:color="FFFFFF" w:fill="auto"/>
          </w:tcPr>
          <w:p w:rsidR="00B03921" w:rsidRPr="00AE249F" w:rsidRDefault="00B03921" w:rsidP="00016914">
            <w:pPr>
              <w:pStyle w:val="Tabletext"/>
              <w:rPr>
                <w:rFonts w:eastAsiaTheme="minorEastAsia"/>
                <w:b/>
                <w:bCs/>
                <w:lang w:eastAsia="en-AU"/>
              </w:rPr>
            </w:pPr>
            <w:r w:rsidRPr="00AE249F">
              <w:rPr>
                <w:rFonts w:eastAsiaTheme="minorEastAsia"/>
                <w:b/>
                <w:bCs/>
                <w:lang w:eastAsia="en-AU"/>
              </w:rPr>
              <w:t xml:space="preserve">Total </w:t>
            </w:r>
            <w:r>
              <w:rPr>
                <w:rFonts w:eastAsiaTheme="minorEastAsia"/>
                <w:b/>
                <w:bCs/>
                <w:lang w:eastAsia="en-AU"/>
              </w:rPr>
              <w:t>purchases of non-financial assets</w:t>
            </w:r>
          </w:p>
        </w:tc>
        <w:tc>
          <w:tcPr>
            <w:tcW w:w="994" w:type="dxa"/>
            <w:tcBorders>
              <w:top w:val="single" w:sz="6" w:space="0" w:color="000000"/>
              <w:left w:val="nil"/>
              <w:bottom w:val="single" w:sz="12" w:space="0" w:color="000000"/>
              <w:right w:val="nil"/>
            </w:tcBorders>
            <w:shd w:val="solid" w:color="FFFFFF" w:fill="auto"/>
          </w:tcPr>
          <w:p w:rsidR="00B03921" w:rsidRPr="00AE249F" w:rsidRDefault="00B03921" w:rsidP="00016914">
            <w:pPr>
              <w:pStyle w:val="TableofFigures"/>
              <w:rPr>
                <w:rFonts w:eastAsiaTheme="minorEastAsia"/>
                <w:b/>
                <w:bCs/>
                <w:lang w:eastAsia="en-AU"/>
              </w:rPr>
            </w:pPr>
            <w:r w:rsidRPr="00AE249F">
              <w:rPr>
                <w:rFonts w:eastAsiaTheme="minorEastAsia"/>
                <w:b/>
                <w:bCs/>
                <w:lang w:eastAsia="en-AU"/>
              </w:rPr>
              <w:t>4 551.7</w:t>
            </w:r>
          </w:p>
        </w:tc>
        <w:tc>
          <w:tcPr>
            <w:tcW w:w="994" w:type="dxa"/>
            <w:tcBorders>
              <w:top w:val="single" w:sz="6" w:space="0" w:color="000000"/>
              <w:left w:val="nil"/>
              <w:bottom w:val="single" w:sz="12" w:space="0" w:color="000000"/>
              <w:right w:val="nil"/>
            </w:tcBorders>
            <w:shd w:val="solid" w:color="FFFFFF" w:fill="auto"/>
          </w:tcPr>
          <w:p w:rsidR="00B03921" w:rsidRPr="00AE249F" w:rsidRDefault="00B03921" w:rsidP="00016914">
            <w:pPr>
              <w:pStyle w:val="TableofFigures"/>
              <w:rPr>
                <w:rFonts w:eastAsiaTheme="minorEastAsia"/>
                <w:b/>
                <w:bCs/>
                <w:lang w:eastAsia="en-AU"/>
              </w:rPr>
            </w:pPr>
            <w:r w:rsidRPr="00AE249F">
              <w:rPr>
                <w:rFonts w:eastAsiaTheme="minorEastAsia"/>
                <w:b/>
                <w:bCs/>
                <w:lang w:eastAsia="en-AU"/>
              </w:rPr>
              <w:t>6 166.9</w:t>
            </w:r>
          </w:p>
        </w:tc>
        <w:tc>
          <w:tcPr>
            <w:tcW w:w="994" w:type="dxa"/>
            <w:tcBorders>
              <w:top w:val="single" w:sz="6" w:space="0" w:color="000000"/>
              <w:left w:val="nil"/>
              <w:bottom w:val="single" w:sz="12" w:space="0" w:color="000000"/>
              <w:right w:val="nil"/>
            </w:tcBorders>
            <w:shd w:val="solid" w:color="FFFFFF" w:fill="auto"/>
          </w:tcPr>
          <w:p w:rsidR="00B03921" w:rsidRPr="00AE249F" w:rsidRDefault="00B03921" w:rsidP="00016914">
            <w:pPr>
              <w:pStyle w:val="TableofFigures"/>
              <w:rPr>
                <w:rFonts w:eastAsiaTheme="minorEastAsia"/>
                <w:b/>
                <w:bCs/>
                <w:lang w:eastAsia="en-AU"/>
              </w:rPr>
            </w:pPr>
            <w:r w:rsidRPr="00AE249F">
              <w:rPr>
                <w:rFonts w:eastAsiaTheme="minorEastAsia"/>
                <w:b/>
                <w:bCs/>
                <w:lang w:eastAsia="en-AU"/>
              </w:rPr>
              <w:t>5 663.1</w:t>
            </w:r>
          </w:p>
        </w:tc>
        <w:tc>
          <w:tcPr>
            <w:tcW w:w="994" w:type="dxa"/>
            <w:tcBorders>
              <w:top w:val="single" w:sz="6" w:space="0" w:color="000000"/>
              <w:left w:val="nil"/>
              <w:bottom w:val="single" w:sz="12" w:space="0" w:color="000000"/>
              <w:right w:val="nil"/>
            </w:tcBorders>
            <w:shd w:val="solid" w:color="FFFFFF" w:fill="auto"/>
          </w:tcPr>
          <w:p w:rsidR="00B03921" w:rsidRPr="00AE249F" w:rsidRDefault="00B03921" w:rsidP="00016914">
            <w:pPr>
              <w:pStyle w:val="TableofFigures"/>
              <w:rPr>
                <w:rFonts w:eastAsiaTheme="minorEastAsia"/>
                <w:b/>
                <w:bCs/>
                <w:lang w:eastAsia="en-AU"/>
              </w:rPr>
            </w:pPr>
            <w:r w:rsidRPr="00AE249F">
              <w:rPr>
                <w:rFonts w:eastAsiaTheme="minorEastAsia"/>
                <w:b/>
                <w:bCs/>
                <w:lang w:eastAsia="en-AU"/>
              </w:rPr>
              <w:t>5 194.3</w:t>
            </w:r>
          </w:p>
        </w:tc>
      </w:tr>
    </w:tbl>
    <w:p w:rsidR="00B03921" w:rsidRDefault="00B03921" w:rsidP="00016914">
      <w:pPr>
        <w:pStyle w:val="Notes"/>
      </w:pPr>
      <w:r>
        <w:t>Notes:</w:t>
      </w:r>
    </w:p>
    <w:p w:rsidR="00B03921" w:rsidRDefault="00B03921" w:rsidP="00016914">
      <w:pPr>
        <w:pStyle w:val="Notes"/>
      </w:pPr>
      <w:r>
        <w:t>(a)</w:t>
      </w:r>
      <w:r>
        <w:tab/>
        <w:t>Other general government sector agencies not allocated to departmental portfolios.</w:t>
      </w:r>
    </w:p>
    <w:p w:rsidR="00B03921" w:rsidRDefault="00B03921" w:rsidP="00016914">
      <w:pPr>
        <w:pStyle w:val="Notes"/>
      </w:pPr>
      <w:r>
        <w:t>(b)</w:t>
      </w:r>
      <w:r>
        <w:tab/>
        <w:t>Note 20 (c) provides a breakdown of the general government asset contingencies not allocated to departments.</w:t>
      </w:r>
    </w:p>
    <w:p w:rsidR="00B03921" w:rsidRDefault="00B03921" w:rsidP="00016914">
      <w:pPr>
        <w:pStyle w:val="Notes"/>
      </w:pPr>
      <w:r>
        <w:t>(c)</w:t>
      </w:r>
      <w:r>
        <w:tab/>
        <w:t>Mainly comprises estimated departmental underspend which may be subject to carryover and estimated outer budget agency underspend.</w:t>
      </w:r>
    </w:p>
    <w:p w:rsidR="00B03921" w:rsidRDefault="00B03921" w:rsidP="00016914">
      <w:pPr>
        <w:pStyle w:val="BodyText"/>
      </w:pPr>
    </w:p>
    <w:p w:rsidR="00B03921" w:rsidRDefault="00B03921" w:rsidP="00016914">
      <w:pPr>
        <w:pStyle w:val="BodyText"/>
      </w:pPr>
    </w:p>
    <w:p w:rsidR="00B03921" w:rsidRDefault="00B03921" w:rsidP="00016914">
      <w:pPr>
        <w:pStyle w:val="Tableheading"/>
      </w:pPr>
      <w:r>
        <w:t>(c)</w:t>
      </w:r>
      <w:r>
        <w:tab/>
        <w:t>General government asset contingencies not allocated to departments</w:t>
      </w:r>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EB2928" w:rsidRPr="005C543F" w:rsidTr="008079E9">
        <w:trPr>
          <w:trHeight w:val="503"/>
          <w:tblHeader/>
        </w:trPr>
        <w:tc>
          <w:tcPr>
            <w:tcW w:w="3784" w:type="dxa"/>
            <w:tcBorders>
              <w:top w:val="single" w:sz="6" w:space="0" w:color="auto"/>
              <w:left w:val="single" w:sz="6" w:space="0" w:color="auto"/>
              <w:right w:val="nil"/>
            </w:tcBorders>
            <w:shd w:val="clear" w:color="000000" w:fill="000000"/>
          </w:tcPr>
          <w:p w:rsidR="00EB2928" w:rsidRPr="005C543F" w:rsidRDefault="00EB2928"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color w:val="FFFFFF"/>
                <w:lang w:eastAsia="en-AU"/>
              </w:rPr>
            </w:pPr>
            <w:r w:rsidRPr="005C543F">
              <w:rPr>
                <w:rFonts w:eastAsiaTheme="minorEastAsia"/>
                <w:color w:val="FFFFFF"/>
                <w:lang w:eastAsia="en-AU"/>
              </w:rPr>
              <w:t>2015-16</w:t>
            </w:r>
            <w:r>
              <w:rPr>
                <w:rFonts w:eastAsiaTheme="minorEastAsia"/>
                <w:color w:val="FFFFFF"/>
                <w:lang w:eastAsia="en-AU"/>
              </w:rPr>
              <w:t xml:space="preserve"> </w:t>
            </w:r>
            <w:r w:rsidRPr="005C543F">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color w:val="FFFFFF"/>
                <w:lang w:eastAsia="en-AU"/>
              </w:rPr>
            </w:pPr>
            <w:r w:rsidRPr="005C543F">
              <w:rPr>
                <w:rFonts w:eastAsiaTheme="minorEastAsia"/>
                <w:color w:val="FFFFFF"/>
                <w:lang w:eastAsia="en-AU"/>
              </w:rPr>
              <w:t>2016-17</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EB2928" w:rsidRPr="005C543F" w:rsidRDefault="00EB2928" w:rsidP="00EB2928">
            <w:pPr>
              <w:pStyle w:val="Tabletextheading"/>
              <w:rPr>
                <w:rFonts w:eastAsiaTheme="minorEastAsia"/>
                <w:color w:val="FFFFFF"/>
                <w:lang w:eastAsia="en-AU"/>
              </w:rPr>
            </w:pPr>
            <w:r w:rsidRPr="005C543F">
              <w:rPr>
                <w:rFonts w:eastAsiaTheme="minorEastAsia"/>
                <w:color w:val="FFFFFF"/>
                <w:lang w:eastAsia="en-AU"/>
              </w:rPr>
              <w:t>2017-18</w:t>
            </w:r>
            <w:r>
              <w:rPr>
                <w:rFonts w:eastAsiaTheme="minorEastAsia"/>
                <w:color w:val="FFFFFF"/>
                <w:lang w:eastAsia="en-AU"/>
              </w:rPr>
              <w:t xml:space="preserve"> </w:t>
            </w:r>
            <w:r w:rsidRPr="005C543F">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EB2928" w:rsidRPr="005C543F" w:rsidRDefault="00EB2928" w:rsidP="00EB2928">
            <w:pPr>
              <w:pStyle w:val="Tabletextheading"/>
              <w:rPr>
                <w:rFonts w:eastAsiaTheme="minorEastAsia"/>
                <w:color w:val="FFFFFF"/>
                <w:lang w:eastAsia="en-AU"/>
              </w:rPr>
            </w:pPr>
            <w:r w:rsidRPr="005C543F">
              <w:rPr>
                <w:rFonts w:eastAsiaTheme="minorEastAsia"/>
                <w:color w:val="FFFFFF"/>
                <w:lang w:eastAsia="en-AU"/>
              </w:rPr>
              <w:t>2018-19</w:t>
            </w:r>
            <w:r>
              <w:rPr>
                <w:rFonts w:eastAsiaTheme="minorEastAsia"/>
                <w:color w:val="FFFFFF"/>
                <w:lang w:eastAsia="en-AU"/>
              </w:rPr>
              <w:t xml:space="preserve"> </w:t>
            </w:r>
            <w:r w:rsidRPr="005C543F">
              <w:rPr>
                <w:rFonts w:eastAsiaTheme="minorEastAsia"/>
                <w:color w:val="FFFFFF"/>
                <w:lang w:eastAsia="en-AU"/>
              </w:rPr>
              <w:t>estimate</w:t>
            </w:r>
          </w:p>
        </w:tc>
      </w:tr>
      <w:tr w:rsidR="00B03921" w:rsidRPr="005C543F" w:rsidTr="00016914">
        <w:tc>
          <w:tcPr>
            <w:tcW w:w="3784"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Decis</w:t>
            </w:r>
            <w:r>
              <w:rPr>
                <w:rFonts w:eastAsiaTheme="minorEastAsia"/>
                <w:lang w:eastAsia="en-AU"/>
              </w:rPr>
              <w:t>ions made but not yet allocated</w:t>
            </w:r>
            <w:r w:rsidRPr="005C543F">
              <w:rPr>
                <w:rFonts w:eastAsiaTheme="minorEastAsia"/>
                <w:vertAlign w:val="superscript"/>
                <w:lang w:eastAsia="en-AU"/>
              </w:rPr>
              <w:t>(a)</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478.1</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1 532.4</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2 170.8</w:t>
            </w:r>
          </w:p>
        </w:tc>
        <w:tc>
          <w:tcPr>
            <w:tcW w:w="994" w:type="dxa"/>
            <w:tcBorders>
              <w:top w:val="single" w:sz="6" w:space="0" w:color="auto"/>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2 467.8</w:t>
            </w:r>
          </w:p>
        </w:tc>
      </w:tr>
      <w:tr w:rsidR="00B03921" w:rsidRPr="005C543F" w:rsidTr="00016914">
        <w:tc>
          <w:tcPr>
            <w:tcW w:w="3784" w:type="dxa"/>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Funding not</w:t>
            </w:r>
            <w:r>
              <w:rPr>
                <w:rFonts w:eastAsiaTheme="minorEastAsia"/>
                <w:lang w:eastAsia="en-AU"/>
              </w:rPr>
              <w:t xml:space="preserve"> allocated to specific purposes</w:t>
            </w:r>
            <w:r w:rsidRPr="005C543F">
              <w:rPr>
                <w:rFonts w:eastAsiaTheme="minorEastAsia"/>
                <w:vertAlign w:val="superscript"/>
                <w:lang w:eastAsia="en-AU"/>
              </w:rPr>
              <w:t>(b)</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500.0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1 000.0</w:t>
            </w:r>
          </w:p>
        </w:tc>
        <w:tc>
          <w:tcPr>
            <w:tcW w:w="994" w:type="dxa"/>
            <w:tcBorders>
              <w:top w:val="nil"/>
              <w:left w:val="nil"/>
              <w:bottom w:val="single" w:sz="6" w:space="0" w:color="auto"/>
              <w:right w:val="nil"/>
            </w:tcBorders>
          </w:tcPr>
          <w:p w:rsidR="00B03921" w:rsidRPr="005C543F" w:rsidRDefault="00B03921" w:rsidP="00016914">
            <w:pPr>
              <w:pStyle w:val="TableofFigures"/>
              <w:rPr>
                <w:rFonts w:eastAsiaTheme="minorEastAsia" w:cs="Calibri"/>
                <w:color w:val="000000"/>
                <w:lang w:eastAsia="en-AU"/>
              </w:rPr>
            </w:pPr>
            <w:r w:rsidRPr="005C543F">
              <w:rPr>
                <w:rFonts w:eastAsiaTheme="minorEastAsia"/>
                <w:lang w:eastAsia="en-AU"/>
              </w:rPr>
              <w:t>1 450.0</w:t>
            </w:r>
          </w:p>
        </w:tc>
      </w:tr>
      <w:tr w:rsidR="00B03921" w:rsidRPr="005C543F" w:rsidTr="00016914">
        <w:tc>
          <w:tcPr>
            <w:tcW w:w="378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general government asset contingencies</w:t>
            </w:r>
          </w:p>
        </w:tc>
        <w:tc>
          <w:tcPr>
            <w:tcW w:w="994" w:type="dxa"/>
            <w:tcBorders>
              <w:top w:val="single" w:sz="6" w:space="0" w:color="auto"/>
              <w:left w:val="nil"/>
              <w:bottom w:val="single" w:sz="12" w:space="0" w:color="000000"/>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478.1</w:t>
            </w:r>
          </w:p>
        </w:tc>
        <w:tc>
          <w:tcPr>
            <w:tcW w:w="994" w:type="dxa"/>
            <w:tcBorders>
              <w:top w:val="single" w:sz="6" w:space="0" w:color="auto"/>
              <w:left w:val="nil"/>
              <w:bottom w:val="single" w:sz="12" w:space="0" w:color="000000"/>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2 032.4</w:t>
            </w:r>
          </w:p>
        </w:tc>
        <w:tc>
          <w:tcPr>
            <w:tcW w:w="994" w:type="dxa"/>
            <w:tcBorders>
              <w:top w:val="single" w:sz="6" w:space="0" w:color="auto"/>
              <w:left w:val="nil"/>
              <w:bottom w:val="single" w:sz="12" w:space="0" w:color="000000"/>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3 170.8</w:t>
            </w:r>
          </w:p>
        </w:tc>
        <w:tc>
          <w:tcPr>
            <w:tcW w:w="994" w:type="dxa"/>
            <w:tcBorders>
              <w:top w:val="single" w:sz="6" w:space="0" w:color="auto"/>
              <w:left w:val="nil"/>
              <w:bottom w:val="single" w:sz="12" w:space="0" w:color="000000"/>
              <w:right w:val="nil"/>
            </w:tcBorders>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3 917.8</w:t>
            </w:r>
          </w:p>
        </w:tc>
      </w:tr>
    </w:tbl>
    <w:p w:rsidR="00B03921" w:rsidRDefault="00B03921" w:rsidP="00016914">
      <w:pPr>
        <w:pStyle w:val="Notes"/>
      </w:pPr>
      <w:r>
        <w:t>Notes:</w:t>
      </w:r>
    </w:p>
    <w:p w:rsidR="00B03921" w:rsidRDefault="00B03921" w:rsidP="00016914">
      <w:pPr>
        <w:pStyle w:val="Notes"/>
      </w:pPr>
      <w:r>
        <w:t xml:space="preserve">(a) </w:t>
      </w:r>
      <w:r>
        <w:tab/>
        <w:t>A provision to account for asset policy decisions for which the funding has yet to be allocated to departments and provision for election commitments to be funded in future budgets.</w:t>
      </w:r>
    </w:p>
    <w:p w:rsidR="00B03921" w:rsidRDefault="00B03921" w:rsidP="00016914">
      <w:pPr>
        <w:pStyle w:val="Notes"/>
      </w:pPr>
      <w:r>
        <w:t xml:space="preserve">(b) </w:t>
      </w:r>
      <w:r>
        <w:tab/>
        <w:t>An unallocated provision available for future government asset investment decisions.</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50285A" w:rsidRPr="004371B8" w:rsidRDefault="0050285A" w:rsidP="0050285A">
      <w:pPr>
        <w:pStyle w:val="Heading2Notes"/>
      </w:pPr>
      <w:r>
        <w:t>Note 20:</w:t>
      </w:r>
      <w:r>
        <w:tab/>
        <w:t xml:space="preserve">Assets classified by government purpose and by department </w:t>
      </w:r>
      <w:r w:rsidRPr="0050285A">
        <w:rPr>
          <w:i/>
        </w:rPr>
        <w:t>(continued)</w:t>
      </w:r>
    </w:p>
    <w:p w:rsidR="00B03921" w:rsidRDefault="00B03921" w:rsidP="00016914">
      <w:pPr>
        <w:pStyle w:val="Tableheading"/>
      </w:pPr>
      <w:r w:rsidRPr="00393C77">
        <w:t>(d)</w:t>
      </w:r>
      <w:r>
        <w:tab/>
      </w:r>
      <w:r w:rsidRPr="00393C77">
        <w:t>Total assets by government purpose classification</w:t>
      </w:r>
      <w:r w:rsidRPr="00393C77">
        <w:rPr>
          <w:vertAlign w:val="superscript"/>
        </w:rPr>
        <w:t>(a)</w:t>
      </w:r>
    </w:p>
    <w:p w:rsidR="00B03921" w:rsidRPr="005C543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AD7F83" w:rsidRPr="005C543F" w:rsidTr="008224DF">
        <w:trPr>
          <w:trHeight w:val="503"/>
          <w:tblHeader/>
        </w:trPr>
        <w:tc>
          <w:tcPr>
            <w:tcW w:w="2790" w:type="dxa"/>
            <w:tcBorders>
              <w:top w:val="single" w:sz="6" w:space="0" w:color="auto"/>
              <w:left w:val="single" w:sz="6" w:space="0" w:color="auto"/>
              <w:right w:val="nil"/>
            </w:tcBorders>
            <w:shd w:val="clear" w:color="000000" w:fill="000000"/>
          </w:tcPr>
          <w:p w:rsidR="00AD7F83" w:rsidRPr="005C543F" w:rsidRDefault="00AD7F83" w:rsidP="00016914">
            <w:pPr>
              <w:pStyle w:val="Tabletext"/>
              <w:rPr>
                <w:rFonts w:eastAsiaTheme="minorEastAsia"/>
                <w:lang w:eastAsia="en-AU"/>
              </w:rPr>
            </w:pPr>
            <w:r w:rsidRPr="005C543F">
              <w:rPr>
                <w:rFonts w:eastAsiaTheme="minorEastAsia"/>
                <w:lang w:eastAsia="en-AU"/>
              </w:rPr>
              <w:t xml:space="preserve">  </w:t>
            </w:r>
          </w:p>
          <w:p w:rsidR="00AD7F83" w:rsidRPr="005C543F" w:rsidRDefault="00AD7F83"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iCs/>
                <w:color w:val="FFFFFF"/>
                <w:lang w:eastAsia="en-AU"/>
              </w:rPr>
            </w:pPr>
            <w:r w:rsidRPr="005C543F">
              <w:rPr>
                <w:rFonts w:eastAsiaTheme="minorEastAsia"/>
                <w:iCs/>
                <w:color w:val="FFFFFF"/>
                <w:lang w:eastAsia="en-AU"/>
              </w:rPr>
              <w:t>2015</w:t>
            </w:r>
            <w:r>
              <w:rPr>
                <w:rFonts w:eastAsiaTheme="minorEastAsia"/>
                <w:iCs/>
                <w:color w:val="FFFFFF"/>
                <w:lang w:eastAsia="en-AU"/>
              </w:rPr>
              <w:t xml:space="preserve"> </w:t>
            </w:r>
            <w:r w:rsidRPr="005C543F">
              <w:rPr>
                <w:rFonts w:eastAsiaTheme="minorEastAsia"/>
                <w:iCs/>
                <w:color w:val="FFFFFF"/>
                <w:lang w:eastAsia="en-AU"/>
              </w:rPr>
              <w:t>revised</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iCs/>
                <w:color w:val="FFFFFF"/>
                <w:lang w:eastAsia="en-AU"/>
              </w:rPr>
            </w:pPr>
            <w:r w:rsidRPr="005C543F">
              <w:rPr>
                <w:rFonts w:eastAsiaTheme="minorEastAsia"/>
                <w:iCs/>
                <w:color w:val="FFFFFF"/>
                <w:lang w:eastAsia="en-AU"/>
              </w:rPr>
              <w:t>2016</w:t>
            </w:r>
            <w:r>
              <w:rPr>
                <w:rFonts w:eastAsiaTheme="minorEastAsia"/>
                <w:iCs/>
                <w:color w:val="FFFFFF"/>
                <w:lang w:eastAsia="en-AU"/>
              </w:rPr>
              <w:t xml:space="preserve"> </w:t>
            </w:r>
            <w:r w:rsidRPr="005C543F">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iCs/>
                <w:color w:val="FFFFFF"/>
                <w:lang w:eastAsia="en-AU"/>
              </w:rPr>
            </w:pPr>
            <w:r w:rsidRPr="005C543F">
              <w:rPr>
                <w:rFonts w:eastAsiaTheme="minorEastAsia"/>
                <w:iCs/>
                <w:color w:val="FFFFFF"/>
                <w:lang w:eastAsia="en-AU"/>
              </w:rPr>
              <w:t>2017</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AD7F83" w:rsidRPr="005C543F" w:rsidRDefault="00AD7F83" w:rsidP="00AD7F83">
            <w:pPr>
              <w:pStyle w:val="Tabletextheading"/>
              <w:rPr>
                <w:rFonts w:eastAsiaTheme="minorEastAsia"/>
                <w:iCs/>
                <w:color w:val="FFFFFF"/>
                <w:lang w:eastAsia="en-AU"/>
              </w:rPr>
            </w:pPr>
            <w:r w:rsidRPr="005C543F">
              <w:rPr>
                <w:rFonts w:eastAsiaTheme="minorEastAsia"/>
                <w:iCs/>
                <w:color w:val="FFFFFF"/>
                <w:lang w:eastAsia="en-AU"/>
              </w:rPr>
              <w:t>2018</w:t>
            </w:r>
            <w:r>
              <w:rPr>
                <w:rFonts w:eastAsiaTheme="minorEastAsia"/>
                <w:iCs/>
                <w:color w:val="FFFFFF"/>
                <w:lang w:eastAsia="en-AU"/>
              </w:rPr>
              <w:t xml:space="preserve"> </w:t>
            </w:r>
            <w:r w:rsidRPr="005C543F">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AD7F83" w:rsidRPr="005C543F" w:rsidRDefault="00AD7F83" w:rsidP="00AD7F83">
            <w:pPr>
              <w:pStyle w:val="Tabletextheading"/>
              <w:rPr>
                <w:rFonts w:eastAsiaTheme="minorEastAsia"/>
                <w:iCs/>
                <w:color w:val="FFFFFF"/>
                <w:lang w:eastAsia="en-AU"/>
              </w:rPr>
            </w:pPr>
            <w:r w:rsidRPr="005C543F">
              <w:rPr>
                <w:rFonts w:eastAsiaTheme="minorEastAsia"/>
                <w:iCs/>
                <w:color w:val="FFFFFF"/>
                <w:lang w:eastAsia="en-AU"/>
              </w:rPr>
              <w:t>2019</w:t>
            </w:r>
            <w:r>
              <w:rPr>
                <w:rFonts w:eastAsiaTheme="minorEastAsia"/>
                <w:iCs/>
                <w:color w:val="FFFFFF"/>
                <w:lang w:eastAsia="en-AU"/>
              </w:rPr>
              <w:t xml:space="preserve"> </w:t>
            </w:r>
            <w:r w:rsidRPr="005C543F">
              <w:rPr>
                <w:rFonts w:eastAsiaTheme="minorEastAsia"/>
                <w:iCs/>
                <w:color w:val="FFFFFF"/>
                <w:lang w:eastAsia="en-AU"/>
              </w:rPr>
              <w:t>estimate</w:t>
            </w:r>
          </w:p>
        </w:tc>
      </w:tr>
      <w:tr w:rsidR="00B03921" w:rsidRPr="005C543F" w:rsidTr="00016914">
        <w:tc>
          <w:tcPr>
            <w:tcW w:w="2790"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General public services</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1 218.1</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1 101.1</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400.1</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326.4</w:t>
            </w:r>
          </w:p>
        </w:tc>
        <w:tc>
          <w:tcPr>
            <w:tcW w:w="994"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284.6</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Public order and safety</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8 770.3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8 888.5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8 899.3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9 542.1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9 346.0</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Education</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18 326.0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18 399.4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17 383.3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16 989.2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16 177.1</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Health</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12 818.5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13 743.3</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14 140.1</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13 524.2</w:t>
            </w:r>
          </w:p>
        </w:tc>
        <w:tc>
          <w:tcPr>
            <w:tcW w:w="994" w:type="dxa"/>
            <w:tcBorders>
              <w:top w:val="nil"/>
              <w:left w:val="nil"/>
              <w:bottom w:val="nil"/>
              <w:right w:val="nil"/>
            </w:tcBorders>
          </w:tcPr>
          <w:p w:rsidR="00B03921" w:rsidRPr="005C543F" w:rsidRDefault="00B03921" w:rsidP="00016914">
            <w:pPr>
              <w:pStyle w:val="TableofFigures"/>
              <w:rPr>
                <w:rFonts w:eastAsiaTheme="minorEastAsia"/>
                <w:lang w:eastAsia="en-AU"/>
              </w:rPr>
            </w:pPr>
            <w:r w:rsidRPr="005C543F">
              <w:rPr>
                <w:rFonts w:eastAsiaTheme="minorEastAsia"/>
                <w:lang w:eastAsia="en-AU"/>
              </w:rPr>
              <w:t>12 754.1</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Social security and welfare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1 074.4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1 134.2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1 158.1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1 170.6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1 182.0</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Housing and community amenities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7 186.9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7 180.1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7 103.9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6 939.3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6 849.3</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Recreation and culture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8 309.9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8 429.3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8 435.0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8 406.1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8 397.0</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Fuel and energy</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15.6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16.6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17.5</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Agriculture, forestry, fishing and hunting</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609.9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582.2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554.5</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Transport and communications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52 650.9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53 035.4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53 398.9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58 917.2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58 373.7</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economic affairs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706.5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771.0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889.9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994.2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1 002.3</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Other purposes </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2.5</w:t>
            </w:r>
          </w:p>
        </w:tc>
      </w:tr>
      <w:tr w:rsidR="00B03921" w:rsidRPr="005C543F" w:rsidTr="00016914">
        <w:tc>
          <w:tcPr>
            <w:tcW w:w="2790" w:type="dxa"/>
            <w:tcBorders>
              <w:top w:val="nil"/>
              <w:left w:val="nil"/>
              <w:bottom w:val="single" w:sz="6" w:space="0" w:color="auto"/>
              <w:right w:val="nil"/>
            </w:tcBorders>
            <w:shd w:val="solid" w:color="FFFFFF" w:fill="auto"/>
          </w:tcPr>
          <w:p w:rsidR="00B03921" w:rsidRPr="005C543F" w:rsidRDefault="00B03921" w:rsidP="00016914">
            <w:pPr>
              <w:pStyle w:val="Tabletext"/>
              <w:rPr>
                <w:rFonts w:eastAsiaTheme="minorEastAsia"/>
                <w:vertAlign w:val="superscript"/>
                <w:lang w:eastAsia="en-AU"/>
              </w:rPr>
            </w:pPr>
            <w:r>
              <w:rPr>
                <w:rFonts w:eastAsiaTheme="minorEastAsia"/>
                <w:lang w:eastAsia="en-AU"/>
              </w:rPr>
              <w:t>Not allocated by purpose</w:t>
            </w:r>
            <w:r w:rsidRPr="005C543F">
              <w:rPr>
                <w:rFonts w:eastAsiaTheme="minorEastAsia"/>
                <w:vertAlign w:val="superscript"/>
                <w:lang w:eastAsia="en-AU"/>
              </w:rPr>
              <w:t>(b)</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97 415.4</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98 252.9</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103 238.8</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109 915.2</w:t>
            </w:r>
          </w:p>
        </w:tc>
        <w:tc>
          <w:tcPr>
            <w:tcW w:w="994" w:type="dxa"/>
            <w:tcBorders>
              <w:top w:val="nil"/>
              <w:left w:val="nil"/>
              <w:bottom w:val="single" w:sz="6" w:space="0" w:color="auto"/>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115 066.9</w:t>
            </w:r>
          </w:p>
        </w:tc>
      </w:tr>
      <w:tr w:rsidR="00B03921" w:rsidRPr="005C543F" w:rsidTr="00016914">
        <w:tc>
          <w:tcPr>
            <w:tcW w:w="2790"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assets</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209 146.3</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211 591.2</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215 676.4</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227 326.2</w:t>
            </w:r>
          </w:p>
        </w:tc>
        <w:tc>
          <w:tcPr>
            <w:tcW w:w="994" w:type="dxa"/>
            <w:tcBorders>
              <w:top w:val="single" w:sz="6" w:space="0" w:color="auto"/>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230 007.5</w:t>
            </w:r>
          </w:p>
        </w:tc>
      </w:tr>
    </w:tbl>
    <w:p w:rsidR="00B03921" w:rsidRDefault="00B03921" w:rsidP="00016914">
      <w:pPr>
        <w:pStyle w:val="Notes"/>
      </w:pPr>
      <w:r>
        <w:t>Notes:</w:t>
      </w:r>
    </w:p>
    <w:p w:rsidR="00B03921" w:rsidRDefault="00B03921" w:rsidP="00016914">
      <w:pPr>
        <w:pStyle w:val="Notes"/>
      </w:pPr>
      <w:r>
        <w:t xml:space="preserve">(a) </w:t>
      </w:r>
      <w:r>
        <w:tab/>
        <w:t xml:space="preserve">Note 41 of the </w:t>
      </w:r>
      <w:r w:rsidRPr="00393C77">
        <w:rPr>
          <w:i w:val="0"/>
        </w:rPr>
        <w:t>2013</w:t>
      </w:r>
      <w:r>
        <w:rPr>
          <w:i w:val="0"/>
        </w:rPr>
        <w:noBreakHyphen/>
      </w:r>
      <w:r w:rsidRPr="00393C77">
        <w:rPr>
          <w:i w:val="0"/>
        </w:rPr>
        <w:t xml:space="preserve">14 Financial Report </w:t>
      </w:r>
      <w:r w:rsidRPr="00B13C1E">
        <w:t>for the State of Victoria</w:t>
      </w:r>
      <w:r>
        <w:t xml:space="preserve"> provides definitions and descriptions of government purpose classifications.</w:t>
      </w:r>
    </w:p>
    <w:p w:rsidR="00B03921" w:rsidRDefault="00B03921" w:rsidP="00016914">
      <w:pPr>
        <w:pStyle w:val="Notes"/>
      </w:pPr>
      <w:r>
        <w:t xml:space="preserve">(b) </w:t>
      </w:r>
      <w:r>
        <w:tab/>
        <w:t>Represents financial assets which are not able to be allocated by purpose. This mainly includes balances relating to the general government sector</w:t>
      </w:r>
      <w:r w:rsidR="00BA5A16">
        <w:t>’</w:t>
      </w:r>
      <w:r>
        <w:t>s investment in other sector entities.</w:t>
      </w:r>
    </w:p>
    <w:p w:rsidR="00B03921" w:rsidRDefault="00B03921" w:rsidP="00016914">
      <w:pPr>
        <w:pStyle w:val="BodyText"/>
      </w:pPr>
    </w:p>
    <w:p w:rsidR="00B03921" w:rsidRDefault="00B03921" w:rsidP="00016914">
      <w:pPr>
        <w:pStyle w:val="Heading2Notes"/>
      </w:pPr>
      <w:bookmarkStart w:id="86" w:name="_Toc418103365"/>
      <w:bookmarkStart w:id="87" w:name="_Toc418191986"/>
      <w:bookmarkStart w:id="88" w:name="_Toc418274878"/>
      <w:bookmarkStart w:id="89" w:name="_Toc418276624"/>
      <w:r>
        <w:t>Note 21:</w:t>
      </w:r>
      <w:r>
        <w:tab/>
        <w:t>Payables</w:t>
      </w:r>
      <w:bookmarkEnd w:id="86"/>
      <w:bookmarkEnd w:id="87"/>
      <w:bookmarkEnd w:id="88"/>
      <w:bookmarkEnd w:id="89"/>
    </w:p>
    <w:p w:rsidR="00B03921" w:rsidRPr="005C543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5C543F"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AD7F83" w:rsidRPr="005C543F" w:rsidTr="008224DF">
        <w:tc>
          <w:tcPr>
            <w:tcW w:w="7760" w:type="dxa"/>
            <w:gridSpan w:val="6"/>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Current payables</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Accounts payable and accrued expenses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3 184.7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3 029.9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2 956.1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2 927.6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2 907.3</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Accrued taxes payable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31.9</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32.5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34.6</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Unearned income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651.9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634.3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633.9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632.4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653.0</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current payables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3 867.4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3 696.1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3 622.5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3 593.0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3 594.9</w:t>
            </w:r>
          </w:p>
        </w:tc>
      </w:tr>
      <w:tr w:rsidR="00AD7F83" w:rsidRPr="005C543F" w:rsidTr="008224DF">
        <w:tc>
          <w:tcPr>
            <w:tcW w:w="7760" w:type="dxa"/>
            <w:gridSpan w:val="6"/>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Non-current payables</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Accounts payable and accrued expenses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176.2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118.8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102.6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92.9</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Unearned income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1 820.5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1 779.0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1 777.0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1 737.5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1 521.5</w:t>
            </w:r>
          </w:p>
        </w:tc>
      </w:tr>
      <w:tr w:rsidR="00B03921" w:rsidRPr="005C543F" w:rsidTr="00016914">
        <w:tc>
          <w:tcPr>
            <w:tcW w:w="279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non-current payables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1 996.8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1 897.8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1 888.0</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1 840.1</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1 614.4</w:t>
            </w:r>
          </w:p>
        </w:tc>
      </w:tr>
      <w:tr w:rsidR="00B03921" w:rsidRPr="005C543F" w:rsidTr="00016914">
        <w:tc>
          <w:tcPr>
            <w:tcW w:w="279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payables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5 864.2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5 593.9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5 510.5</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5 433.1</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5 209.3</w:t>
            </w:r>
          </w:p>
        </w:tc>
      </w:tr>
    </w:tbl>
    <w:p w:rsidR="00B03921" w:rsidRDefault="00B03921" w:rsidP="00016914">
      <w:pPr>
        <w:pStyle w:val="Notes"/>
      </w:pPr>
    </w:p>
    <w:p w:rsidR="00B03921" w:rsidRDefault="00B03921" w:rsidP="00016914">
      <w:pPr>
        <w:pStyle w:val="Heading2Notes"/>
      </w:pPr>
      <w:bookmarkStart w:id="90" w:name="_Toc418103366"/>
      <w:bookmarkStart w:id="91" w:name="_Toc418191987"/>
      <w:bookmarkStart w:id="92" w:name="_Toc418274879"/>
      <w:bookmarkStart w:id="93" w:name="_Toc418276625"/>
      <w:r>
        <w:t>Note 22:</w:t>
      </w:r>
      <w:r>
        <w:tab/>
        <w:t>Borrowings</w:t>
      </w:r>
      <w:bookmarkEnd w:id="90"/>
      <w:bookmarkEnd w:id="91"/>
      <w:bookmarkEnd w:id="92"/>
      <w:bookmarkEnd w:id="93"/>
    </w:p>
    <w:p w:rsidR="00B03921" w:rsidRPr="005C543F" w:rsidRDefault="00B03921" w:rsidP="00016914">
      <w:pPr>
        <w:pStyle w:val="million"/>
        <w:rPr>
          <w:rFonts w:ascii="Times New Roman" w:hAnsi="Times New Roman"/>
          <w:i w:val="0"/>
          <w:sz w:val="20"/>
          <w:szCs w:val="20"/>
          <w:lang w:eastAsia="en-AU"/>
        </w:rPr>
      </w:pPr>
      <w: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5C543F"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AD7F83" w:rsidRPr="005C543F" w:rsidTr="008224DF">
        <w:tc>
          <w:tcPr>
            <w:tcW w:w="7760" w:type="dxa"/>
            <w:gridSpan w:val="6"/>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Current borrowings</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Domestic borrowings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1 432.7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1 432.7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1 432.7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1 432.7</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1 432.7</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Finance lease liabilities</w:t>
            </w:r>
            <w:r w:rsidRPr="005C543F">
              <w:rPr>
                <w:rFonts w:eastAsiaTheme="minorEastAsia"/>
                <w:vertAlign w:val="superscript"/>
                <w:lang w:eastAsia="en-AU"/>
              </w:rPr>
              <w:t>(a)</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120.3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99.5</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104.3</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115.7</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116.9</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current borrowings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1 553.0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1 532.2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1 537.0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1 548.4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1 549.6</w:t>
            </w:r>
          </w:p>
        </w:tc>
      </w:tr>
      <w:tr w:rsidR="00AD7F83" w:rsidRPr="005C543F" w:rsidTr="008224DF">
        <w:tc>
          <w:tcPr>
            <w:tcW w:w="7760" w:type="dxa"/>
            <w:gridSpan w:val="6"/>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Non-current borrowings</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Domestic borrowings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23 913.2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18 902.5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21 383.1</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21 539.5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22 569.7</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Finance lease liabilities</w:t>
            </w:r>
            <w:r w:rsidRPr="005C543F">
              <w:rPr>
                <w:rFonts w:eastAsiaTheme="minorEastAsia"/>
                <w:vertAlign w:val="superscript"/>
                <w:lang w:eastAsia="en-AU"/>
              </w:rPr>
              <w:t>(a)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7 846.5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8 793.2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9 080.4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9 558.6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9 385.0</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Derivative financial instruments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20.8</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20.8</w:t>
            </w:r>
          </w:p>
        </w:tc>
      </w:tr>
      <w:tr w:rsidR="00B03921" w:rsidRPr="005C543F" w:rsidTr="00016914">
        <w:tc>
          <w:tcPr>
            <w:tcW w:w="279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non-current borrowings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31 780.4</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27 716.5</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30 484.2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31 118.8</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31 975.4</w:t>
            </w:r>
          </w:p>
        </w:tc>
      </w:tr>
      <w:tr w:rsidR="00B03921" w:rsidRPr="005C543F" w:rsidTr="00016914">
        <w:tc>
          <w:tcPr>
            <w:tcW w:w="279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borrowings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33 333.4</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29 248.7</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32 021.2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32 667.2</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33 525.0</w:t>
            </w:r>
          </w:p>
        </w:tc>
      </w:tr>
    </w:tbl>
    <w:p w:rsidR="00B03921" w:rsidRDefault="00B03921" w:rsidP="00016914">
      <w:pPr>
        <w:pStyle w:val="Notes"/>
      </w:pPr>
      <w:r>
        <w:t>Note:</w:t>
      </w:r>
    </w:p>
    <w:p w:rsidR="00B03921" w:rsidRPr="00B13C1E" w:rsidRDefault="00B03921" w:rsidP="00016914">
      <w:pPr>
        <w:pStyle w:val="Notes"/>
      </w:pPr>
      <w:r>
        <w:t xml:space="preserve">(a) </w:t>
      </w:r>
      <w:r>
        <w:tab/>
        <w:t xml:space="preserve">Further detailed disclosures on finance lease liabilities can be found in the </w:t>
      </w:r>
      <w:r w:rsidRPr="00625A44">
        <w:rPr>
          <w:i w:val="0"/>
        </w:rPr>
        <w:t>2013</w:t>
      </w:r>
      <w:r>
        <w:rPr>
          <w:i w:val="0"/>
        </w:rPr>
        <w:noBreakHyphen/>
      </w:r>
      <w:r w:rsidRPr="00625A44">
        <w:rPr>
          <w:i w:val="0"/>
        </w:rPr>
        <w:t xml:space="preserve">14 Financial Report </w:t>
      </w:r>
      <w:r w:rsidRPr="00B13C1E">
        <w:t>for the State of Victoria.</w:t>
      </w:r>
    </w:p>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94" w:name="_Toc418103367"/>
      <w:bookmarkStart w:id="95" w:name="_Toc418191988"/>
      <w:bookmarkStart w:id="96" w:name="_Toc418274880"/>
      <w:bookmarkStart w:id="97" w:name="_Toc418276626"/>
      <w:r>
        <w:t>Note 23:</w:t>
      </w:r>
      <w:r>
        <w:tab/>
        <w:t>Employee benefits</w:t>
      </w:r>
      <w:bookmarkEnd w:id="94"/>
      <w:bookmarkEnd w:id="95"/>
      <w:bookmarkEnd w:id="96"/>
      <w:bookmarkEnd w:id="97"/>
    </w:p>
    <w:p w:rsidR="00B03921" w:rsidRPr="005C543F" w:rsidRDefault="00B03921" w:rsidP="00016914">
      <w:pPr>
        <w:pStyle w:val="million"/>
        <w:rPr>
          <w:rFonts w:ascii="Times New Roman" w:hAnsi="Times New Roman"/>
          <w:i w:val="0"/>
          <w:sz w:val="20"/>
          <w:szCs w:val="20"/>
          <w:lang w:eastAsia="en-AU"/>
        </w:rPr>
      </w:pPr>
      <w:r>
        <w:t xml:space="preserve">($ </w:t>
      </w:r>
      <w:r w:rsidRPr="009538A8">
        <w:t>million</w:t>
      </w:r>
      <w:r>
        <w:t>)</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5C543F"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AD7F83" w:rsidRPr="005C543F" w:rsidTr="008224DF">
        <w:tc>
          <w:tcPr>
            <w:tcW w:w="7760" w:type="dxa"/>
            <w:gridSpan w:val="6"/>
            <w:tcBorders>
              <w:top w:val="single" w:sz="6" w:space="0" w:color="auto"/>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Current</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vertAlign w:val="superscript"/>
                <w:lang w:eastAsia="en-AU"/>
              </w:rPr>
            </w:pPr>
            <w:r w:rsidRPr="005C543F">
              <w:rPr>
                <w:rFonts w:eastAsiaTheme="minorEastAsia"/>
                <w:lang w:eastAsia="en-AU"/>
              </w:rPr>
              <w:t>Accrued salaries and wages</w:t>
            </w:r>
            <w:r w:rsidRPr="005C543F">
              <w:rPr>
                <w:rFonts w:eastAsiaTheme="minorEastAsia"/>
                <w:vertAlign w:val="superscript"/>
                <w:lang w:eastAsia="en-AU"/>
              </w:rPr>
              <w:t>(a)</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1 625.4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1 679.0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1 729.2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1 781.0</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1 832.9</w:t>
            </w:r>
          </w:p>
        </w:tc>
      </w:tr>
      <w:tr w:rsidR="00B03921" w:rsidRPr="005C543F" w:rsidTr="00016914">
        <w:tc>
          <w:tcPr>
            <w:tcW w:w="2790"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Long service leave</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3 169.9</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3 302.6</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3 432.1</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3 562.4</w:t>
            </w:r>
          </w:p>
        </w:tc>
        <w:tc>
          <w:tcPr>
            <w:tcW w:w="994"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3 689.1</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current employee benefits</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4 795.3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4 981.6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5 161.3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5 343.4</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5 522.0</w:t>
            </w:r>
          </w:p>
        </w:tc>
      </w:tr>
      <w:tr w:rsidR="00AD7F83" w:rsidRPr="005C543F" w:rsidTr="008224DF">
        <w:tc>
          <w:tcPr>
            <w:tcW w:w="7760" w:type="dxa"/>
            <w:gridSpan w:val="6"/>
            <w:tcBorders>
              <w:top w:val="nil"/>
              <w:left w:val="nil"/>
              <w:bottom w:val="nil"/>
              <w:right w:val="nil"/>
            </w:tcBorders>
            <w:shd w:val="solid" w:color="FFFFFF" w:fill="auto"/>
          </w:tcPr>
          <w:p w:rsidR="00AD7F83" w:rsidRPr="005C543F" w:rsidRDefault="00AD7F83" w:rsidP="00AD7F83">
            <w:pPr>
              <w:pStyle w:val="Tabletext"/>
              <w:rPr>
                <w:rFonts w:eastAsiaTheme="minorEastAsia"/>
                <w:b/>
                <w:bCs/>
                <w:lang w:eastAsia="en-AU"/>
              </w:rPr>
            </w:pPr>
            <w:r w:rsidRPr="005C543F">
              <w:rPr>
                <w:rFonts w:eastAsiaTheme="minorEastAsia"/>
                <w:b/>
                <w:bCs/>
                <w:lang w:eastAsia="en-AU"/>
              </w:rPr>
              <w:t>Non-current</w:t>
            </w:r>
          </w:p>
        </w:tc>
      </w:tr>
      <w:tr w:rsidR="00B03921" w:rsidRPr="005C543F" w:rsidTr="00016914">
        <w:tc>
          <w:tcPr>
            <w:tcW w:w="2790"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Long service leave</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724.5</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785.3</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847.6</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912.2</w:t>
            </w:r>
          </w:p>
        </w:tc>
        <w:tc>
          <w:tcPr>
            <w:tcW w:w="994"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976.7</w:t>
            </w:r>
          </w:p>
        </w:tc>
      </w:tr>
      <w:tr w:rsidR="00B03921" w:rsidRPr="005C543F" w:rsidTr="00016914">
        <w:tc>
          <w:tcPr>
            <w:tcW w:w="279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non-current employee benefits</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724.5</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785.3</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847.6</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912.2</w:t>
            </w:r>
          </w:p>
        </w:tc>
        <w:tc>
          <w:tcPr>
            <w:tcW w:w="994"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976.7</w:t>
            </w:r>
          </w:p>
        </w:tc>
      </w:tr>
      <w:tr w:rsidR="00B03921" w:rsidRPr="005C543F" w:rsidTr="00016914">
        <w:tc>
          <w:tcPr>
            <w:tcW w:w="279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employee benefits</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5 519.7</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5 766.8</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6 008.9</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6 255.6</w:t>
            </w:r>
          </w:p>
        </w:tc>
        <w:tc>
          <w:tcPr>
            <w:tcW w:w="994"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6 498.7</w:t>
            </w:r>
          </w:p>
        </w:tc>
      </w:tr>
    </w:tbl>
    <w:p w:rsidR="00B03921" w:rsidRDefault="00B03921" w:rsidP="00016914">
      <w:pPr>
        <w:pStyle w:val="Notes"/>
      </w:pPr>
      <w:r>
        <w:t>Note:</w:t>
      </w:r>
    </w:p>
    <w:p w:rsidR="00B03921" w:rsidRDefault="00B03921" w:rsidP="00016914">
      <w:pPr>
        <w:pStyle w:val="Notes"/>
      </w:pPr>
      <w:r>
        <w:t>(a)</w:t>
      </w:r>
      <w:r>
        <w:tab/>
        <w:t>Includes accrued annual leave and other similar on</w:t>
      </w:r>
      <w:r>
        <w:noBreakHyphen/>
        <w:t>costs.</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98" w:name="_Toc418103368"/>
      <w:bookmarkStart w:id="99" w:name="_Toc418191989"/>
      <w:bookmarkStart w:id="100" w:name="_Toc418274881"/>
      <w:bookmarkStart w:id="101" w:name="_Toc418276627"/>
      <w:r>
        <w:t>Note 24:</w:t>
      </w:r>
      <w:r>
        <w:tab/>
        <w:t>Reserves</w:t>
      </w:r>
      <w:bookmarkEnd w:id="98"/>
      <w:bookmarkEnd w:id="99"/>
      <w:bookmarkEnd w:id="100"/>
      <w:bookmarkEnd w:id="101"/>
    </w:p>
    <w:p w:rsidR="00B03921" w:rsidRDefault="00B03921" w:rsidP="00016914">
      <w:pPr>
        <w:pStyle w:val="million"/>
        <w:rPr>
          <w:rFonts w:ascii="Times New Roman" w:hAnsi="Times New Roman"/>
          <w:sz w:val="20"/>
          <w:lang w:eastAsia="en-AU"/>
        </w:rPr>
      </w:pPr>
      <w: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139"/>
        <w:gridCol w:w="938"/>
        <w:gridCol w:w="896"/>
        <w:gridCol w:w="909"/>
        <w:gridCol w:w="910"/>
        <w:gridCol w:w="968"/>
      </w:tblGrid>
      <w:tr w:rsidR="00B03921" w:rsidRPr="005C543F" w:rsidTr="00016914">
        <w:trPr>
          <w:tblHeader/>
        </w:trPr>
        <w:tc>
          <w:tcPr>
            <w:tcW w:w="3139" w:type="dxa"/>
            <w:tcBorders>
              <w:top w:val="single" w:sz="6" w:space="0" w:color="auto"/>
              <w:left w:val="single" w:sz="6" w:space="0" w:color="auto"/>
              <w:bottom w:val="single" w:sz="6" w:space="0" w:color="auto"/>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938"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 revised</w:t>
            </w:r>
          </w:p>
        </w:tc>
        <w:tc>
          <w:tcPr>
            <w:tcW w:w="896"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 budget</w:t>
            </w:r>
          </w:p>
        </w:tc>
        <w:tc>
          <w:tcPr>
            <w:tcW w:w="909"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 estimate</w:t>
            </w:r>
          </w:p>
        </w:tc>
        <w:tc>
          <w:tcPr>
            <w:tcW w:w="910" w:type="dxa"/>
            <w:tcBorders>
              <w:top w:val="single" w:sz="6" w:space="0" w:color="auto"/>
              <w:left w:val="nil"/>
              <w:bottom w:val="single" w:sz="6" w:space="0" w:color="auto"/>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 estimate</w:t>
            </w:r>
          </w:p>
        </w:tc>
        <w:tc>
          <w:tcPr>
            <w:tcW w:w="968" w:type="dxa"/>
            <w:tcBorders>
              <w:top w:val="single" w:sz="6" w:space="0" w:color="auto"/>
              <w:left w:val="nil"/>
              <w:bottom w:val="single" w:sz="6" w:space="0" w:color="auto"/>
              <w:right w:val="single" w:sz="6" w:space="0" w:color="auto"/>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2019 estimate</w:t>
            </w:r>
          </w:p>
        </w:tc>
      </w:tr>
      <w:tr w:rsidR="00B03921" w:rsidRPr="005C543F" w:rsidTr="00016914">
        <w:tc>
          <w:tcPr>
            <w:tcW w:w="3139" w:type="dxa"/>
            <w:tcBorders>
              <w:top w:val="single" w:sz="6" w:space="0" w:color="auto"/>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Land, buildings, infrastructure, plant and equipment revaluation surplus</w:t>
            </w:r>
          </w:p>
        </w:tc>
        <w:tc>
          <w:tcPr>
            <w:tcW w:w="93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46 843.4</w:t>
            </w:r>
          </w:p>
        </w:tc>
        <w:tc>
          <w:tcPr>
            <w:tcW w:w="896"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47 599.2</w:t>
            </w:r>
          </w:p>
        </w:tc>
        <w:tc>
          <w:tcPr>
            <w:tcW w:w="909"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48 112.3</w:t>
            </w:r>
          </w:p>
        </w:tc>
        <w:tc>
          <w:tcPr>
            <w:tcW w:w="910"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57 613.4</w:t>
            </w:r>
          </w:p>
        </w:tc>
        <w:tc>
          <w:tcPr>
            <w:tcW w:w="968" w:type="dxa"/>
            <w:tcBorders>
              <w:top w:val="single" w:sz="6" w:space="0" w:color="auto"/>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58 035.2</w:t>
            </w:r>
          </w:p>
        </w:tc>
      </w:tr>
      <w:tr w:rsidR="00B03921" w:rsidRPr="005C543F" w:rsidTr="00016914">
        <w:tc>
          <w:tcPr>
            <w:tcW w:w="313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Available-for-sale investments revaluation surplus</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59.5</w:t>
            </w:r>
          </w:p>
        </w:tc>
        <w:tc>
          <w:tcPr>
            <w:tcW w:w="89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60.8</w:t>
            </w:r>
          </w:p>
        </w:tc>
        <w:tc>
          <w:tcPr>
            <w:tcW w:w="90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62.0</w:t>
            </w:r>
          </w:p>
        </w:tc>
        <w:tc>
          <w:tcPr>
            <w:tcW w:w="910"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63.3</w:t>
            </w:r>
          </w:p>
        </w:tc>
        <w:tc>
          <w:tcPr>
            <w:tcW w:w="96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64.6</w:t>
            </w:r>
          </w:p>
        </w:tc>
      </w:tr>
      <w:tr w:rsidR="00B03921" w:rsidRPr="005C543F" w:rsidTr="00016914">
        <w:tc>
          <w:tcPr>
            <w:tcW w:w="3139" w:type="dxa"/>
            <w:tcBorders>
              <w:top w:val="nil"/>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Revaluation surplus for investments in PFC and PNFC entities</w:t>
            </w:r>
          </w:p>
        </w:tc>
        <w:tc>
          <w:tcPr>
            <w:tcW w:w="93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44 625.4</w:t>
            </w:r>
          </w:p>
        </w:tc>
        <w:tc>
          <w:tcPr>
            <w:tcW w:w="896"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44 626.9</w:t>
            </w:r>
          </w:p>
        </w:tc>
        <w:tc>
          <w:tcPr>
            <w:tcW w:w="909"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44 248.9</w:t>
            </w:r>
          </w:p>
        </w:tc>
        <w:tc>
          <w:tcPr>
            <w:tcW w:w="910"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44 026.1</w:t>
            </w:r>
          </w:p>
        </w:tc>
        <w:tc>
          <w:tcPr>
            <w:tcW w:w="96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43 770.7</w:t>
            </w:r>
          </w:p>
        </w:tc>
      </w:tr>
      <w:tr w:rsidR="00B03921" w:rsidRPr="005C543F" w:rsidTr="00016914">
        <w:tc>
          <w:tcPr>
            <w:tcW w:w="3139" w:type="dxa"/>
            <w:tcBorders>
              <w:top w:val="nil"/>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Other reserves</w:t>
            </w:r>
          </w:p>
        </w:tc>
        <w:tc>
          <w:tcPr>
            <w:tcW w:w="93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581.8</w:t>
            </w:r>
          </w:p>
        </w:tc>
        <w:tc>
          <w:tcPr>
            <w:tcW w:w="896"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592.7</w:t>
            </w:r>
          </w:p>
        </w:tc>
        <w:tc>
          <w:tcPr>
            <w:tcW w:w="909"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607.2</w:t>
            </w:r>
          </w:p>
        </w:tc>
        <w:tc>
          <w:tcPr>
            <w:tcW w:w="910"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622.3</w:t>
            </w:r>
          </w:p>
        </w:tc>
        <w:tc>
          <w:tcPr>
            <w:tcW w:w="968" w:type="dxa"/>
            <w:tcBorders>
              <w:top w:val="nil"/>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637.4</w:t>
            </w:r>
          </w:p>
        </w:tc>
      </w:tr>
      <w:tr w:rsidR="00B03921" w:rsidRPr="005C543F" w:rsidTr="00016914">
        <w:tc>
          <w:tcPr>
            <w:tcW w:w="313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lang w:eastAsia="en-AU"/>
              </w:rPr>
            </w:pPr>
            <w:r w:rsidRPr="005C543F">
              <w:rPr>
                <w:rFonts w:eastAsiaTheme="minorEastAsia"/>
                <w:b/>
                <w:bCs/>
                <w:lang w:eastAsia="en-AU"/>
              </w:rPr>
              <w:t>Total reserves</w:t>
            </w:r>
          </w:p>
        </w:tc>
        <w:tc>
          <w:tcPr>
            <w:tcW w:w="93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92 110.2</w:t>
            </w:r>
          </w:p>
        </w:tc>
        <w:tc>
          <w:tcPr>
            <w:tcW w:w="896"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92 879.6</w:t>
            </w:r>
          </w:p>
        </w:tc>
        <w:tc>
          <w:tcPr>
            <w:tcW w:w="909"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93 030.4</w:t>
            </w:r>
          </w:p>
        </w:tc>
        <w:tc>
          <w:tcPr>
            <w:tcW w:w="91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102 325.0</w:t>
            </w:r>
          </w:p>
        </w:tc>
        <w:tc>
          <w:tcPr>
            <w:tcW w:w="96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102 507.8</w:t>
            </w:r>
          </w:p>
        </w:tc>
      </w:tr>
    </w:tbl>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102" w:name="_Toc418103369"/>
      <w:bookmarkStart w:id="103" w:name="_Toc418191990"/>
      <w:bookmarkStart w:id="104" w:name="_Toc418274882"/>
      <w:bookmarkStart w:id="105" w:name="_Toc418276628"/>
      <w:r>
        <w:t>Note 25:</w:t>
      </w:r>
      <w:r>
        <w:tab/>
        <w:t>Reconciliations to Government Finance Statistics – derivation of GFS cash surplus/(deficit)</w:t>
      </w:r>
      <w:bookmarkEnd w:id="102"/>
      <w:bookmarkEnd w:id="103"/>
      <w:bookmarkEnd w:id="104"/>
      <w:bookmarkEnd w:id="105"/>
    </w:p>
    <w:p w:rsidR="00B03921" w:rsidRPr="005C543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63"/>
        <w:gridCol w:w="14"/>
        <w:gridCol w:w="882"/>
        <w:gridCol w:w="923"/>
        <w:gridCol w:w="910"/>
        <w:gridCol w:w="968"/>
      </w:tblGrid>
      <w:tr w:rsidR="00B03921" w:rsidRPr="005C543F" w:rsidTr="001E6158">
        <w:trPr>
          <w:tblHeader/>
        </w:trPr>
        <w:tc>
          <w:tcPr>
            <w:tcW w:w="4063" w:type="dxa"/>
            <w:tcBorders>
              <w:top w:val="single" w:sz="6" w:space="0" w:color="000000"/>
              <w:left w:val="single" w:sz="6" w:space="0" w:color="000000"/>
              <w:bottom w:val="single" w:sz="6" w:space="0" w:color="000000"/>
              <w:right w:val="nil"/>
            </w:tcBorders>
            <w:shd w:val="clear" w:color="000000" w:fill="000000"/>
          </w:tcPr>
          <w:p w:rsidR="00B03921" w:rsidRPr="005C543F" w:rsidRDefault="00B03921" w:rsidP="00016914">
            <w:pPr>
              <w:pStyle w:val="Tabletext"/>
              <w:rPr>
                <w:rFonts w:eastAsiaTheme="minorEastAsia"/>
                <w:lang w:eastAsia="en-AU"/>
              </w:rPr>
            </w:pPr>
            <w:r w:rsidRPr="005C543F">
              <w:rPr>
                <w:rFonts w:eastAsiaTheme="minorEastAsia"/>
                <w:lang w:eastAsia="en-AU"/>
              </w:rPr>
              <w:t xml:space="preserve"> </w:t>
            </w:r>
          </w:p>
        </w:tc>
        <w:tc>
          <w:tcPr>
            <w:tcW w:w="896" w:type="dxa"/>
            <w:gridSpan w:val="2"/>
            <w:tcBorders>
              <w:top w:val="single" w:sz="6" w:space="0" w:color="000000"/>
              <w:left w:val="nil"/>
              <w:bottom w:val="single" w:sz="6" w:space="0" w:color="000000"/>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2015-16 budget</w:t>
            </w:r>
          </w:p>
        </w:tc>
        <w:tc>
          <w:tcPr>
            <w:tcW w:w="923" w:type="dxa"/>
            <w:tcBorders>
              <w:top w:val="single" w:sz="6" w:space="0" w:color="000000"/>
              <w:left w:val="nil"/>
              <w:bottom w:val="single" w:sz="6" w:space="0" w:color="000000"/>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2016-17 estimate</w:t>
            </w:r>
          </w:p>
        </w:tc>
        <w:tc>
          <w:tcPr>
            <w:tcW w:w="910" w:type="dxa"/>
            <w:tcBorders>
              <w:top w:val="single" w:sz="6" w:space="0" w:color="000000"/>
              <w:left w:val="nil"/>
              <w:bottom w:val="single" w:sz="6" w:space="0" w:color="000000"/>
              <w:right w:val="nil"/>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2017-18 estimate</w:t>
            </w:r>
          </w:p>
        </w:tc>
        <w:tc>
          <w:tcPr>
            <w:tcW w:w="968" w:type="dxa"/>
            <w:tcBorders>
              <w:top w:val="single" w:sz="6" w:space="0" w:color="000000"/>
              <w:left w:val="nil"/>
              <w:bottom w:val="single" w:sz="6" w:space="0" w:color="000000"/>
              <w:right w:val="single" w:sz="6" w:space="0" w:color="000000"/>
            </w:tcBorders>
            <w:shd w:val="clear" w:color="000000" w:fill="000000"/>
          </w:tcPr>
          <w:p w:rsidR="00B03921" w:rsidRPr="005C543F" w:rsidRDefault="00B03921" w:rsidP="00016914">
            <w:pPr>
              <w:pStyle w:val="Tabletextheading"/>
              <w:rPr>
                <w:rFonts w:eastAsiaTheme="minorEastAsia"/>
                <w:color w:val="FFFFFF"/>
                <w:lang w:eastAsia="en-AU"/>
              </w:rPr>
            </w:pPr>
            <w:r w:rsidRPr="005C543F">
              <w:rPr>
                <w:rFonts w:eastAsiaTheme="minorEastAsia"/>
                <w:color w:val="FFFFFF"/>
                <w:lang w:eastAsia="en-AU"/>
              </w:rPr>
              <w:t>2018-19 estimate</w:t>
            </w:r>
          </w:p>
        </w:tc>
      </w:tr>
      <w:tr w:rsidR="00B03921" w:rsidRPr="005C543F" w:rsidTr="001E6158">
        <w:tc>
          <w:tcPr>
            <w:tcW w:w="4063" w:type="dxa"/>
            <w:tcBorders>
              <w:top w:val="single" w:sz="6" w:space="0" w:color="000000"/>
              <w:left w:val="nil"/>
              <w:bottom w:val="nil"/>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Cash surplus/(deficit)</w:t>
            </w:r>
          </w:p>
        </w:tc>
        <w:tc>
          <w:tcPr>
            <w:tcW w:w="896" w:type="dxa"/>
            <w:gridSpan w:val="2"/>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lang w:eastAsia="en-AU"/>
              </w:rPr>
              <w:t>(474.9)</w:t>
            </w:r>
          </w:p>
        </w:tc>
        <w:tc>
          <w:tcPr>
            <w:tcW w:w="923"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lang w:eastAsia="en-AU"/>
              </w:rPr>
            </w:pPr>
            <w:r w:rsidRPr="005C543F">
              <w:rPr>
                <w:rFonts w:eastAsiaTheme="minorEastAsia"/>
                <w:lang w:eastAsia="en-AU"/>
              </w:rPr>
              <w:t xml:space="preserve"> (1 756.2)</w:t>
            </w:r>
          </w:p>
        </w:tc>
        <w:tc>
          <w:tcPr>
            <w:tcW w:w="910"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lang w:eastAsia="en-AU"/>
              </w:rPr>
              <w:t>(602.8)</w:t>
            </w:r>
          </w:p>
        </w:tc>
        <w:tc>
          <w:tcPr>
            <w:tcW w:w="968" w:type="dxa"/>
            <w:tcBorders>
              <w:top w:val="single" w:sz="6" w:space="0" w:color="000000"/>
              <w:left w:val="nil"/>
              <w:bottom w:val="nil"/>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lang w:eastAsia="en-AU"/>
              </w:rPr>
              <w:t>(266.5)</w:t>
            </w:r>
          </w:p>
        </w:tc>
      </w:tr>
      <w:tr w:rsidR="00AD7F83" w:rsidRPr="005C543F" w:rsidTr="008224DF">
        <w:tc>
          <w:tcPr>
            <w:tcW w:w="7760" w:type="dxa"/>
            <w:gridSpan w:val="6"/>
            <w:tcBorders>
              <w:top w:val="nil"/>
              <w:left w:val="nil"/>
              <w:bottom w:val="nil"/>
              <w:right w:val="nil"/>
            </w:tcBorders>
            <w:shd w:val="solid" w:color="FFFFFF" w:fill="auto"/>
          </w:tcPr>
          <w:p w:rsidR="00AD7F83" w:rsidRPr="005C543F" w:rsidRDefault="00AD7F83" w:rsidP="00AD7F83">
            <w:pPr>
              <w:pStyle w:val="Tabletext"/>
              <w:rPr>
                <w:rFonts w:eastAsiaTheme="minorEastAsia"/>
                <w:lang w:eastAsia="en-AU"/>
              </w:rPr>
            </w:pPr>
            <w:r w:rsidRPr="005C543F">
              <w:rPr>
                <w:rFonts w:eastAsiaTheme="minorEastAsia"/>
                <w:i/>
                <w:lang w:eastAsia="en-AU"/>
              </w:rPr>
              <w:t>Convergence differences:</w:t>
            </w:r>
          </w:p>
        </w:tc>
      </w:tr>
      <w:tr w:rsidR="00B03921" w:rsidRPr="005C543F" w:rsidTr="001E6158">
        <w:tc>
          <w:tcPr>
            <w:tcW w:w="4077" w:type="dxa"/>
            <w:gridSpan w:val="2"/>
            <w:tcBorders>
              <w:top w:val="nil"/>
              <w:left w:val="nil"/>
              <w:bottom w:val="nil"/>
              <w:right w:val="nil"/>
            </w:tcBorders>
            <w:shd w:val="solid" w:color="FFFFFF" w:fill="auto"/>
          </w:tcPr>
          <w:p w:rsidR="00B03921" w:rsidRPr="005C543F" w:rsidRDefault="00B03921" w:rsidP="00016914">
            <w:pPr>
              <w:pStyle w:val="Tabletext"/>
              <w:rPr>
                <w:rFonts w:eastAsiaTheme="minorEastAsia"/>
                <w:bCs/>
                <w:vertAlign w:val="superscript"/>
                <w:lang w:eastAsia="en-AU"/>
              </w:rPr>
            </w:pPr>
            <w:r w:rsidRPr="005C543F">
              <w:rPr>
                <w:rFonts w:eastAsiaTheme="minorEastAsia"/>
                <w:bCs/>
                <w:lang w:eastAsia="en-AU"/>
              </w:rPr>
              <w:t>Less: Acquisitions under finance leases and similar arrangements</w:t>
            </w:r>
            <w:r w:rsidRPr="005C543F">
              <w:rPr>
                <w:rFonts w:eastAsiaTheme="minorEastAsia"/>
                <w:bCs/>
                <w:vertAlign w:val="superscript"/>
                <w:lang w:eastAsia="en-AU"/>
              </w:rPr>
              <w:t>(a)</w:t>
            </w:r>
          </w:p>
        </w:tc>
        <w:tc>
          <w:tcPr>
            <w:tcW w:w="882"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bCs/>
                <w:lang w:eastAsia="en-AU"/>
              </w:rPr>
            </w:pPr>
            <w:r w:rsidRPr="005C543F">
              <w:rPr>
                <w:rFonts w:eastAsiaTheme="minorEastAsia"/>
                <w:bCs/>
                <w:lang w:eastAsia="en-AU"/>
              </w:rPr>
              <w:t xml:space="preserve"> (1 050.4)</w:t>
            </w:r>
          </w:p>
        </w:tc>
        <w:tc>
          <w:tcPr>
            <w:tcW w:w="923"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bCs/>
                <w:lang w:eastAsia="en-AU"/>
              </w:rPr>
              <w:t>(416.7)</w:t>
            </w:r>
          </w:p>
        </w:tc>
        <w:tc>
          <w:tcPr>
            <w:tcW w:w="910"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bCs/>
                <w:lang w:eastAsia="en-AU"/>
              </w:rPr>
              <w:t>(653.8)</w:t>
            </w:r>
          </w:p>
        </w:tc>
        <w:tc>
          <w:tcPr>
            <w:tcW w:w="968" w:type="dxa"/>
            <w:tcBorders>
              <w:top w:val="nil"/>
              <w:left w:val="nil"/>
              <w:bottom w:val="nil"/>
              <w:right w:val="nil"/>
            </w:tcBorders>
            <w:shd w:val="solid" w:color="FFFFFF" w:fill="auto"/>
          </w:tcPr>
          <w:p w:rsidR="00B03921" w:rsidRPr="005C543F" w:rsidRDefault="00B03921" w:rsidP="00016914">
            <w:pPr>
              <w:pStyle w:val="TableofFigures"/>
              <w:rPr>
                <w:rFonts w:eastAsiaTheme="minorEastAsia" w:cs="Calibri"/>
                <w:lang w:eastAsia="en-AU"/>
              </w:rPr>
            </w:pPr>
            <w:r w:rsidRPr="005C543F">
              <w:rPr>
                <w:rFonts w:eastAsiaTheme="minorEastAsia"/>
                <w:bCs/>
                <w:lang w:eastAsia="en-AU"/>
              </w:rPr>
              <w:t xml:space="preserve"> ..</w:t>
            </w:r>
          </w:p>
        </w:tc>
      </w:tr>
      <w:tr w:rsidR="00B03921" w:rsidRPr="005C543F" w:rsidTr="001E6158">
        <w:tc>
          <w:tcPr>
            <w:tcW w:w="4077" w:type="dxa"/>
            <w:gridSpan w:val="2"/>
            <w:tcBorders>
              <w:top w:val="single" w:sz="6" w:space="0" w:color="000000"/>
              <w:left w:val="nil"/>
              <w:bottom w:val="single" w:sz="6" w:space="0" w:color="000000"/>
              <w:right w:val="nil"/>
            </w:tcBorders>
            <w:shd w:val="solid" w:color="FFFFFF" w:fill="auto"/>
          </w:tcPr>
          <w:p w:rsidR="00B03921" w:rsidRPr="005C543F" w:rsidRDefault="00B03921" w:rsidP="00016914">
            <w:pPr>
              <w:pStyle w:val="Tabletext"/>
              <w:rPr>
                <w:rFonts w:eastAsiaTheme="minorEastAsia"/>
                <w:lang w:eastAsia="en-AU"/>
              </w:rPr>
            </w:pPr>
            <w:r w:rsidRPr="005C543F">
              <w:rPr>
                <w:rFonts w:eastAsiaTheme="minorEastAsia"/>
                <w:lang w:eastAsia="en-AU"/>
              </w:rPr>
              <w:t>Total convergence differences</w:t>
            </w:r>
          </w:p>
        </w:tc>
        <w:tc>
          <w:tcPr>
            <w:tcW w:w="882"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lang w:eastAsia="en-AU"/>
              </w:rPr>
            </w:pPr>
            <w:r w:rsidRPr="005C543F">
              <w:rPr>
                <w:rFonts w:eastAsiaTheme="minorEastAsia"/>
                <w:lang w:eastAsia="en-AU"/>
              </w:rPr>
              <w:t xml:space="preserve"> (1 050.4)</w:t>
            </w:r>
          </w:p>
        </w:tc>
        <w:tc>
          <w:tcPr>
            <w:tcW w:w="923"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(416.7)</w:t>
            </w:r>
          </w:p>
        </w:tc>
        <w:tc>
          <w:tcPr>
            <w:tcW w:w="910"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color w:val="000000"/>
                <w:lang w:eastAsia="en-AU"/>
              </w:rPr>
            </w:pPr>
            <w:r>
              <w:rPr>
                <w:rFonts w:eastAsiaTheme="minorEastAsia"/>
                <w:lang w:eastAsia="en-AU"/>
              </w:rPr>
              <w:t>(653.8)</w:t>
            </w:r>
          </w:p>
        </w:tc>
        <w:tc>
          <w:tcPr>
            <w:tcW w:w="968" w:type="dxa"/>
            <w:tcBorders>
              <w:top w:val="single" w:sz="6" w:space="0" w:color="000000"/>
              <w:left w:val="nil"/>
              <w:bottom w:val="single" w:sz="6" w:space="0" w:color="000000"/>
              <w:right w:val="nil"/>
            </w:tcBorders>
            <w:shd w:val="solid" w:color="FFFFFF" w:fill="auto"/>
          </w:tcPr>
          <w:p w:rsidR="00B03921" w:rsidRPr="005C543F" w:rsidRDefault="00B03921" w:rsidP="00016914">
            <w:pPr>
              <w:pStyle w:val="TableofFigures"/>
              <w:rPr>
                <w:rFonts w:eastAsiaTheme="minorEastAsia" w:cs="Calibri"/>
                <w:lang w:eastAsia="en-AU"/>
              </w:rPr>
            </w:pPr>
            <w:r w:rsidRPr="005C543F">
              <w:rPr>
                <w:rFonts w:eastAsiaTheme="minorEastAsia"/>
                <w:lang w:eastAsia="en-AU"/>
              </w:rPr>
              <w:t xml:space="preserve"> ..</w:t>
            </w:r>
          </w:p>
        </w:tc>
      </w:tr>
      <w:tr w:rsidR="00B03921" w:rsidRPr="005C543F" w:rsidTr="001E6158">
        <w:tc>
          <w:tcPr>
            <w:tcW w:w="4077" w:type="dxa"/>
            <w:gridSpan w:val="2"/>
            <w:tcBorders>
              <w:top w:val="single" w:sz="6" w:space="0" w:color="000000"/>
              <w:left w:val="nil"/>
              <w:bottom w:val="single" w:sz="12" w:space="0" w:color="000000"/>
              <w:right w:val="nil"/>
            </w:tcBorders>
            <w:shd w:val="solid" w:color="FFFFFF" w:fill="auto"/>
          </w:tcPr>
          <w:p w:rsidR="00B03921" w:rsidRPr="005C543F" w:rsidRDefault="00B03921" w:rsidP="00016914">
            <w:pPr>
              <w:pStyle w:val="Tabletext"/>
              <w:rPr>
                <w:rFonts w:eastAsiaTheme="minorEastAsia"/>
                <w:b/>
                <w:bCs/>
                <w:vertAlign w:val="superscript"/>
                <w:lang w:eastAsia="en-AU"/>
              </w:rPr>
            </w:pPr>
            <w:r w:rsidRPr="005C543F">
              <w:rPr>
                <w:rFonts w:eastAsiaTheme="minorEastAsia"/>
                <w:b/>
                <w:bCs/>
                <w:lang w:eastAsia="en-AU"/>
              </w:rPr>
              <w:t>GFS cash surplus/(deficit)</w:t>
            </w:r>
            <w:r w:rsidRPr="005C543F">
              <w:rPr>
                <w:rFonts w:eastAsiaTheme="minorEastAsia"/>
                <w:b/>
                <w:bCs/>
                <w:vertAlign w:val="superscript"/>
                <w:lang w:eastAsia="en-AU"/>
              </w:rPr>
              <w:t>(b)</w:t>
            </w:r>
          </w:p>
        </w:tc>
        <w:tc>
          <w:tcPr>
            <w:tcW w:w="882"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lang w:eastAsia="en-AU"/>
              </w:rPr>
            </w:pPr>
            <w:r w:rsidRPr="005C543F">
              <w:rPr>
                <w:rFonts w:eastAsiaTheme="minorEastAsia"/>
                <w:b/>
                <w:bCs/>
                <w:lang w:eastAsia="en-AU"/>
              </w:rPr>
              <w:t xml:space="preserve"> (1 525.3)</w:t>
            </w:r>
          </w:p>
        </w:tc>
        <w:tc>
          <w:tcPr>
            <w:tcW w:w="923"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(2 172.9)</w:t>
            </w:r>
          </w:p>
        </w:tc>
        <w:tc>
          <w:tcPr>
            <w:tcW w:w="910"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b/>
                <w:bCs/>
                <w:lang w:eastAsia="en-AU"/>
              </w:rPr>
            </w:pPr>
            <w:r w:rsidRPr="005C543F">
              <w:rPr>
                <w:rFonts w:eastAsiaTheme="minorEastAsia"/>
                <w:b/>
                <w:bCs/>
                <w:lang w:eastAsia="en-AU"/>
              </w:rPr>
              <w:t xml:space="preserve"> (1 256.6)</w:t>
            </w:r>
          </w:p>
        </w:tc>
        <w:tc>
          <w:tcPr>
            <w:tcW w:w="968" w:type="dxa"/>
            <w:tcBorders>
              <w:top w:val="single" w:sz="6" w:space="0" w:color="000000"/>
              <w:left w:val="nil"/>
              <w:bottom w:val="single" w:sz="12" w:space="0" w:color="000000"/>
              <w:right w:val="nil"/>
            </w:tcBorders>
            <w:shd w:val="solid" w:color="FFFFFF" w:fill="auto"/>
          </w:tcPr>
          <w:p w:rsidR="00B03921" w:rsidRPr="005C543F" w:rsidRDefault="00B03921" w:rsidP="00016914">
            <w:pPr>
              <w:pStyle w:val="TableofFigures"/>
              <w:rPr>
                <w:rFonts w:eastAsiaTheme="minorEastAsia" w:cs="Calibri"/>
                <w:b/>
                <w:bCs/>
                <w:color w:val="000000"/>
                <w:lang w:eastAsia="en-AU"/>
              </w:rPr>
            </w:pPr>
            <w:r>
              <w:rPr>
                <w:rFonts w:eastAsiaTheme="minorEastAsia"/>
                <w:b/>
                <w:bCs/>
                <w:lang w:eastAsia="en-AU"/>
              </w:rPr>
              <w:t>(266.5)</w:t>
            </w:r>
          </w:p>
        </w:tc>
      </w:tr>
    </w:tbl>
    <w:p w:rsidR="00B03921" w:rsidRDefault="00B03921" w:rsidP="00016914">
      <w:pPr>
        <w:pStyle w:val="Notes"/>
      </w:pPr>
      <w:r>
        <w:t>Notes:</w:t>
      </w:r>
    </w:p>
    <w:p w:rsidR="00B03921" w:rsidRDefault="00B03921" w:rsidP="00016914">
      <w:pPr>
        <w:pStyle w:val="Notes"/>
      </w:pPr>
      <w:r>
        <w:t>(a)</w:t>
      </w:r>
      <w:r>
        <w:tab/>
        <w:t>The finance lease acquisition in 2015</w:t>
      </w:r>
      <w:r>
        <w:noBreakHyphen/>
        <w:t>16 relates to the Victorian Comprehensive Cancer Centre. The 2016</w:t>
      </w:r>
      <w:r>
        <w:noBreakHyphen/>
        <w:t>17 estimate relates to the new Bendigo Hospital project (Stage 1) and the New Schools PPP project (tranche 1). The 2017</w:t>
      </w:r>
      <w:r>
        <w:noBreakHyphen/>
        <w:t xml:space="preserve">18 estimate relates to the Ravenhall Prison project, the new Bendigo Hospital project (stage 2), and the New Schools PPP project (tranche 2). </w:t>
      </w:r>
    </w:p>
    <w:p w:rsidR="00B03921" w:rsidRDefault="00B03921" w:rsidP="00016914">
      <w:pPr>
        <w:pStyle w:val="Notes"/>
      </w:pPr>
      <w:r>
        <w:t>(b)</w:t>
      </w:r>
      <w:r>
        <w:tab/>
        <w:t>Determined in accordance with the ABS GFS manual.</w:t>
      </w:r>
    </w:p>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106" w:name="_Toc418103370"/>
      <w:bookmarkStart w:id="107" w:name="_Toc418191991"/>
      <w:bookmarkStart w:id="108" w:name="_Toc418274883"/>
      <w:bookmarkStart w:id="109" w:name="_Toc418276629"/>
      <w:r>
        <w:t>Note 26:</w:t>
      </w:r>
      <w:r>
        <w:tab/>
        <w:t>Financial instruments</w:t>
      </w:r>
      <w:bookmarkEnd w:id="106"/>
      <w:bookmarkEnd w:id="107"/>
      <w:bookmarkEnd w:id="108"/>
      <w:bookmarkEnd w:id="109"/>
    </w:p>
    <w:p w:rsidR="00B03921" w:rsidRDefault="00B03921" w:rsidP="00016914">
      <w:pPr>
        <w:pStyle w:val="BodyText"/>
      </w:pPr>
      <w:r>
        <w:t xml:space="preserve">Note 33 in Chapter 4 of the </w:t>
      </w:r>
      <w:r>
        <w:rPr>
          <w:i/>
        </w:rPr>
        <w:t>2013</w:t>
      </w:r>
      <w:r>
        <w:rPr>
          <w:i/>
        </w:rPr>
        <w:noBreakHyphen/>
        <w:t xml:space="preserve">14 Financial </w:t>
      </w:r>
      <w:r w:rsidRPr="00476F10">
        <w:rPr>
          <w:i/>
        </w:rPr>
        <w:t xml:space="preserve">Report </w:t>
      </w:r>
      <w:r w:rsidRPr="00EF7448">
        <w:t>for the State of Victoria</w:t>
      </w:r>
      <w:r>
        <w:t xml:space="preserve"> contains comprehensive disclosures of the State</w:t>
      </w:r>
      <w:r w:rsidR="00BA5A16">
        <w:t>’</w:t>
      </w:r>
      <w:r>
        <w:t>s (including the general government sector</w:t>
      </w:r>
      <w:r w:rsidR="00BA5A16">
        <w:t>’</w:t>
      </w:r>
      <w:r>
        <w:t>s) financial instruments, including financial risk management objectives and policies.</w:t>
      </w:r>
    </w:p>
    <w:p w:rsidR="00B03921" w:rsidRDefault="00B03921" w:rsidP="00016914">
      <w:pPr>
        <w:pStyle w:val="BodyText"/>
      </w:pPr>
      <w:r>
        <w:t xml:space="preserve">There has been no substantive change to the accounting classification of financial assets and liabilities for the general government sector as reported in the </w:t>
      </w:r>
      <w:r>
        <w:rPr>
          <w:i/>
        </w:rPr>
        <w:t>2013</w:t>
      </w:r>
      <w:r>
        <w:rPr>
          <w:i/>
        </w:rPr>
        <w:noBreakHyphen/>
        <w:t>14 Financial Report</w:t>
      </w:r>
      <w:r>
        <w:t xml:space="preserve"> </w:t>
      </w:r>
      <w:r w:rsidRPr="00956BD2">
        <w:t>for the State of Victoria.</w:t>
      </w:r>
    </w:p>
    <w:p w:rsidR="00B03921" w:rsidRDefault="00B03921" w:rsidP="00016914">
      <w:pPr>
        <w:pStyle w:val="Heading2Notes"/>
      </w:pPr>
      <w:bookmarkStart w:id="110" w:name="_Toc418103371"/>
      <w:bookmarkStart w:id="111" w:name="_Toc418191992"/>
      <w:bookmarkStart w:id="112" w:name="_Toc418274884"/>
      <w:bookmarkStart w:id="113" w:name="_Toc418276630"/>
      <w:r>
        <w:t>Note 27:</w:t>
      </w:r>
      <w:r>
        <w:tab/>
        <w:t>Controlled entities</w:t>
      </w:r>
      <w:bookmarkEnd w:id="110"/>
      <w:bookmarkEnd w:id="111"/>
      <w:bookmarkEnd w:id="112"/>
      <w:bookmarkEnd w:id="113"/>
    </w:p>
    <w:p w:rsidR="00B03921" w:rsidRPr="00424F91" w:rsidRDefault="00B03921" w:rsidP="00016914">
      <w:pPr>
        <w:pStyle w:val="BodyText"/>
      </w:pPr>
      <w:r w:rsidRPr="00424F91">
        <w:t xml:space="preserve">Note 42 </w:t>
      </w:r>
      <w:r w:rsidRPr="00424F91">
        <w:rPr>
          <w:i/>
        </w:rPr>
        <w:t>Controlled entities</w:t>
      </w:r>
      <w:r w:rsidRPr="00424F91">
        <w:t xml:space="preserve"> within the </w:t>
      </w:r>
      <w:r w:rsidRPr="00424F91">
        <w:rPr>
          <w:i/>
        </w:rPr>
        <w:t>2013</w:t>
      </w:r>
      <w:r>
        <w:rPr>
          <w:i/>
        </w:rPr>
        <w:noBreakHyphen/>
      </w:r>
      <w:r w:rsidRPr="00424F91">
        <w:rPr>
          <w:i/>
        </w:rPr>
        <w:t xml:space="preserve">14 Financial </w:t>
      </w:r>
      <w:r w:rsidRPr="005A35BC">
        <w:rPr>
          <w:i/>
        </w:rPr>
        <w:t xml:space="preserve">Report </w:t>
      </w:r>
      <w:r w:rsidRPr="00956BD2">
        <w:t>for the State of Victoria</w:t>
      </w:r>
      <w:r w:rsidRPr="00424F91">
        <w:t xml:space="preserve"> contains a list of significant controlled entities which have been consolidated for the purposes of the financial report.</w:t>
      </w:r>
    </w:p>
    <w:p w:rsidR="00B03921" w:rsidRPr="00424F91" w:rsidRDefault="00B03921" w:rsidP="00016914">
      <w:pPr>
        <w:pStyle w:val="BodyText"/>
      </w:pPr>
      <w:r w:rsidRPr="00424F91">
        <w:t xml:space="preserve">The principal activities of the controlled entities reflect the three sectors of government they are within as set out in note 1(D) Basis of Consolidation. Further, note 41 </w:t>
      </w:r>
      <w:r w:rsidRPr="00424F91">
        <w:rPr>
          <w:i/>
        </w:rPr>
        <w:t xml:space="preserve">Government Purpose Classification </w:t>
      </w:r>
      <w:r w:rsidRPr="00424F91">
        <w:t xml:space="preserve">in the </w:t>
      </w:r>
      <w:r w:rsidRPr="00424F91">
        <w:rPr>
          <w:i/>
        </w:rPr>
        <w:t>2013</w:t>
      </w:r>
      <w:r>
        <w:rPr>
          <w:i/>
        </w:rPr>
        <w:noBreakHyphen/>
      </w:r>
      <w:r w:rsidRPr="00424F91">
        <w:rPr>
          <w:i/>
        </w:rPr>
        <w:t xml:space="preserve">14 Financial Report </w:t>
      </w:r>
      <w:r w:rsidRPr="00956BD2">
        <w:t>for the State of Victoria</w:t>
      </w:r>
      <w:r>
        <w:rPr>
          <w:i/>
        </w:rPr>
        <w:t xml:space="preserve"> </w:t>
      </w:r>
      <w:r w:rsidRPr="00424F91">
        <w:t>reflects the broad objectives of these controlled entities.</w:t>
      </w:r>
    </w:p>
    <w:p w:rsidR="00B03921" w:rsidRPr="00191113" w:rsidRDefault="00B03921" w:rsidP="00016914">
      <w:pPr>
        <w:pStyle w:val="BodyText"/>
      </w:pPr>
      <w:r w:rsidRPr="00424F91">
        <w:t>The following is a list of general government secto</w:t>
      </w:r>
      <w:r>
        <w:t>r entities and entities included</w:t>
      </w:r>
      <w:r w:rsidRPr="00424F91">
        <w:t xml:space="preserve"> as investments by the general government sector that have changed since 1 July 2014 or are expected to change for the budget year 2015</w:t>
      </w:r>
      <w:r>
        <w:noBreakHyphen/>
      </w:r>
      <w:r w:rsidRPr="00424F91">
        <w:t>16. Unless otherwise noted below, all such entities are wholly owned.</w:t>
      </w:r>
    </w:p>
    <w:tbl>
      <w:tblPr>
        <w:tblW w:w="5000" w:type="pct"/>
        <w:tblCellMar>
          <w:left w:w="43" w:type="dxa"/>
          <w:right w:w="43" w:type="dxa"/>
        </w:tblCellMar>
        <w:tblLook w:val="0000" w:firstRow="0" w:lastRow="0" w:firstColumn="0" w:lastColumn="0" w:noHBand="0" w:noVBand="0"/>
      </w:tblPr>
      <w:tblGrid>
        <w:gridCol w:w="4152"/>
        <w:gridCol w:w="1135"/>
        <w:gridCol w:w="1414"/>
        <w:gridCol w:w="1084"/>
      </w:tblGrid>
      <w:tr w:rsidR="00B03921" w:rsidRPr="00104E1A" w:rsidTr="00016914">
        <w:trPr>
          <w:cantSplit/>
          <w:tblHeader/>
        </w:trPr>
        <w:tc>
          <w:tcPr>
            <w:tcW w:w="2667" w:type="pct"/>
            <w:tcBorders>
              <w:top w:val="nil"/>
              <w:left w:val="single" w:sz="6" w:space="0" w:color="auto"/>
              <w:bottom w:val="single" w:sz="6" w:space="0" w:color="auto"/>
              <w:right w:val="nil"/>
            </w:tcBorders>
            <w:shd w:val="clear" w:color="auto" w:fill="000000"/>
            <w:vAlign w:val="bottom"/>
          </w:tcPr>
          <w:p w:rsidR="00B03921" w:rsidRPr="00104E1A" w:rsidRDefault="00B03921" w:rsidP="00016914">
            <w:pPr>
              <w:numPr>
                <w:ilvl w:val="1"/>
                <w:numId w:val="0"/>
              </w:numPr>
              <w:spacing w:after="0"/>
              <w:rPr>
                <w:rFonts w:asciiTheme="minorHAnsi" w:hAnsiTheme="minorHAnsi" w:cstheme="minorHAnsi"/>
                <w:i/>
                <w:sz w:val="20"/>
                <w:szCs w:val="21"/>
                <w:lang w:eastAsia="en-AU"/>
              </w:rPr>
            </w:pPr>
          </w:p>
        </w:tc>
        <w:tc>
          <w:tcPr>
            <w:tcW w:w="729" w:type="pct"/>
            <w:tcBorders>
              <w:top w:val="nil"/>
              <w:left w:val="nil"/>
              <w:bottom w:val="single" w:sz="6" w:space="0" w:color="auto"/>
              <w:right w:val="nil"/>
            </w:tcBorders>
            <w:shd w:val="clear" w:color="auto" w:fill="000000"/>
            <w:vAlign w:val="bottom"/>
          </w:tcPr>
          <w:p w:rsidR="00B03921" w:rsidRPr="00104E1A" w:rsidRDefault="00B03921" w:rsidP="00016914">
            <w:pPr>
              <w:numPr>
                <w:ilvl w:val="1"/>
                <w:numId w:val="0"/>
              </w:numPr>
              <w:spacing w:after="0"/>
              <w:jc w:val="center"/>
              <w:rPr>
                <w:rFonts w:asciiTheme="minorHAnsi" w:hAnsiTheme="minorHAnsi" w:cstheme="minorHAnsi"/>
                <w:i/>
                <w:sz w:val="20"/>
                <w:szCs w:val="21"/>
                <w:lang w:eastAsia="en-AU"/>
              </w:rPr>
            </w:pPr>
          </w:p>
        </w:tc>
        <w:tc>
          <w:tcPr>
            <w:tcW w:w="1604" w:type="pct"/>
            <w:gridSpan w:val="2"/>
            <w:tcBorders>
              <w:top w:val="nil"/>
              <w:left w:val="nil"/>
              <w:bottom w:val="single" w:sz="6" w:space="0" w:color="auto"/>
              <w:right w:val="single" w:sz="6" w:space="0" w:color="auto"/>
            </w:tcBorders>
            <w:shd w:val="clear" w:color="auto" w:fill="000000"/>
          </w:tcPr>
          <w:p w:rsidR="00B03921" w:rsidRPr="00104E1A" w:rsidRDefault="00B03921" w:rsidP="00016914">
            <w:pPr>
              <w:numPr>
                <w:ilvl w:val="1"/>
                <w:numId w:val="0"/>
              </w:numPr>
              <w:spacing w:after="0"/>
              <w:jc w:val="center"/>
              <w:rPr>
                <w:rFonts w:asciiTheme="minorHAnsi" w:hAnsiTheme="minorHAnsi" w:cstheme="minorHAnsi"/>
                <w:i/>
                <w:sz w:val="20"/>
                <w:szCs w:val="21"/>
                <w:lang w:eastAsia="en-AU"/>
              </w:rPr>
            </w:pPr>
            <w:r w:rsidRPr="00104E1A">
              <w:rPr>
                <w:rFonts w:asciiTheme="minorHAnsi" w:hAnsiTheme="minorHAnsi" w:cstheme="minorHAnsi"/>
                <w:i/>
                <w:sz w:val="20"/>
                <w:szCs w:val="21"/>
                <w:lang w:eastAsia="en-AU"/>
              </w:rPr>
              <w:t>Entities included as investments in other sectors</w:t>
            </w:r>
          </w:p>
        </w:tc>
      </w:tr>
      <w:tr w:rsidR="00B03921" w:rsidRPr="00104E1A" w:rsidTr="00016914">
        <w:trPr>
          <w:cantSplit/>
          <w:tblHeader/>
        </w:trPr>
        <w:tc>
          <w:tcPr>
            <w:tcW w:w="2667" w:type="pct"/>
            <w:tcBorders>
              <w:top w:val="nil"/>
              <w:left w:val="single" w:sz="6" w:space="0" w:color="auto"/>
              <w:bottom w:val="single" w:sz="6" w:space="0" w:color="auto"/>
              <w:right w:val="nil"/>
            </w:tcBorders>
            <w:shd w:val="clear" w:color="auto" w:fill="000000"/>
            <w:vAlign w:val="bottom"/>
          </w:tcPr>
          <w:p w:rsidR="00B03921" w:rsidRPr="00104E1A" w:rsidRDefault="00B03921" w:rsidP="00016914">
            <w:pPr>
              <w:numPr>
                <w:ilvl w:val="1"/>
                <w:numId w:val="0"/>
              </w:numPr>
              <w:spacing w:after="0"/>
              <w:rPr>
                <w:rFonts w:asciiTheme="minorHAnsi" w:hAnsiTheme="minorHAnsi" w:cstheme="minorHAnsi"/>
                <w:i/>
                <w:sz w:val="20"/>
                <w:szCs w:val="21"/>
                <w:vertAlign w:val="superscript"/>
                <w:lang w:eastAsia="en-AU"/>
              </w:rPr>
            </w:pPr>
            <w:r>
              <w:rPr>
                <w:rFonts w:asciiTheme="minorHAnsi" w:hAnsiTheme="minorHAnsi" w:cstheme="minorHAnsi"/>
                <w:i/>
                <w:sz w:val="20"/>
                <w:szCs w:val="21"/>
                <w:lang w:eastAsia="en-AU"/>
              </w:rPr>
              <w:t>Controlled entities</w:t>
            </w:r>
            <w:r w:rsidRPr="00104E1A">
              <w:rPr>
                <w:rFonts w:asciiTheme="minorHAnsi" w:hAnsiTheme="minorHAnsi" w:cstheme="minorHAnsi"/>
                <w:i/>
                <w:sz w:val="20"/>
                <w:szCs w:val="21"/>
                <w:vertAlign w:val="superscript"/>
                <w:lang w:eastAsia="en-AU"/>
              </w:rPr>
              <w:t>(a)</w:t>
            </w:r>
          </w:p>
        </w:tc>
        <w:tc>
          <w:tcPr>
            <w:tcW w:w="729" w:type="pct"/>
            <w:tcBorders>
              <w:top w:val="nil"/>
              <w:left w:val="nil"/>
              <w:bottom w:val="single" w:sz="6" w:space="0" w:color="auto"/>
              <w:right w:val="nil"/>
            </w:tcBorders>
            <w:shd w:val="clear" w:color="auto" w:fill="000000"/>
            <w:vAlign w:val="bottom"/>
          </w:tcPr>
          <w:p w:rsidR="00B03921" w:rsidRPr="00104E1A" w:rsidRDefault="00B03921" w:rsidP="00016914">
            <w:pPr>
              <w:numPr>
                <w:ilvl w:val="1"/>
                <w:numId w:val="0"/>
              </w:numPr>
              <w:spacing w:after="0"/>
              <w:jc w:val="center"/>
              <w:rPr>
                <w:rFonts w:asciiTheme="minorHAnsi" w:hAnsiTheme="minorHAnsi" w:cstheme="minorHAnsi"/>
                <w:i/>
                <w:sz w:val="20"/>
                <w:szCs w:val="21"/>
                <w:lang w:eastAsia="en-AU"/>
              </w:rPr>
            </w:pPr>
            <w:r w:rsidRPr="00104E1A">
              <w:rPr>
                <w:rFonts w:asciiTheme="minorHAnsi" w:hAnsiTheme="minorHAnsi" w:cstheme="minorHAnsi"/>
                <w:i/>
                <w:sz w:val="20"/>
                <w:szCs w:val="21"/>
                <w:lang w:eastAsia="en-AU"/>
              </w:rPr>
              <w:t>General government</w:t>
            </w:r>
          </w:p>
        </w:tc>
        <w:tc>
          <w:tcPr>
            <w:tcW w:w="908" w:type="pct"/>
            <w:tcBorders>
              <w:top w:val="nil"/>
              <w:left w:val="nil"/>
              <w:bottom w:val="single" w:sz="6" w:space="0" w:color="auto"/>
              <w:right w:val="nil"/>
            </w:tcBorders>
            <w:shd w:val="clear" w:color="auto" w:fill="000000"/>
          </w:tcPr>
          <w:p w:rsidR="00B03921" w:rsidRPr="00104E1A" w:rsidRDefault="00B03921" w:rsidP="00016914">
            <w:pPr>
              <w:numPr>
                <w:ilvl w:val="1"/>
                <w:numId w:val="0"/>
              </w:numPr>
              <w:spacing w:after="0"/>
              <w:jc w:val="center"/>
              <w:rPr>
                <w:rFonts w:asciiTheme="minorHAnsi" w:hAnsiTheme="minorHAnsi" w:cstheme="minorHAnsi"/>
                <w:i/>
                <w:sz w:val="20"/>
                <w:szCs w:val="21"/>
                <w:lang w:eastAsia="en-AU"/>
              </w:rPr>
            </w:pPr>
            <w:r w:rsidRPr="00104E1A">
              <w:rPr>
                <w:rFonts w:asciiTheme="minorHAnsi" w:hAnsiTheme="minorHAnsi" w:cstheme="minorHAnsi"/>
                <w:i/>
                <w:sz w:val="20"/>
                <w:szCs w:val="21"/>
                <w:lang w:eastAsia="en-AU"/>
              </w:rPr>
              <w:t>Public non</w:t>
            </w:r>
            <w:r>
              <w:rPr>
                <w:rFonts w:asciiTheme="minorHAnsi" w:hAnsiTheme="minorHAnsi" w:cstheme="minorHAnsi"/>
                <w:sz w:val="20"/>
                <w:szCs w:val="21"/>
                <w:lang w:eastAsia="en-AU"/>
              </w:rPr>
              <w:noBreakHyphen/>
            </w:r>
            <w:r w:rsidRPr="00104E1A">
              <w:rPr>
                <w:rFonts w:asciiTheme="minorHAnsi" w:hAnsiTheme="minorHAnsi" w:cstheme="minorHAnsi"/>
                <w:i/>
                <w:sz w:val="20"/>
                <w:szCs w:val="21"/>
                <w:lang w:eastAsia="en-AU"/>
              </w:rPr>
              <w:t>financial corporation</w:t>
            </w:r>
          </w:p>
        </w:tc>
        <w:tc>
          <w:tcPr>
            <w:tcW w:w="696" w:type="pct"/>
            <w:tcBorders>
              <w:top w:val="nil"/>
              <w:left w:val="nil"/>
              <w:bottom w:val="single" w:sz="6" w:space="0" w:color="auto"/>
              <w:right w:val="single" w:sz="6" w:space="0" w:color="auto"/>
            </w:tcBorders>
            <w:shd w:val="clear" w:color="auto" w:fill="000000"/>
            <w:vAlign w:val="bottom"/>
          </w:tcPr>
          <w:p w:rsidR="00B03921" w:rsidRPr="00104E1A" w:rsidRDefault="00B03921" w:rsidP="00016914">
            <w:pPr>
              <w:numPr>
                <w:ilvl w:val="1"/>
                <w:numId w:val="0"/>
              </w:numPr>
              <w:spacing w:after="0"/>
              <w:jc w:val="center"/>
              <w:rPr>
                <w:rFonts w:asciiTheme="minorHAnsi" w:hAnsiTheme="minorHAnsi" w:cstheme="minorHAnsi"/>
                <w:i/>
                <w:sz w:val="20"/>
                <w:szCs w:val="21"/>
                <w:lang w:eastAsia="en-AU"/>
              </w:rPr>
            </w:pPr>
            <w:r w:rsidRPr="00104E1A">
              <w:rPr>
                <w:rFonts w:asciiTheme="minorHAnsi" w:hAnsiTheme="minorHAnsi" w:cstheme="minorHAnsi"/>
                <w:i/>
                <w:sz w:val="20"/>
                <w:szCs w:val="21"/>
                <w:lang w:eastAsia="en-AU"/>
              </w:rPr>
              <w:t>Public financial corporation</w:t>
            </w:r>
          </w:p>
        </w:tc>
      </w:tr>
      <w:tr w:rsidR="00B03921" w:rsidRPr="00104E1A" w:rsidTr="00016914">
        <w:tc>
          <w:tcPr>
            <w:tcW w:w="2667" w:type="pct"/>
            <w:tcBorders>
              <w:top w:val="nil"/>
              <w:bottom w:val="nil"/>
              <w:right w:val="nil"/>
            </w:tcBorders>
          </w:tcPr>
          <w:p w:rsidR="00B03921" w:rsidRPr="00104E1A" w:rsidRDefault="00B03921" w:rsidP="00016914">
            <w:pPr>
              <w:tabs>
                <w:tab w:val="right" w:pos="6257"/>
              </w:tabs>
              <w:spacing w:after="0"/>
              <w:rPr>
                <w:rFonts w:asciiTheme="minorHAnsi" w:hAnsiTheme="minorHAnsi" w:cstheme="minorHAnsi"/>
                <w:b/>
                <w:bCs/>
                <w:sz w:val="20"/>
                <w:szCs w:val="21"/>
                <w:lang w:eastAsia="en-AU"/>
              </w:rPr>
            </w:pPr>
            <w:r w:rsidRPr="00104E1A">
              <w:rPr>
                <w:rFonts w:asciiTheme="minorHAnsi" w:hAnsiTheme="minorHAnsi" w:cstheme="minorHAnsi"/>
                <w:b/>
                <w:bCs/>
                <w:sz w:val="20"/>
                <w:szCs w:val="21"/>
                <w:lang w:eastAsia="en-AU"/>
              </w:rPr>
              <w:t>Department of Education and Training</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tcBorders>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 xml:space="preserve">TAFEs including: </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Pr>
                <w:rFonts w:asciiTheme="minorHAnsi" w:hAnsiTheme="minorHAnsi" w:cstheme="minorHAnsi"/>
                <w:sz w:val="20"/>
                <w:szCs w:val="21"/>
                <w:lang w:eastAsia="en-AU"/>
              </w:rPr>
              <w:tab/>
              <w:t>Bendigo Kangan Institute</w:t>
            </w:r>
            <w:r w:rsidRPr="00104E1A">
              <w:rPr>
                <w:rFonts w:asciiTheme="minorHAnsi" w:hAnsiTheme="minorHAnsi" w:cstheme="minorHAnsi"/>
                <w:sz w:val="20"/>
                <w:szCs w:val="21"/>
                <w:vertAlign w:val="superscript"/>
                <w:lang w:eastAsia="en-AU"/>
              </w:rPr>
              <w:t>(b)</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rPr>
            </w:pPr>
          </w:p>
        </w:tc>
      </w:tr>
      <w:tr w:rsidR="00B03921" w:rsidRPr="00104E1A" w:rsidTr="00016914">
        <w:tc>
          <w:tcPr>
            <w:tcW w:w="2667" w:type="pct"/>
            <w:tcBorders>
              <w:top w:val="nil"/>
              <w:left w:val="nil"/>
              <w:bottom w:val="nil"/>
              <w:right w:val="nil"/>
            </w:tcBorders>
          </w:tcPr>
          <w:p w:rsidR="00B03921" w:rsidRPr="00191113" w:rsidRDefault="00B03921" w:rsidP="00016914">
            <w:pPr>
              <w:spacing w:after="0"/>
              <w:ind w:left="180" w:hanging="180"/>
              <w:rPr>
                <w:rFonts w:asciiTheme="minorHAnsi" w:hAnsiTheme="minorHAnsi" w:cstheme="minorHAnsi"/>
                <w:sz w:val="20"/>
                <w:szCs w:val="21"/>
                <w:lang w:eastAsia="en-AU"/>
              </w:rPr>
            </w:pPr>
            <w:r w:rsidRPr="00191113">
              <w:rPr>
                <w:rFonts w:asciiTheme="minorHAnsi" w:hAnsiTheme="minorHAnsi" w:cstheme="minorHAnsi"/>
                <w:sz w:val="20"/>
                <w:szCs w:val="21"/>
                <w:lang w:eastAsia="en-AU"/>
              </w:rPr>
              <w:tab/>
              <w:t>Melbourne Polytechnic</w:t>
            </w:r>
            <w:r w:rsidRPr="00191113">
              <w:rPr>
                <w:rFonts w:asciiTheme="minorHAnsi" w:hAnsiTheme="minorHAnsi" w:cstheme="minorHAnsi"/>
                <w:sz w:val="20"/>
                <w:szCs w:val="21"/>
                <w:vertAlign w:val="superscript"/>
                <w:lang w:eastAsia="en-AU"/>
              </w:rPr>
              <w:t>(c)</w:t>
            </w:r>
          </w:p>
        </w:tc>
        <w:tc>
          <w:tcPr>
            <w:tcW w:w="729" w:type="pct"/>
            <w:tcBorders>
              <w:top w:val="nil"/>
              <w:left w:val="nil"/>
              <w:bottom w:val="nil"/>
              <w:right w:val="nil"/>
            </w:tcBorders>
          </w:tcPr>
          <w:p w:rsidR="00B03921" w:rsidRPr="00191113" w:rsidRDefault="00B03921" w:rsidP="00016914">
            <w:pPr>
              <w:spacing w:after="0"/>
              <w:jc w:val="center"/>
              <w:rPr>
                <w:rFonts w:asciiTheme="minorHAnsi" w:hAnsiTheme="minorHAnsi" w:cstheme="minorHAnsi"/>
                <w:sz w:val="20"/>
                <w:szCs w:val="21"/>
                <w:lang w:eastAsia="en-AU"/>
              </w:rPr>
            </w:pPr>
            <w:r w:rsidRPr="00191113">
              <w:rPr>
                <w:rFonts w:asciiTheme="minorHAnsi" w:hAnsiTheme="minorHAnsi" w:cstheme="minorHAnsi"/>
                <w:sz w:val="20"/>
                <w:szCs w:val="21"/>
                <w:lang w:eastAsia="en-AU"/>
              </w:rPr>
              <w:t>*</w:t>
            </w:r>
          </w:p>
        </w:tc>
        <w:tc>
          <w:tcPr>
            <w:tcW w:w="908" w:type="pct"/>
            <w:tcBorders>
              <w:top w:val="nil"/>
              <w:left w:val="nil"/>
              <w:bottom w:val="nil"/>
              <w:right w:val="nil"/>
            </w:tcBorders>
            <w:noWrap/>
            <w:vAlign w:val="bottom"/>
          </w:tcPr>
          <w:p w:rsidR="00B03921" w:rsidRPr="00191113"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91113"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4" w:space="0" w:color="auto"/>
              <w:left w:val="nil"/>
              <w:right w:val="nil"/>
            </w:tcBorders>
            <w:shd w:val="clear" w:color="auto" w:fill="auto"/>
          </w:tcPr>
          <w:p w:rsidR="00B03921" w:rsidRPr="00104E1A" w:rsidRDefault="00B03921" w:rsidP="00016914">
            <w:pPr>
              <w:spacing w:after="0"/>
              <w:ind w:left="187" w:hanging="187"/>
              <w:rPr>
                <w:rFonts w:asciiTheme="minorHAnsi" w:hAnsiTheme="minorHAnsi" w:cstheme="minorHAnsi"/>
                <w:b/>
                <w:bCs/>
                <w:sz w:val="20"/>
                <w:szCs w:val="21"/>
                <w:vertAlign w:val="superscript"/>
                <w:lang w:eastAsia="en-AU"/>
              </w:rPr>
            </w:pPr>
            <w:r w:rsidRPr="00104E1A">
              <w:rPr>
                <w:rFonts w:asciiTheme="minorHAnsi" w:hAnsiTheme="minorHAnsi" w:cstheme="minorHAnsi"/>
                <w:b/>
                <w:bCs/>
                <w:sz w:val="20"/>
                <w:szCs w:val="21"/>
                <w:lang w:eastAsia="en-AU"/>
              </w:rPr>
              <w:t>Department of Environment, Land, Water and Planning</w:t>
            </w:r>
          </w:p>
        </w:tc>
        <w:tc>
          <w:tcPr>
            <w:tcW w:w="729" w:type="pct"/>
            <w:tcBorders>
              <w:top w:val="single" w:sz="4" w:space="0" w:color="auto"/>
              <w:left w:val="nil"/>
              <w:right w:val="nil"/>
            </w:tcBorders>
            <w:shd w:val="clear" w:color="auto" w:fill="auto"/>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4" w:space="0" w:color="auto"/>
              <w:left w:val="nil"/>
              <w:right w:val="nil"/>
            </w:tcBorders>
            <w:shd w:val="clear" w:color="auto" w:fill="auto"/>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single" w:sz="4" w:space="0" w:color="auto"/>
              <w:left w:val="nil"/>
              <w:right w:val="nil"/>
            </w:tcBorders>
            <w:shd w:val="clear" w:color="auto" w:fill="auto"/>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Architects Registration Board of Victoria</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Heritage Council</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Metropolitan Planning Authority</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Surveyors Registration Board of Victoria</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Building Authority</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Urban Renewal Authority Victoria (Places Victoria)</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7" w:hanging="187"/>
              <w:rPr>
                <w:rFonts w:asciiTheme="minorHAnsi" w:hAnsiTheme="minorHAnsi" w:cstheme="minorHAnsi"/>
                <w:sz w:val="20"/>
                <w:szCs w:val="21"/>
                <w:lang w:eastAsia="en-AU"/>
              </w:rPr>
            </w:pPr>
            <w:r w:rsidRPr="00104E1A">
              <w:rPr>
                <w:rFonts w:asciiTheme="minorHAnsi" w:hAnsiTheme="minorHAnsi" w:cstheme="minorHAnsi"/>
                <w:sz w:val="20"/>
                <w:szCs w:val="21"/>
                <w:lang w:eastAsia="en-AU"/>
              </w:rPr>
              <w:t>Waste and Resource Recovery Groups including:</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Barwon South West Waste and Resource Recovery 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 xml:space="preserve">Gippsland Waste and Resource Recovery </w:t>
            </w:r>
            <w:r>
              <w:rPr>
                <w:rFonts w:asciiTheme="minorHAnsi" w:hAnsiTheme="minorHAnsi" w:cstheme="minorHAnsi"/>
                <w:sz w:val="20"/>
                <w:szCs w:val="21"/>
                <w:lang w:eastAsia="en-AU"/>
              </w:rPr>
              <w:br/>
            </w:r>
            <w:r w:rsidRPr="00104E1A">
              <w:rPr>
                <w:rFonts w:asciiTheme="minorHAnsi" w:hAnsiTheme="minorHAnsi" w:cstheme="minorHAnsi"/>
                <w:sz w:val="20"/>
                <w:szCs w:val="21"/>
                <w:lang w:eastAsia="en-AU"/>
              </w:rPr>
              <w:t>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Goulburn Valley Waste and Resource Recovery 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7" w:hanging="187"/>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Grampians Central Waste and Resource Recovery 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Metropolitan Waste and Resource Recovery Group</w:t>
            </w:r>
            <w:r w:rsidRPr="002A7265">
              <w:rPr>
                <w:rFonts w:asciiTheme="minorHAnsi" w:hAnsiTheme="minorHAnsi" w:cstheme="minorHAnsi"/>
                <w:sz w:val="20"/>
                <w:szCs w:val="21"/>
                <w:vertAlign w:val="superscript"/>
                <w:lang w:eastAsia="en-AU"/>
              </w:rPr>
              <w:t>(d)</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80"/>
        </w:trPr>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Loddon Mallee Waste and Resource Recovery 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1" w:hanging="181"/>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North East Waste and Resource Recovery Group</w:t>
            </w:r>
            <w:r>
              <w:rPr>
                <w:rFonts w:asciiTheme="minorHAnsi" w:hAnsiTheme="minorHAnsi" w:cstheme="minorHAnsi"/>
                <w:sz w:val="20"/>
                <w:szCs w:val="21"/>
                <w:vertAlign w:val="superscript"/>
                <w:lang w:eastAsia="en-AU"/>
              </w:rPr>
              <w:t>(d</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4" w:space="0" w:color="auto"/>
              <w:left w:val="nil"/>
              <w:right w:val="nil"/>
            </w:tcBorders>
          </w:tcPr>
          <w:p w:rsidR="00B03921" w:rsidRPr="00104E1A" w:rsidRDefault="00B03921" w:rsidP="00016914">
            <w:pPr>
              <w:pageBreakBefore/>
              <w:spacing w:after="0"/>
              <w:rPr>
                <w:rFonts w:asciiTheme="minorHAnsi" w:hAnsiTheme="minorHAnsi" w:cstheme="minorHAnsi"/>
                <w:b/>
                <w:bCs/>
                <w:sz w:val="20"/>
                <w:szCs w:val="21"/>
                <w:lang w:eastAsia="en-AU"/>
              </w:rPr>
            </w:pPr>
            <w:r w:rsidRPr="00104E1A">
              <w:rPr>
                <w:rFonts w:asciiTheme="minorHAnsi" w:hAnsiTheme="minorHAnsi" w:cstheme="minorHAnsi"/>
                <w:b/>
                <w:bCs/>
                <w:sz w:val="20"/>
                <w:szCs w:val="21"/>
                <w:lang w:eastAsia="en-AU"/>
              </w:rPr>
              <w:t>Department of Health and Human Services</w:t>
            </w:r>
          </w:p>
        </w:tc>
        <w:tc>
          <w:tcPr>
            <w:tcW w:w="729" w:type="pct"/>
            <w:tcBorders>
              <w:top w:val="single" w:sz="4" w:space="0" w:color="auto"/>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6" w:space="0" w:color="auto"/>
              <w:left w:val="nil"/>
              <w:right w:val="nil"/>
            </w:tcBorders>
            <w:noWrap/>
            <w:vAlign w:val="bottom"/>
          </w:tcPr>
          <w:p w:rsidR="00B03921" w:rsidRPr="00104E1A" w:rsidRDefault="00B03921" w:rsidP="00016914">
            <w:pPr>
              <w:spacing w:after="0"/>
              <w:jc w:val="center"/>
              <w:rPr>
                <w:rFonts w:asciiTheme="minorHAnsi" w:hAnsiTheme="minorHAnsi" w:cstheme="minorHAnsi"/>
                <w:b/>
                <w:bCs/>
                <w:sz w:val="20"/>
                <w:szCs w:val="21"/>
                <w:lang w:eastAsia="en-AU"/>
              </w:rPr>
            </w:pPr>
          </w:p>
        </w:tc>
        <w:tc>
          <w:tcPr>
            <w:tcW w:w="696" w:type="pct"/>
            <w:tcBorders>
              <w:top w:val="single" w:sz="6" w:space="0" w:color="auto"/>
              <w:left w:val="nil"/>
              <w:right w:val="nil"/>
            </w:tcBorders>
            <w:noWrap/>
            <w:vAlign w:val="bottom"/>
          </w:tcPr>
          <w:p w:rsidR="00B03921" w:rsidRPr="00104E1A" w:rsidRDefault="00B03921" w:rsidP="00016914">
            <w:pPr>
              <w:spacing w:after="0"/>
              <w:jc w:val="center"/>
              <w:rPr>
                <w:rFonts w:asciiTheme="minorHAnsi" w:hAnsiTheme="minorHAnsi" w:cstheme="minorHAnsi"/>
                <w:b/>
                <w:bCs/>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Commission for Children and Young People</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Hospitals, Health and Ambulance Services including:</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b/>
                <w:bCs/>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b/>
                <w:bCs/>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b/>
              <w:t>Bass Coast Health</w:t>
            </w:r>
            <w:r>
              <w:rPr>
                <w:rFonts w:asciiTheme="minorHAnsi" w:hAnsiTheme="minorHAnsi" w:cstheme="minorHAnsi"/>
                <w:sz w:val="20"/>
                <w:szCs w:val="21"/>
                <w:vertAlign w:val="superscript"/>
                <w:lang w:eastAsia="en-AU"/>
              </w:rPr>
              <w:t>(e</w:t>
            </w:r>
            <w:r w:rsidRPr="00104E1A">
              <w:rPr>
                <w:rFonts w:asciiTheme="minorHAnsi" w:hAnsiTheme="minorHAnsi" w:cstheme="minorHAnsi"/>
                <w:sz w:val="20"/>
                <w:szCs w:val="21"/>
                <w:vertAlign w:val="superscript"/>
                <w:lang w:eastAsia="en-AU"/>
              </w:rPr>
              <w: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The Queen Elizabeth Centre</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Tweddle Child and Family Health Service</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Institute of Sport Limited</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Institute of Sport Trust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Director of Housing (PNFC)</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State Sport Centres Trust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6" w:space="0" w:color="auto"/>
              <w:left w:val="nil"/>
              <w:bottom w:val="nil"/>
              <w:right w:val="nil"/>
            </w:tcBorders>
          </w:tcPr>
          <w:p w:rsidR="00B03921" w:rsidRPr="00104E1A" w:rsidRDefault="00B03921" w:rsidP="00016914">
            <w:pPr>
              <w:spacing w:after="0"/>
              <w:ind w:left="180" w:hanging="180"/>
              <w:rPr>
                <w:rFonts w:asciiTheme="minorHAnsi" w:hAnsiTheme="minorHAnsi" w:cstheme="minorHAnsi"/>
                <w:b/>
                <w:bCs/>
                <w:sz w:val="20"/>
                <w:szCs w:val="21"/>
                <w:lang w:eastAsia="en-AU"/>
              </w:rPr>
            </w:pPr>
            <w:r w:rsidRPr="00104E1A">
              <w:rPr>
                <w:rFonts w:asciiTheme="minorHAnsi" w:hAnsiTheme="minorHAnsi" w:cstheme="minorHAnsi"/>
                <w:sz w:val="20"/>
                <w:szCs w:val="21"/>
              </w:rPr>
              <w:br w:type="page"/>
            </w:r>
            <w:r w:rsidRPr="00104E1A">
              <w:rPr>
                <w:rFonts w:asciiTheme="minorHAnsi" w:hAnsiTheme="minorHAnsi" w:cstheme="minorHAnsi"/>
                <w:b/>
                <w:bCs/>
                <w:sz w:val="20"/>
                <w:szCs w:val="21"/>
                <w:lang w:eastAsia="en-AU"/>
              </w:rPr>
              <w:t>Department of Justice and Regulation</w:t>
            </w:r>
            <w:r>
              <w:rPr>
                <w:rFonts w:asciiTheme="minorHAnsi" w:hAnsiTheme="minorHAnsi" w:cstheme="minorHAnsi"/>
                <w:b/>
                <w:bCs/>
                <w:sz w:val="20"/>
                <w:szCs w:val="21"/>
                <w:vertAlign w:val="superscript"/>
                <w:lang w:eastAsia="en-AU"/>
              </w:rPr>
              <w:t>(f</w:t>
            </w:r>
            <w:r w:rsidRPr="00104E1A">
              <w:rPr>
                <w:rFonts w:asciiTheme="minorHAnsi" w:hAnsiTheme="minorHAnsi" w:cstheme="minorHAnsi"/>
                <w:b/>
                <w:bCs/>
                <w:sz w:val="20"/>
                <w:szCs w:val="21"/>
                <w:vertAlign w:val="superscript"/>
                <w:lang w:eastAsia="en-AU"/>
              </w:rPr>
              <w:t>)</w:t>
            </w:r>
          </w:p>
        </w:tc>
        <w:tc>
          <w:tcPr>
            <w:tcW w:w="729" w:type="pct"/>
            <w:tcBorders>
              <w:top w:val="single" w:sz="6" w:space="0" w:color="auto"/>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 </w:t>
            </w:r>
          </w:p>
        </w:tc>
        <w:tc>
          <w:tcPr>
            <w:tcW w:w="696"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6" w:space="0" w:color="auto"/>
              <w:left w:val="nil"/>
              <w:bottom w:val="nil"/>
              <w:right w:val="nil"/>
            </w:tcBorders>
          </w:tcPr>
          <w:p w:rsidR="00B03921" w:rsidRPr="00104E1A" w:rsidRDefault="00B03921" w:rsidP="00016914">
            <w:pPr>
              <w:spacing w:after="0"/>
              <w:ind w:left="187" w:hanging="187"/>
              <w:rPr>
                <w:rFonts w:asciiTheme="minorHAnsi" w:hAnsiTheme="minorHAnsi" w:cstheme="minorHAnsi"/>
                <w:b/>
                <w:bCs/>
                <w:sz w:val="20"/>
                <w:szCs w:val="21"/>
                <w:lang w:eastAsia="en-AU"/>
              </w:rPr>
            </w:pPr>
            <w:r w:rsidRPr="00104E1A">
              <w:rPr>
                <w:rFonts w:asciiTheme="minorHAnsi" w:hAnsiTheme="minorHAnsi" w:cstheme="minorHAnsi"/>
                <w:b/>
                <w:bCs/>
                <w:sz w:val="20"/>
                <w:szCs w:val="21"/>
                <w:lang w:eastAsia="en-AU"/>
              </w:rPr>
              <w:t>Department of Premier and Cabinet</w:t>
            </w:r>
          </w:p>
        </w:tc>
        <w:tc>
          <w:tcPr>
            <w:tcW w:w="729" w:type="pct"/>
            <w:tcBorders>
              <w:top w:val="single" w:sz="6" w:space="0" w:color="auto"/>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 </w:t>
            </w:r>
          </w:p>
        </w:tc>
        <w:tc>
          <w:tcPr>
            <w:tcW w:w="696"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Freedom of Information Commissioner</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Independent Broad</w:t>
            </w:r>
            <w:r>
              <w:rPr>
                <w:rFonts w:asciiTheme="minorHAnsi" w:hAnsiTheme="minorHAnsi" w:cstheme="minorHAnsi"/>
                <w:sz w:val="20"/>
                <w:szCs w:val="21"/>
                <w:lang w:eastAsia="en-AU"/>
              </w:rPr>
              <w:noBreakHyphen/>
            </w:r>
            <w:r w:rsidRPr="00104E1A">
              <w:rPr>
                <w:rFonts w:asciiTheme="minorHAnsi" w:hAnsiTheme="minorHAnsi" w:cstheme="minorHAnsi"/>
                <w:sz w:val="20"/>
                <w:szCs w:val="21"/>
                <w:lang w:eastAsia="en-AU"/>
              </w:rPr>
              <w:t>Based Anti</w:t>
            </w:r>
            <w:r>
              <w:rPr>
                <w:rFonts w:asciiTheme="minorHAnsi" w:hAnsiTheme="minorHAnsi" w:cstheme="minorHAnsi"/>
                <w:sz w:val="20"/>
                <w:szCs w:val="21"/>
                <w:lang w:eastAsia="en-AU"/>
              </w:rPr>
              <w:noBreakHyphen/>
            </w:r>
            <w:r w:rsidRPr="00104E1A">
              <w:rPr>
                <w:rFonts w:asciiTheme="minorHAnsi" w:hAnsiTheme="minorHAnsi" w:cstheme="minorHAnsi"/>
                <w:sz w:val="20"/>
                <w:szCs w:val="21"/>
                <w:lang w:eastAsia="en-AU"/>
              </w:rPr>
              <w:t>Corruption Commission (IBAC)</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Office of the Commissioner for Privacy and Data Protection</w:t>
            </w:r>
            <w:r>
              <w:rPr>
                <w:rFonts w:asciiTheme="minorHAnsi" w:hAnsiTheme="minorHAnsi" w:cstheme="minorHAnsi"/>
                <w:sz w:val="20"/>
                <w:szCs w:val="21"/>
                <w:vertAlign w:val="superscript"/>
                <w:lang w:eastAsia="en-AU"/>
              </w:rPr>
              <w:t>(g</w:t>
            </w:r>
            <w:r w:rsidRPr="00104E1A">
              <w:rPr>
                <w:rFonts w:asciiTheme="minorHAnsi" w:hAnsiTheme="minorHAnsi" w:cstheme="minorHAnsi"/>
                <w:sz w:val="20"/>
                <w:szCs w:val="21"/>
                <w:vertAlign w:val="superscript"/>
                <w:lang w:eastAsia="en-AU"/>
              </w:rPr>
              <w: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Competition and Efficiency Commission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Electoral Commission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Inspectorate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Queen Victoria Women</w:t>
            </w:r>
            <w:r w:rsidR="00BA5A16">
              <w:rPr>
                <w:rFonts w:asciiTheme="minorHAnsi" w:hAnsiTheme="minorHAnsi" w:cstheme="minorHAnsi"/>
                <w:sz w:val="20"/>
                <w:szCs w:val="21"/>
                <w:lang w:eastAsia="en-AU"/>
              </w:rPr>
              <w:t>’</w:t>
            </w:r>
            <w:r w:rsidRPr="00104E1A">
              <w:rPr>
                <w:rFonts w:asciiTheme="minorHAnsi" w:hAnsiTheme="minorHAnsi" w:cstheme="minorHAnsi"/>
                <w:sz w:val="20"/>
                <w:szCs w:val="21"/>
                <w:lang w:eastAsia="en-AU"/>
              </w:rPr>
              <w:t>s Centre Trust</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6" w:space="0" w:color="auto"/>
              <w:bottom w:val="nil"/>
              <w:right w:val="nil"/>
            </w:tcBorders>
            <w:vAlign w:val="bottom"/>
          </w:tcPr>
          <w:p w:rsidR="00B03921" w:rsidRPr="00104E1A" w:rsidRDefault="00B03921" w:rsidP="00016914">
            <w:pPr>
              <w:spacing w:after="0"/>
              <w:ind w:left="187" w:hanging="187"/>
              <w:rPr>
                <w:rFonts w:asciiTheme="minorHAnsi" w:hAnsiTheme="minorHAnsi" w:cstheme="minorHAnsi"/>
                <w:sz w:val="20"/>
                <w:szCs w:val="21"/>
                <w:lang w:eastAsia="en-AU"/>
              </w:rPr>
            </w:pPr>
            <w:r w:rsidRPr="00104E1A">
              <w:rPr>
                <w:rFonts w:asciiTheme="minorHAnsi" w:hAnsiTheme="minorHAnsi" w:cstheme="minorHAnsi"/>
                <w:b/>
                <w:sz w:val="20"/>
                <w:szCs w:val="21"/>
                <w:lang w:eastAsia="en-AU"/>
              </w:rPr>
              <w:t>Department of Economic Development, Jobs, Transport and Resources</w:t>
            </w:r>
          </w:p>
        </w:tc>
        <w:tc>
          <w:tcPr>
            <w:tcW w:w="729" w:type="pct"/>
            <w:tcBorders>
              <w:top w:val="single" w:sz="6" w:space="0" w:color="auto"/>
              <w:left w:val="nil"/>
              <w:bottom w:val="nil"/>
              <w:right w:val="nil"/>
            </w:tcBorders>
            <w:vAlign w:val="bottom"/>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6" w:space="0" w:color="auto"/>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single" w:sz="6" w:space="0" w:color="auto"/>
              <w:left w:val="nil"/>
              <w:bottom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Australian Centre for the Moving Image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rPr>
                <w:rFonts w:asciiTheme="minorHAnsi" w:hAnsiTheme="minorHAnsi" w:cstheme="minorHAnsi"/>
                <w:sz w:val="20"/>
                <w:szCs w:val="21"/>
                <w:lang w:eastAsia="en-AU"/>
              </w:rPr>
            </w:pPr>
            <w:r w:rsidRPr="00104E1A">
              <w:rPr>
                <w:rFonts w:asciiTheme="minorHAnsi" w:hAnsiTheme="minorHAnsi" w:cstheme="minorHAnsi"/>
                <w:sz w:val="20"/>
                <w:szCs w:val="21"/>
                <w:lang w:eastAsia="en-AU"/>
              </w:rPr>
              <w:t>Game Management Authority</w:t>
            </w:r>
            <w:r>
              <w:rPr>
                <w:rFonts w:asciiTheme="minorHAnsi" w:hAnsiTheme="minorHAnsi" w:cstheme="minorHAnsi"/>
                <w:sz w:val="20"/>
                <w:szCs w:val="21"/>
                <w:vertAlign w:val="superscript"/>
                <w:lang w:eastAsia="en-AU"/>
              </w:rPr>
              <w:t>(h</w:t>
            </w:r>
            <w:r w:rsidRPr="00104E1A">
              <w:rPr>
                <w:rFonts w:asciiTheme="minorHAnsi" w:hAnsiTheme="minorHAnsi" w:cstheme="minorHAnsi"/>
                <w:sz w:val="20"/>
                <w:szCs w:val="21"/>
                <w:vertAlign w:val="superscript"/>
                <w:lang w:eastAsia="en-AU"/>
              </w:rPr>
              <w: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Library Board of Victoria</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bCs/>
                <w:sz w:val="20"/>
                <w:szCs w:val="21"/>
                <w:lang w:eastAsia="en-AU"/>
              </w:rPr>
            </w:pPr>
            <w:r w:rsidRPr="00104E1A">
              <w:rPr>
                <w:rFonts w:asciiTheme="minorHAnsi" w:hAnsiTheme="minorHAnsi" w:cstheme="minorHAnsi"/>
                <w:sz w:val="20"/>
                <w:szCs w:val="21"/>
                <w:lang w:eastAsia="en-AU"/>
              </w:rPr>
              <w:t>Linking Melbourne Authority</w:t>
            </w:r>
            <w:r>
              <w:rPr>
                <w:rFonts w:asciiTheme="minorHAnsi" w:hAnsiTheme="minorHAnsi" w:cstheme="minorHAnsi"/>
                <w:sz w:val="20"/>
                <w:szCs w:val="21"/>
                <w:vertAlign w:val="superscript"/>
                <w:lang w:eastAsia="en-AU"/>
              </w:rPr>
              <w:t>(i</w:t>
            </w:r>
            <w:r w:rsidRPr="00104E1A">
              <w:rPr>
                <w:rFonts w:asciiTheme="minorHAnsi" w:hAnsiTheme="minorHAnsi" w:cstheme="minorHAnsi"/>
                <w:sz w:val="20"/>
                <w:szCs w:val="21"/>
                <w:vertAlign w:val="superscript"/>
                <w:lang w:eastAsia="en-AU"/>
              </w:rPr>
              <w: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Melbourne Cricket Ground Trust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tabs>
                <w:tab w:val="left" w:pos="3554"/>
              </w:tabs>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rPr>
              <w:br w:type="page"/>
            </w:r>
            <w:r w:rsidRPr="00104E1A">
              <w:rPr>
                <w:rFonts w:asciiTheme="minorHAnsi" w:hAnsiTheme="minorHAnsi" w:cstheme="minorHAnsi"/>
                <w:sz w:val="20"/>
                <w:szCs w:val="21"/>
                <w:lang w:eastAsia="en-AU"/>
              </w:rPr>
              <w:t>Melbourne Recital Centre Limited</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Museums Board of Victoria</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National Gallery of Victoria, Council of Trustees</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Public Transport Development Authority</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51"/>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Roads Corporation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9"/>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Taxi Services Commission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85"/>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Veterinary Practitioners Registration Board of Victoria</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51"/>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Agriculture Victoria Services Pty Ltd</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Dairy Food Safety Victoria</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Geelong Performing Arts Centre Trust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9"/>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bCs/>
                <w:sz w:val="20"/>
                <w:szCs w:val="21"/>
                <w:lang w:eastAsia="en-AU"/>
              </w:rPr>
            </w:pPr>
            <w:r w:rsidRPr="00104E1A">
              <w:rPr>
                <w:rFonts w:asciiTheme="minorHAnsi" w:hAnsiTheme="minorHAnsi" w:cstheme="minorHAnsi"/>
                <w:sz w:val="20"/>
                <w:szCs w:val="21"/>
                <w:lang w:eastAsia="en-AU"/>
              </w:rPr>
              <w:t>Melbourne and Olympic Parks Trust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01"/>
        </w:trPr>
        <w:tc>
          <w:tcPr>
            <w:tcW w:w="2667" w:type="pct"/>
            <w:tcBorders>
              <w:top w:val="nil"/>
              <w:right w:val="nil"/>
            </w:tcBorders>
          </w:tcPr>
          <w:p w:rsidR="00B03921" w:rsidRPr="00104E1A" w:rsidRDefault="00B03921" w:rsidP="00016914">
            <w:pPr>
              <w:pageBreakBefore/>
              <w:spacing w:after="0"/>
              <w:ind w:left="187" w:hanging="187"/>
              <w:rPr>
                <w:rFonts w:asciiTheme="minorHAnsi" w:hAnsiTheme="minorHAnsi" w:cstheme="minorHAnsi"/>
                <w:sz w:val="20"/>
                <w:szCs w:val="21"/>
                <w:lang w:eastAsia="en-AU"/>
              </w:rPr>
            </w:pPr>
            <w:r w:rsidRPr="00104E1A">
              <w:rPr>
                <w:rFonts w:asciiTheme="minorHAnsi" w:hAnsiTheme="minorHAnsi" w:cstheme="minorHAnsi"/>
                <w:sz w:val="20"/>
                <w:szCs w:val="21"/>
                <w:lang w:eastAsia="en-AU"/>
              </w:rPr>
              <w:t>Murray Valley Wine Grape Industry Development Committee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519"/>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Northern Victorian Fresh Tomato Industry Development Committee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85"/>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Phytogene Pty Ltd</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Port of Hastings Development Authority</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Port of Melbourne Corporation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35"/>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PrimeSafe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V/Line Corporation</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1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VicForests</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23"/>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Arts Centre Trust</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Rail Track</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184"/>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Regional Channels Authority</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top w:val="nil"/>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8"/>
        </w:trPr>
        <w:tc>
          <w:tcPr>
            <w:tcW w:w="2667" w:type="pct"/>
            <w:tcBorders>
              <w:top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Victorian Strawberry Industry Development Committee</w:t>
            </w:r>
          </w:p>
        </w:tc>
        <w:tc>
          <w:tcPr>
            <w:tcW w:w="729" w:type="pct"/>
            <w:tcBorders>
              <w:top w:val="nil"/>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p>
        </w:tc>
        <w:tc>
          <w:tcPr>
            <w:tcW w:w="908" w:type="pct"/>
            <w:tcBorders>
              <w:top w:val="nil"/>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696" w:type="pct"/>
            <w:tcBorders>
              <w:lef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single" w:sz="6" w:space="0" w:color="auto"/>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b/>
                <w:bCs/>
                <w:sz w:val="20"/>
                <w:szCs w:val="21"/>
                <w:lang w:eastAsia="en-AU"/>
              </w:rPr>
              <w:t>Department of Treasury and Finance</w:t>
            </w:r>
          </w:p>
        </w:tc>
        <w:tc>
          <w:tcPr>
            <w:tcW w:w="729" w:type="pct"/>
            <w:tcBorders>
              <w:top w:val="single" w:sz="6" w:space="0" w:color="auto"/>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 </w:t>
            </w:r>
          </w:p>
        </w:tc>
        <w:tc>
          <w:tcPr>
            <w:tcW w:w="696" w:type="pct"/>
            <w:tcBorders>
              <w:top w:val="single" w:sz="6" w:space="0" w:color="auto"/>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c>
          <w:tcPr>
            <w:tcW w:w="2667" w:type="pct"/>
            <w:tcBorders>
              <w:top w:val="nil"/>
              <w:left w:val="nil"/>
              <w:bottom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sz w:val="20"/>
                <w:szCs w:val="21"/>
                <w:lang w:eastAsia="en-AU"/>
              </w:rPr>
              <w:t>CenITex</w:t>
            </w:r>
          </w:p>
        </w:tc>
        <w:tc>
          <w:tcPr>
            <w:tcW w:w="729" w:type="pct"/>
            <w:tcBorders>
              <w:top w:val="nil"/>
              <w:left w:val="nil"/>
              <w:bottom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68"/>
        </w:trPr>
        <w:tc>
          <w:tcPr>
            <w:tcW w:w="2667" w:type="pct"/>
            <w:tcBorders>
              <w:top w:val="single" w:sz="4" w:space="0" w:color="auto"/>
              <w:left w:val="nil"/>
              <w:right w:val="nil"/>
            </w:tcBorders>
          </w:tcPr>
          <w:p w:rsidR="00B03921" w:rsidRPr="00104E1A" w:rsidRDefault="00B03921" w:rsidP="00016914">
            <w:pPr>
              <w:spacing w:after="0"/>
              <w:ind w:left="180" w:hanging="180"/>
              <w:rPr>
                <w:rFonts w:asciiTheme="minorHAnsi" w:hAnsiTheme="minorHAnsi" w:cstheme="minorHAnsi"/>
                <w:sz w:val="20"/>
                <w:szCs w:val="21"/>
                <w:lang w:eastAsia="en-AU"/>
              </w:rPr>
            </w:pPr>
            <w:r w:rsidRPr="00104E1A">
              <w:rPr>
                <w:rFonts w:asciiTheme="minorHAnsi" w:hAnsiTheme="minorHAnsi" w:cstheme="minorHAnsi"/>
                <w:b/>
                <w:sz w:val="20"/>
                <w:szCs w:val="21"/>
                <w:lang w:eastAsia="en-AU"/>
              </w:rPr>
              <w:t>Courts</w:t>
            </w:r>
            <w:r>
              <w:rPr>
                <w:rFonts w:asciiTheme="minorHAnsi" w:hAnsiTheme="minorHAnsi" w:cstheme="minorHAnsi"/>
                <w:b/>
                <w:sz w:val="20"/>
                <w:szCs w:val="21"/>
                <w:vertAlign w:val="superscript"/>
                <w:lang w:eastAsia="en-AU"/>
              </w:rPr>
              <w:t>(j</w:t>
            </w:r>
            <w:r w:rsidRPr="00104E1A">
              <w:rPr>
                <w:rFonts w:asciiTheme="minorHAnsi" w:hAnsiTheme="minorHAnsi" w:cstheme="minorHAnsi"/>
                <w:b/>
                <w:sz w:val="20"/>
                <w:szCs w:val="21"/>
                <w:vertAlign w:val="superscript"/>
                <w:lang w:eastAsia="en-AU"/>
              </w:rPr>
              <w:t>)</w:t>
            </w:r>
          </w:p>
        </w:tc>
        <w:tc>
          <w:tcPr>
            <w:tcW w:w="729" w:type="pct"/>
            <w:tcBorders>
              <w:top w:val="single" w:sz="4" w:space="0" w:color="auto"/>
              <w:left w:val="nil"/>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single" w:sz="4" w:space="0" w:color="auto"/>
              <w:left w:val="nil"/>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single" w:sz="4" w:space="0" w:color="auto"/>
              <w:left w:val="nil"/>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r w:rsidR="00B03921" w:rsidRPr="00104E1A" w:rsidTr="00016914">
        <w:trPr>
          <w:trHeight w:val="251"/>
        </w:trPr>
        <w:tc>
          <w:tcPr>
            <w:tcW w:w="2667" w:type="pct"/>
            <w:tcBorders>
              <w:top w:val="nil"/>
              <w:left w:val="nil"/>
              <w:bottom w:val="single" w:sz="12" w:space="0" w:color="000000"/>
              <w:right w:val="nil"/>
            </w:tcBorders>
          </w:tcPr>
          <w:p w:rsidR="00B03921" w:rsidRPr="00104E1A" w:rsidRDefault="00B03921" w:rsidP="00016914">
            <w:pPr>
              <w:spacing w:after="0"/>
              <w:ind w:left="180" w:hanging="180"/>
              <w:rPr>
                <w:rFonts w:asciiTheme="minorHAnsi" w:hAnsiTheme="minorHAnsi" w:cstheme="minorHAnsi"/>
                <w:b/>
                <w:sz w:val="20"/>
                <w:szCs w:val="21"/>
                <w:lang w:eastAsia="en-AU"/>
              </w:rPr>
            </w:pPr>
            <w:r w:rsidRPr="00104E1A">
              <w:rPr>
                <w:rFonts w:asciiTheme="minorHAnsi" w:hAnsiTheme="minorHAnsi" w:cstheme="minorHAnsi"/>
                <w:sz w:val="20"/>
                <w:szCs w:val="21"/>
                <w:lang w:eastAsia="en-AU"/>
              </w:rPr>
              <w:t>Judicial College of Victoria</w:t>
            </w:r>
            <w:r>
              <w:rPr>
                <w:rFonts w:asciiTheme="minorHAnsi" w:hAnsiTheme="minorHAnsi" w:cstheme="minorHAnsi"/>
                <w:sz w:val="20"/>
                <w:szCs w:val="21"/>
                <w:vertAlign w:val="superscript"/>
                <w:lang w:eastAsia="en-AU"/>
              </w:rPr>
              <w:t>(j</w:t>
            </w:r>
            <w:r w:rsidRPr="00104E1A">
              <w:rPr>
                <w:rFonts w:asciiTheme="minorHAnsi" w:hAnsiTheme="minorHAnsi" w:cstheme="minorHAnsi"/>
                <w:sz w:val="20"/>
                <w:szCs w:val="21"/>
                <w:vertAlign w:val="superscript"/>
                <w:lang w:eastAsia="en-AU"/>
              </w:rPr>
              <w:t>)</w:t>
            </w:r>
          </w:p>
        </w:tc>
        <w:tc>
          <w:tcPr>
            <w:tcW w:w="729" w:type="pct"/>
            <w:tcBorders>
              <w:top w:val="nil"/>
              <w:left w:val="nil"/>
              <w:bottom w:val="single" w:sz="12" w:space="0" w:color="000000"/>
              <w:right w:val="nil"/>
            </w:tcBorders>
          </w:tcPr>
          <w:p w:rsidR="00B03921" w:rsidRPr="00104E1A" w:rsidRDefault="00B03921" w:rsidP="00016914">
            <w:pPr>
              <w:spacing w:after="0"/>
              <w:jc w:val="center"/>
              <w:rPr>
                <w:rFonts w:asciiTheme="minorHAnsi" w:hAnsiTheme="minorHAnsi" w:cstheme="minorHAnsi"/>
                <w:sz w:val="20"/>
                <w:szCs w:val="21"/>
                <w:lang w:eastAsia="en-AU"/>
              </w:rPr>
            </w:pPr>
            <w:r w:rsidRPr="00104E1A">
              <w:rPr>
                <w:rFonts w:asciiTheme="minorHAnsi" w:hAnsiTheme="minorHAnsi" w:cstheme="minorHAnsi"/>
                <w:sz w:val="20"/>
                <w:szCs w:val="21"/>
                <w:lang w:eastAsia="en-AU"/>
              </w:rPr>
              <w:t>*</w:t>
            </w:r>
          </w:p>
        </w:tc>
        <w:tc>
          <w:tcPr>
            <w:tcW w:w="908" w:type="pct"/>
            <w:tcBorders>
              <w:top w:val="nil"/>
              <w:left w:val="nil"/>
              <w:bottom w:val="single" w:sz="12" w:space="0" w:color="000000"/>
              <w:right w:val="nil"/>
            </w:tcBorders>
            <w:noWrap/>
            <w:vAlign w:val="bottom"/>
          </w:tcPr>
          <w:p w:rsidR="00B03921" w:rsidRPr="00104E1A" w:rsidRDefault="00B03921" w:rsidP="00016914">
            <w:pPr>
              <w:spacing w:after="0"/>
              <w:jc w:val="center"/>
              <w:rPr>
                <w:rFonts w:asciiTheme="minorHAnsi" w:hAnsiTheme="minorHAnsi" w:cstheme="minorHAnsi"/>
                <w:sz w:val="20"/>
                <w:szCs w:val="21"/>
                <w:lang w:eastAsia="en-AU"/>
              </w:rPr>
            </w:pPr>
          </w:p>
        </w:tc>
        <w:tc>
          <w:tcPr>
            <w:tcW w:w="696" w:type="pct"/>
            <w:tcBorders>
              <w:top w:val="nil"/>
              <w:left w:val="nil"/>
              <w:bottom w:val="single" w:sz="12" w:space="0" w:color="000000"/>
              <w:right w:val="nil"/>
            </w:tcBorders>
            <w:noWrap/>
          </w:tcPr>
          <w:p w:rsidR="00B03921" w:rsidRPr="00104E1A" w:rsidRDefault="00B03921" w:rsidP="00016914">
            <w:pPr>
              <w:spacing w:after="0"/>
              <w:jc w:val="center"/>
              <w:rPr>
                <w:rFonts w:asciiTheme="minorHAnsi" w:hAnsiTheme="minorHAnsi" w:cstheme="minorHAnsi"/>
                <w:sz w:val="20"/>
                <w:szCs w:val="21"/>
                <w:lang w:eastAsia="en-AU"/>
              </w:rPr>
            </w:pPr>
          </w:p>
        </w:tc>
      </w:tr>
    </w:tbl>
    <w:p w:rsidR="00B03921" w:rsidRPr="00424F91" w:rsidRDefault="00B03921" w:rsidP="00016914">
      <w:pPr>
        <w:pStyle w:val="Notes"/>
        <w:rPr>
          <w:lang w:eastAsia="en-AU"/>
        </w:rPr>
      </w:pPr>
      <w:r w:rsidRPr="00424F91">
        <w:t>Notes</w:t>
      </w:r>
      <w:r w:rsidRPr="00424F91">
        <w:rPr>
          <w:lang w:eastAsia="en-AU"/>
        </w:rPr>
        <w:t>:</w:t>
      </w:r>
    </w:p>
    <w:p w:rsidR="00B03921" w:rsidRPr="00424F91" w:rsidRDefault="00B03921" w:rsidP="00016914">
      <w:pPr>
        <w:pStyle w:val="Notes"/>
        <w:numPr>
          <w:ilvl w:val="0"/>
          <w:numId w:val="7"/>
        </w:numPr>
        <w:ind w:left="426" w:hanging="426"/>
        <w:rPr>
          <w:rFonts w:asciiTheme="minorHAnsi" w:hAnsiTheme="minorHAnsi" w:cstheme="minorHAnsi"/>
          <w:lang w:eastAsia="en-AU"/>
        </w:rPr>
      </w:pPr>
      <w:r>
        <w:rPr>
          <w:rFonts w:asciiTheme="minorHAnsi" w:hAnsiTheme="minorHAnsi" w:cstheme="minorHAnsi"/>
          <w:lang w:eastAsia="en-AU"/>
        </w:rPr>
        <w:t xml:space="preserve">On 4 December 2014, the Premier announced </w:t>
      </w:r>
      <w:r w:rsidRPr="00424F91">
        <w:rPr>
          <w:rFonts w:asciiTheme="minorHAnsi" w:hAnsiTheme="minorHAnsi" w:cstheme="minorHAnsi"/>
          <w:lang w:eastAsia="en-AU"/>
        </w:rPr>
        <w:t>machinery of government changes effective</w:t>
      </w:r>
      <w:r>
        <w:rPr>
          <w:rFonts w:asciiTheme="minorHAnsi" w:hAnsiTheme="minorHAnsi" w:cstheme="minorHAnsi"/>
          <w:lang w:eastAsia="en-AU"/>
        </w:rPr>
        <w:t xml:space="preserve"> from</w:t>
      </w:r>
      <w:r w:rsidRPr="00424F91">
        <w:rPr>
          <w:rFonts w:asciiTheme="minorHAnsi" w:hAnsiTheme="minorHAnsi" w:cstheme="minorHAnsi"/>
          <w:lang w:eastAsia="en-AU"/>
        </w:rPr>
        <w:t xml:space="preserve"> 1 January 201</w:t>
      </w:r>
      <w:r>
        <w:rPr>
          <w:rFonts w:asciiTheme="minorHAnsi" w:hAnsiTheme="minorHAnsi" w:cstheme="minorHAnsi"/>
          <w:lang w:eastAsia="en-AU"/>
        </w:rPr>
        <w:t>5. The following Victorian government departments were affected: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Education and Early Childhood Development was renamed the Department of Education and Training;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Environment and Primary Industries was renamed the Department of Environment, Land, Water and Planning;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Health was renamed the Department of Health and Human Services;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Justice was renamed the Department of Justice and Regulation;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State Development, Business and Innovation was renamed the Department of Economic Development, Jobs, Transport and Resources;</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Human Services </w:t>
      </w:r>
      <w:r>
        <w:rPr>
          <w:rFonts w:asciiTheme="minorHAnsi" w:hAnsiTheme="minorHAnsi" w:cstheme="minorHAnsi"/>
        </w:rPr>
        <w:t>was abolished</w:t>
      </w:r>
      <w:r w:rsidRPr="00424F91">
        <w:rPr>
          <w:rFonts w:asciiTheme="minorHAnsi" w:hAnsiTheme="minorHAnsi" w:cstheme="minorHAnsi"/>
        </w:rPr>
        <w:t>; and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Transport, Planning and Local Infrastructure </w:t>
      </w:r>
      <w:r>
        <w:rPr>
          <w:rFonts w:asciiTheme="minorHAnsi" w:hAnsiTheme="minorHAnsi" w:cstheme="minorHAnsi"/>
        </w:rPr>
        <w:t>was abolished</w:t>
      </w:r>
      <w:r w:rsidRPr="00424F91">
        <w:rPr>
          <w:rFonts w:asciiTheme="minorHAnsi" w:hAnsiTheme="minorHAnsi" w:cstheme="minorHAnsi"/>
        </w:rPr>
        <w:t>.</w:t>
      </w:r>
    </w:p>
    <w:p w:rsidR="00B03921" w:rsidRPr="00424F91" w:rsidRDefault="00B03921" w:rsidP="00016914">
      <w:pPr>
        <w:pStyle w:val="Notes"/>
        <w:ind w:left="426" w:firstLine="0"/>
        <w:rPr>
          <w:rFonts w:asciiTheme="minorHAnsi" w:hAnsiTheme="minorHAnsi" w:cstheme="minorHAnsi"/>
          <w:lang w:eastAsia="en-AU"/>
        </w:rPr>
      </w:pPr>
      <w:r w:rsidRPr="00424F91">
        <w:rPr>
          <w:rFonts w:asciiTheme="minorHAnsi" w:hAnsiTheme="minorHAnsi" w:cstheme="minorHAnsi"/>
          <w:lang w:eastAsia="en-AU"/>
        </w:rPr>
        <w:t xml:space="preserve">The two </w:t>
      </w:r>
      <w:r>
        <w:rPr>
          <w:rFonts w:asciiTheme="minorHAnsi" w:hAnsiTheme="minorHAnsi" w:cstheme="minorHAnsi"/>
          <w:lang w:eastAsia="en-AU"/>
        </w:rPr>
        <w:t xml:space="preserve">abolished </w:t>
      </w:r>
      <w:r w:rsidRPr="00424F91">
        <w:rPr>
          <w:rFonts w:asciiTheme="minorHAnsi" w:hAnsiTheme="minorHAnsi" w:cstheme="minorHAnsi"/>
          <w:lang w:eastAsia="en-AU"/>
        </w:rPr>
        <w:t xml:space="preserve">departments had their functions and operations transferred to other Victorian government departments. Functions and operations of the Department of Human Services were transferred to the Department of Health and Human Services and </w:t>
      </w:r>
      <w:r>
        <w:rPr>
          <w:rFonts w:asciiTheme="minorHAnsi" w:hAnsiTheme="minorHAnsi" w:cstheme="minorHAnsi"/>
          <w:lang w:eastAsia="en-AU"/>
        </w:rPr>
        <w:t xml:space="preserve">to </w:t>
      </w:r>
      <w:r w:rsidRPr="00424F91">
        <w:rPr>
          <w:rFonts w:asciiTheme="minorHAnsi" w:hAnsiTheme="minorHAnsi" w:cstheme="minorHAnsi"/>
          <w:lang w:eastAsia="en-AU"/>
        </w:rPr>
        <w:t xml:space="preserve">the Department of Premier and Cabinet. Functions and operations of the Department of Transport, Planning and Local Infrastructure were transferred to </w:t>
      </w:r>
      <w:r>
        <w:rPr>
          <w:rFonts w:asciiTheme="minorHAnsi" w:hAnsiTheme="minorHAnsi" w:cstheme="minorHAnsi"/>
          <w:lang w:eastAsia="en-AU"/>
        </w:rPr>
        <w:t xml:space="preserve">the </w:t>
      </w:r>
      <w:r w:rsidRPr="00424F91">
        <w:rPr>
          <w:rFonts w:asciiTheme="minorHAnsi" w:hAnsiTheme="minorHAnsi" w:cstheme="minorHAnsi"/>
          <w:lang w:eastAsia="en-AU"/>
        </w:rPr>
        <w:t xml:space="preserve">Department of Environment, Land, Water and Planning, the Department of Health and Human Services and </w:t>
      </w:r>
      <w:r>
        <w:rPr>
          <w:rFonts w:asciiTheme="minorHAnsi" w:hAnsiTheme="minorHAnsi" w:cstheme="minorHAnsi"/>
          <w:lang w:eastAsia="en-AU"/>
        </w:rPr>
        <w:t xml:space="preserve">to </w:t>
      </w:r>
      <w:r w:rsidRPr="00424F91">
        <w:rPr>
          <w:rFonts w:asciiTheme="minorHAnsi" w:hAnsiTheme="minorHAnsi" w:cstheme="minorHAnsi"/>
          <w:lang w:eastAsia="en-AU"/>
        </w:rPr>
        <w:t xml:space="preserve">the Department of Economic Development, Jobs, Transport and Resources. Certain functions and operations of </w:t>
      </w:r>
      <w:r>
        <w:rPr>
          <w:rFonts w:asciiTheme="minorHAnsi" w:hAnsiTheme="minorHAnsi" w:cstheme="minorHAnsi"/>
          <w:lang w:eastAsia="en-AU"/>
        </w:rPr>
        <w:t>continuing</w:t>
      </w:r>
      <w:r w:rsidRPr="00424F91">
        <w:rPr>
          <w:rFonts w:asciiTheme="minorHAnsi" w:hAnsiTheme="minorHAnsi" w:cstheme="minorHAnsi"/>
          <w:lang w:eastAsia="en-AU"/>
        </w:rPr>
        <w:t xml:space="preserve"> Victorian government departments were also transferred </w:t>
      </w:r>
      <w:r>
        <w:rPr>
          <w:rFonts w:asciiTheme="minorHAnsi" w:hAnsiTheme="minorHAnsi" w:cstheme="minorHAnsi"/>
          <w:lang w:eastAsia="en-AU"/>
        </w:rPr>
        <w:t xml:space="preserve">amongst departments </w:t>
      </w:r>
      <w:r w:rsidRPr="00424F91">
        <w:rPr>
          <w:rFonts w:asciiTheme="minorHAnsi" w:hAnsiTheme="minorHAnsi" w:cstheme="minorHAnsi"/>
          <w:lang w:eastAsia="en-AU"/>
        </w:rPr>
        <w:t xml:space="preserve">as part of the </w:t>
      </w:r>
      <w:r>
        <w:rPr>
          <w:rFonts w:asciiTheme="minorHAnsi" w:hAnsiTheme="minorHAnsi" w:cstheme="minorHAnsi"/>
          <w:lang w:eastAsia="en-AU"/>
        </w:rPr>
        <w:t>machinery of government changes. Controlled entities which have been transferred as part of the machinery of government changes are listed under their new portfolio departments.</w:t>
      </w:r>
    </w:p>
    <w:p w:rsidR="00B0392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The Bendigo Kangan Institute was established on 1 July 2014 as a result of a merge</w:t>
      </w:r>
      <w:r>
        <w:rPr>
          <w:rFonts w:asciiTheme="minorHAnsi" w:hAnsiTheme="minorHAnsi" w:cstheme="minorHAnsi"/>
          <w:lang w:eastAsia="en-AU"/>
        </w:rPr>
        <w:t>r</w:t>
      </w:r>
      <w:r w:rsidRPr="00424F91">
        <w:rPr>
          <w:rFonts w:asciiTheme="minorHAnsi" w:hAnsiTheme="minorHAnsi" w:cstheme="minorHAnsi"/>
          <w:lang w:eastAsia="en-AU"/>
        </w:rPr>
        <w:t xml:space="preserve"> between Bendigo Regional Institute of TAFE and Kangan Institute of TAFE. </w:t>
      </w:r>
    </w:p>
    <w:p w:rsidR="00B03921" w:rsidRPr="00191113" w:rsidRDefault="00B03921" w:rsidP="00016914">
      <w:pPr>
        <w:pStyle w:val="Notes"/>
        <w:numPr>
          <w:ilvl w:val="0"/>
          <w:numId w:val="7"/>
        </w:numPr>
        <w:ind w:left="426" w:hanging="426"/>
        <w:rPr>
          <w:rFonts w:asciiTheme="minorHAnsi" w:hAnsiTheme="minorHAnsi" w:cstheme="minorHAnsi"/>
          <w:lang w:eastAsia="en-AU"/>
        </w:rPr>
      </w:pPr>
      <w:r>
        <w:rPr>
          <w:rFonts w:asciiTheme="minorHAnsi" w:hAnsiTheme="minorHAnsi" w:cstheme="minorHAnsi"/>
          <w:lang w:eastAsia="en-AU"/>
        </w:rPr>
        <w:t>Effective from October 2014, Northern Melbourne Institute of TAFE was renamed as Melbourne Polytechnic.</w:t>
      </w:r>
    </w:p>
    <w:p w:rsidR="00B03921" w:rsidRDefault="00B03921">
      <w:pPr>
        <w:spacing w:after="0"/>
        <w:rPr>
          <w:rFonts w:asciiTheme="minorHAnsi" w:hAnsiTheme="minorHAnsi" w:cstheme="minorHAnsi"/>
          <w:i/>
          <w:sz w:val="15"/>
          <w:lang w:eastAsia="en-AU"/>
        </w:rPr>
      </w:pPr>
      <w:r>
        <w:rPr>
          <w:rFonts w:asciiTheme="minorHAnsi" w:hAnsiTheme="minorHAnsi" w:cstheme="minorHAnsi"/>
          <w:lang w:eastAsia="en-AU"/>
        </w:rPr>
        <w:br w:type="page"/>
      </w:r>
    </w:p>
    <w:p w:rsidR="00B03921" w:rsidRDefault="00B03921" w:rsidP="00016914">
      <w:pPr>
        <w:pStyle w:val="Notes"/>
        <w:ind w:left="0" w:firstLine="0"/>
        <w:rPr>
          <w:rFonts w:asciiTheme="minorHAnsi" w:hAnsiTheme="minorHAnsi" w:cstheme="minorHAnsi"/>
          <w:lang w:eastAsia="en-AU"/>
        </w:rPr>
      </w:pPr>
      <w:r>
        <w:rPr>
          <w:rFonts w:asciiTheme="minorHAnsi" w:hAnsiTheme="minorHAnsi" w:cstheme="minorHAnsi"/>
          <w:lang w:eastAsia="en-AU"/>
        </w:rPr>
        <w:t xml:space="preserve">Notes </w:t>
      </w:r>
      <w:r w:rsidRPr="00242CC8">
        <w:rPr>
          <w:rFonts w:asciiTheme="minorHAnsi" w:hAnsiTheme="minorHAnsi" w:cstheme="minorHAnsi"/>
          <w:i w:val="0"/>
          <w:lang w:eastAsia="en-AU"/>
        </w:rPr>
        <w:t>(continued)</w:t>
      </w:r>
      <w:r>
        <w:rPr>
          <w:rFonts w:asciiTheme="minorHAnsi" w:hAnsiTheme="minorHAnsi" w:cstheme="minorHAnsi"/>
          <w:lang w:eastAsia="en-AU"/>
        </w:rPr>
        <w:t>:</w:t>
      </w:r>
    </w:p>
    <w:p w:rsidR="00B03921" w:rsidRPr="00424F9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 xml:space="preserve">Under changes to the </w:t>
      </w:r>
      <w:r w:rsidRPr="00424F91">
        <w:rPr>
          <w:rFonts w:asciiTheme="minorHAnsi" w:hAnsiTheme="minorHAnsi" w:cstheme="minorHAnsi"/>
          <w:i w:val="0"/>
          <w:lang w:eastAsia="en-AU"/>
        </w:rPr>
        <w:t>Environment Protection Act 1970</w:t>
      </w:r>
      <w:r>
        <w:rPr>
          <w:rFonts w:asciiTheme="minorHAnsi" w:hAnsiTheme="minorHAnsi" w:cstheme="minorHAnsi"/>
          <w:lang w:eastAsia="en-AU"/>
        </w:rPr>
        <w:t>,</w:t>
      </w:r>
      <w:r w:rsidRPr="00424F91">
        <w:rPr>
          <w:rFonts w:asciiTheme="minorHAnsi" w:hAnsiTheme="minorHAnsi" w:cstheme="minorHAnsi"/>
          <w:lang w:eastAsia="en-AU"/>
        </w:rPr>
        <w:t xml:space="preserve"> 12 regional Waste Management Groups wound up on 31 July 2014 and six new regional Waste and Resource Recovery Groups were established, effective from 1 August 2014 as follows:</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South Western Regional Waste Management Group and Barwon Regional Waste Management Group have been transferred into the Barwon South West Waste and Resource Recovery Group;</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Gippsland Regional Waste Management Group has been transferred to the Gippsland Waste and Resource Recovery Group;</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Goulburn Valley Regional Waste Management Group has been transferred to the Goulburn Valley Waste and Resource Recovery Group;</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Desert Fringe Regional Waste Management Group, Grampians Regional Waste Management Group and Highlands Regional Waste Management Group have been transferred to the Grampians Central Waste and Resource Recovery Group;</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lang w:eastAsia="en-AU"/>
        </w:rPr>
      </w:pPr>
      <w:r w:rsidRPr="00424F91">
        <w:rPr>
          <w:rFonts w:asciiTheme="minorHAnsi" w:hAnsiTheme="minorHAnsi" w:cstheme="minorHAnsi"/>
        </w:rPr>
        <w:t>Calder Regional Waste Management Group, Central Murray Regional Waste Management Group and Mildura Regional Waste Management Group have been transferred to the Loddon Mallee Waste and Resource Recovery Group;</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North East Victorian Regional Waste Management Group has been transferred to the North East Waste and Resource Recovery Group; and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sidRPr="00424F91">
        <w:rPr>
          <w:rFonts w:asciiTheme="minorHAnsi" w:hAnsiTheme="minorHAnsi" w:cstheme="minorHAnsi"/>
        </w:rPr>
        <w:t>Mornington Peninsula Waste Management Group has been transferred into the Metropolitan Waste and Resource Recovery Group (an existing entity not abolished under the reform).</w:t>
      </w:r>
    </w:p>
    <w:p w:rsidR="00B0392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Bass Coas</w:t>
      </w:r>
      <w:r>
        <w:rPr>
          <w:rFonts w:asciiTheme="minorHAnsi" w:hAnsiTheme="minorHAnsi" w:cstheme="minorHAnsi"/>
          <w:lang w:eastAsia="en-AU"/>
        </w:rPr>
        <w:t xml:space="preserve">t Regional Health was renamed </w:t>
      </w:r>
      <w:r w:rsidRPr="00424F91">
        <w:rPr>
          <w:rFonts w:asciiTheme="minorHAnsi" w:hAnsiTheme="minorHAnsi" w:cstheme="minorHAnsi"/>
          <w:lang w:eastAsia="en-AU"/>
        </w:rPr>
        <w:t>Bass Coast Health from 4 September 2014.</w:t>
      </w:r>
    </w:p>
    <w:p w:rsidR="00B03921" w:rsidRPr="00034B12" w:rsidRDefault="00B03921" w:rsidP="00016914">
      <w:pPr>
        <w:pStyle w:val="NotesDash"/>
        <w:numPr>
          <w:ilvl w:val="0"/>
          <w:numId w:val="7"/>
        </w:numPr>
        <w:tabs>
          <w:tab w:val="num" w:pos="922"/>
        </w:tabs>
        <w:ind w:left="426" w:hanging="426"/>
        <w:rPr>
          <w:rFonts w:asciiTheme="minorHAnsi" w:hAnsiTheme="minorHAnsi" w:cstheme="minorHAnsi"/>
        </w:rPr>
      </w:pPr>
      <w:r>
        <w:rPr>
          <w:rFonts w:asciiTheme="minorHAnsi" w:hAnsiTheme="minorHAnsi" w:cstheme="minorHAnsi"/>
          <w:lang w:eastAsia="en-AU"/>
        </w:rPr>
        <w:t xml:space="preserve">Effective from 31 December 2014, the </w:t>
      </w:r>
      <w:r>
        <w:rPr>
          <w:rFonts w:asciiTheme="minorHAnsi" w:hAnsiTheme="minorHAnsi" w:cstheme="minorHAnsi"/>
        </w:rPr>
        <w:t>Fire Services Levy Monitor ceased to exist.</w:t>
      </w:r>
    </w:p>
    <w:p w:rsidR="00B0392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 xml:space="preserve">Effective </w:t>
      </w:r>
      <w:r>
        <w:rPr>
          <w:rFonts w:asciiTheme="minorHAnsi" w:hAnsiTheme="minorHAnsi" w:cstheme="minorHAnsi"/>
          <w:lang w:eastAsia="en-AU"/>
        </w:rPr>
        <w:t xml:space="preserve">from </w:t>
      </w:r>
      <w:r w:rsidRPr="00424F91">
        <w:rPr>
          <w:rFonts w:asciiTheme="minorHAnsi" w:hAnsiTheme="minorHAnsi" w:cstheme="minorHAnsi"/>
          <w:lang w:eastAsia="en-AU"/>
        </w:rPr>
        <w:t>17 September 2014, the Office of the Commissioner for Privacy and Data Protection commenced operations replacing the Office of the Victorian Privacy Commissioner, which ceased o</w:t>
      </w:r>
      <w:r>
        <w:rPr>
          <w:rFonts w:asciiTheme="minorHAnsi" w:hAnsiTheme="minorHAnsi" w:cstheme="minorHAnsi"/>
          <w:lang w:eastAsia="en-AU"/>
        </w:rPr>
        <w:t>perations on 16 September 2014.</w:t>
      </w:r>
    </w:p>
    <w:p w:rsidR="00B03921" w:rsidRPr="00424F9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 xml:space="preserve">The </w:t>
      </w:r>
      <w:r w:rsidRPr="00424F91">
        <w:rPr>
          <w:rFonts w:asciiTheme="minorHAnsi" w:hAnsiTheme="minorHAnsi" w:cstheme="minorHAnsi"/>
          <w:i w:val="0"/>
          <w:lang w:eastAsia="en-AU"/>
        </w:rPr>
        <w:t>Game Management Authority Act 2014</w:t>
      </w:r>
      <w:r w:rsidRPr="00424F91">
        <w:rPr>
          <w:rFonts w:asciiTheme="minorHAnsi" w:hAnsiTheme="minorHAnsi" w:cstheme="minorHAnsi"/>
          <w:lang w:eastAsia="en-AU"/>
        </w:rPr>
        <w:t xml:space="preserve"> established the Game Management Authority as a statutory authority to improve the effectiveness of game management and promote responsibility in game</w:t>
      </w:r>
      <w:r>
        <w:rPr>
          <w:rFonts w:asciiTheme="minorHAnsi" w:hAnsiTheme="minorHAnsi" w:cstheme="minorHAnsi"/>
          <w:lang w:eastAsia="en-AU"/>
        </w:rPr>
        <w:t xml:space="preserve"> hunting, effective from 1 July </w:t>
      </w:r>
      <w:r w:rsidRPr="00424F91">
        <w:rPr>
          <w:rFonts w:asciiTheme="minorHAnsi" w:hAnsiTheme="minorHAnsi" w:cstheme="minorHAnsi"/>
          <w:lang w:eastAsia="en-AU"/>
        </w:rPr>
        <w:t>2014.</w:t>
      </w:r>
    </w:p>
    <w:p w:rsidR="00B03921" w:rsidRPr="00424F91" w:rsidRDefault="00B03921" w:rsidP="00016914">
      <w:pPr>
        <w:pStyle w:val="Notes"/>
        <w:numPr>
          <w:ilvl w:val="0"/>
          <w:numId w:val="7"/>
        </w:numPr>
        <w:ind w:left="426" w:hanging="426"/>
        <w:rPr>
          <w:rFonts w:asciiTheme="minorHAnsi" w:hAnsiTheme="minorHAnsi" w:cstheme="minorHAnsi"/>
          <w:lang w:eastAsia="en-AU"/>
        </w:rPr>
      </w:pPr>
      <w:r>
        <w:rPr>
          <w:rFonts w:asciiTheme="minorHAnsi" w:hAnsiTheme="minorHAnsi" w:cstheme="minorHAnsi"/>
          <w:lang w:eastAsia="en-AU"/>
        </w:rPr>
        <w:t xml:space="preserve">The </w:t>
      </w:r>
      <w:r w:rsidRPr="00424F91">
        <w:rPr>
          <w:rFonts w:asciiTheme="minorHAnsi" w:hAnsiTheme="minorHAnsi" w:cstheme="minorHAnsi"/>
          <w:lang w:eastAsia="en-AU"/>
        </w:rPr>
        <w:t>Linking Melbourn</w:t>
      </w:r>
      <w:r>
        <w:rPr>
          <w:rFonts w:asciiTheme="minorHAnsi" w:hAnsiTheme="minorHAnsi" w:cstheme="minorHAnsi"/>
          <w:lang w:eastAsia="en-AU"/>
        </w:rPr>
        <w:t>e Authority will cease to exist in the 2015</w:t>
      </w:r>
      <w:r>
        <w:rPr>
          <w:rFonts w:asciiTheme="minorHAnsi" w:hAnsiTheme="minorHAnsi" w:cstheme="minorHAnsi"/>
          <w:lang w:eastAsia="en-AU"/>
        </w:rPr>
        <w:noBreakHyphen/>
        <w:t>16 financial year.</w:t>
      </w:r>
    </w:p>
    <w:p w:rsidR="00B03921" w:rsidRDefault="00B03921" w:rsidP="00016914">
      <w:pPr>
        <w:pStyle w:val="Notes"/>
        <w:numPr>
          <w:ilvl w:val="0"/>
          <w:numId w:val="7"/>
        </w:numPr>
        <w:ind w:left="426" w:hanging="426"/>
        <w:rPr>
          <w:rFonts w:asciiTheme="minorHAnsi" w:hAnsiTheme="minorHAnsi" w:cstheme="minorHAnsi"/>
          <w:lang w:eastAsia="en-AU"/>
        </w:rPr>
      </w:pPr>
      <w:r w:rsidRPr="00424F91">
        <w:rPr>
          <w:rFonts w:asciiTheme="minorHAnsi" w:hAnsiTheme="minorHAnsi" w:cstheme="minorHAnsi"/>
          <w:lang w:eastAsia="en-AU"/>
        </w:rPr>
        <w:t xml:space="preserve">The </w:t>
      </w:r>
      <w:r w:rsidRPr="00424F91">
        <w:rPr>
          <w:rFonts w:asciiTheme="minorHAnsi" w:hAnsiTheme="minorHAnsi" w:cstheme="minorHAnsi"/>
          <w:i w:val="0"/>
          <w:lang w:eastAsia="en-AU"/>
        </w:rPr>
        <w:t>Court Services Victoria Act 2014</w:t>
      </w:r>
      <w:r w:rsidRPr="00424F91">
        <w:rPr>
          <w:rFonts w:asciiTheme="minorHAnsi" w:hAnsiTheme="minorHAnsi" w:cstheme="minorHAnsi"/>
          <w:lang w:eastAsia="en-AU"/>
        </w:rPr>
        <w:t xml:space="preserve"> established Court Services Victoria as a statutory public sector body to provide the administrative services and facilities for Victoria</w:t>
      </w:r>
      <w:r w:rsidR="00BA5A16">
        <w:rPr>
          <w:rFonts w:asciiTheme="minorHAnsi" w:hAnsiTheme="minorHAnsi" w:cstheme="minorHAnsi"/>
          <w:lang w:eastAsia="en-AU"/>
        </w:rPr>
        <w:t>’</w:t>
      </w:r>
      <w:r w:rsidRPr="00424F91">
        <w:rPr>
          <w:rFonts w:asciiTheme="minorHAnsi" w:hAnsiTheme="minorHAnsi" w:cstheme="minorHAnsi"/>
          <w:lang w:eastAsia="en-AU"/>
        </w:rPr>
        <w:t xml:space="preserve">s courts, the Victorian Civil Administrative Tribunal and the Judicial College of Victoria </w:t>
      </w:r>
      <w:r>
        <w:rPr>
          <w:rFonts w:asciiTheme="minorHAnsi" w:hAnsiTheme="minorHAnsi" w:cstheme="minorHAnsi"/>
          <w:lang w:eastAsia="en-AU"/>
        </w:rPr>
        <w:t>effective</w:t>
      </w:r>
      <w:r w:rsidRPr="00424F91">
        <w:rPr>
          <w:rFonts w:asciiTheme="minorHAnsi" w:hAnsiTheme="minorHAnsi" w:cstheme="minorHAnsi"/>
          <w:lang w:eastAsia="en-AU"/>
        </w:rPr>
        <w:t xml:space="preserve"> from 1 July 2014. </w:t>
      </w:r>
    </w:p>
    <w:p w:rsidR="00B03921" w:rsidRDefault="00B03921">
      <w:pPr>
        <w:spacing w:after="0"/>
        <w:rPr>
          <w:lang w:eastAsia="en-AU"/>
        </w:rPr>
      </w:pPr>
      <w:r>
        <w:rPr>
          <w:lang w:eastAsia="en-AU"/>
        </w:rPr>
        <w:br w:type="page"/>
      </w:r>
    </w:p>
    <w:p w:rsidR="00B03921" w:rsidRPr="00CC60F9" w:rsidRDefault="00B03921" w:rsidP="00016914">
      <w:pPr>
        <w:pStyle w:val="BodyText"/>
        <w:rPr>
          <w:lang w:eastAsia="en-AU"/>
        </w:rPr>
      </w:pPr>
    </w:p>
    <w:p w:rsidR="00B03921" w:rsidRDefault="00B03921" w:rsidP="00D22EC9">
      <w:pPr>
        <w:sectPr w:rsidR="00B03921" w:rsidSect="004D1FCB">
          <w:footerReference w:type="even" r:id="rId23"/>
          <w:footerReference w:type="default" r:id="rId24"/>
          <w:pgSz w:w="9979" w:h="14181" w:code="138"/>
          <w:pgMar w:top="1140" w:right="1140" w:bottom="1140" w:left="1140" w:header="720" w:footer="431" w:gutter="0"/>
          <w:cols w:space="708"/>
          <w:docGrid w:linePitch="360"/>
        </w:sectPr>
      </w:pPr>
    </w:p>
    <w:p w:rsidR="00B03921" w:rsidRPr="00326F22" w:rsidRDefault="00B03921" w:rsidP="00016914">
      <w:pPr>
        <w:pStyle w:val="ChapterHeading"/>
      </w:pPr>
      <w:bookmarkStart w:id="114" w:name="_Toc418274754"/>
      <w:r w:rsidRPr="00326F22">
        <w:t>Chapter 2 – Supplementary uniform presentation framework tables</w:t>
      </w:r>
      <w:bookmarkEnd w:id="114"/>
    </w:p>
    <w:p w:rsidR="00B03921" w:rsidRDefault="00B03921" w:rsidP="00016914">
      <w:pPr>
        <w:pStyle w:val="Tableheading"/>
      </w:pPr>
      <w:r>
        <w:t>Table 2.1:</w:t>
      </w:r>
      <w:r>
        <w:tab/>
        <w:t>Public non</w:t>
      </w:r>
      <w:r>
        <w:noBreakHyphen/>
        <w:t>financial corporations sector comprehensive operating statement for the financial year ending 30 June</w:t>
      </w:r>
      <w:r w:rsidRPr="00EF2A62">
        <w:rPr>
          <w:vertAlign w:val="superscript"/>
        </w:rPr>
        <w:t>(a)</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D928AE" w:rsidTr="001E6158">
        <w:trPr>
          <w:cantSplit/>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D928AE" w:rsidRDefault="00B03921" w:rsidP="00016914">
            <w:pPr>
              <w:pStyle w:val="Tabletextheading"/>
              <w:rPr>
                <w:rFonts w:eastAsiaTheme="minorEastAsia"/>
                <w:color w:val="FFFFFF"/>
                <w:lang w:eastAsia="en-AU"/>
              </w:rPr>
            </w:pPr>
            <w:r w:rsidRPr="00D928AE">
              <w:rPr>
                <w:rFonts w:eastAsiaTheme="minorEastAsia"/>
                <w:color w:val="FFFFFF"/>
                <w:lang w:eastAsia="en-AU"/>
              </w:rPr>
              <w:t>2018-19 estimate</w:t>
            </w:r>
          </w:p>
        </w:tc>
      </w:tr>
      <w:tr w:rsidR="001E6158" w:rsidRPr="00D928AE" w:rsidTr="001E6158">
        <w:trPr>
          <w:cantSplit/>
        </w:trPr>
        <w:tc>
          <w:tcPr>
            <w:tcW w:w="7760" w:type="dxa"/>
            <w:gridSpan w:val="6"/>
            <w:tcBorders>
              <w:top w:val="single" w:sz="6" w:space="0" w:color="auto"/>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Revenue from transactions</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Interest revenue</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36.6</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30.7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20.4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17.7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19.7</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Dividends and income tax equivalent and rate revenue</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60.9</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73.0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82.3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88.8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98.1</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Sales of goods and services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6 002.0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6 106.8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6 016.3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6 173.7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6 462.1</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Grants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2 732.1</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2 950.0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3 047.4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3 112.1</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3 116.1</w:t>
            </w:r>
          </w:p>
        </w:tc>
      </w:tr>
      <w:tr w:rsidR="00B03921" w:rsidRPr="00D928AE" w:rsidTr="001E6158">
        <w:trPr>
          <w:cantSplit/>
        </w:trPr>
        <w:tc>
          <w:tcPr>
            <w:tcW w:w="2790"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Other revenue</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477.4</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421.0</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436.8</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450.6</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469.2</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Total revenue from transactions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9 309.0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9 581.5</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9 603.1</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9 842.9</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10 165.0</w:t>
            </w:r>
          </w:p>
        </w:tc>
      </w:tr>
      <w:tr w:rsidR="001E6158" w:rsidRPr="00D928AE" w:rsidTr="001E6158">
        <w:trPr>
          <w:cantSplit/>
        </w:trPr>
        <w:tc>
          <w:tcPr>
            <w:tcW w:w="7760" w:type="dxa"/>
            <w:gridSpan w:val="6"/>
            <w:tcBorders>
              <w:top w:val="nil"/>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Expenses from transactions</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Employee expenses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1 073.7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1 084.2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1 093.0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1 118.2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1 136.5</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Other superannuation</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87.8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90.2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91.6</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94.8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96.0</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Depreciation</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1 977.5</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2 129.7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2 234.3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2 257.7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2 364.8</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Interest expense</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1 151.8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1 148.5</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1 132.0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1 110.9</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1 130.2</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Grants and other transfers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273.5</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232.4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184.1</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184.6</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206.0</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Other operating expenses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5 005.8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5 269.3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5 221.7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5 295.3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5 415.9</w:t>
            </w:r>
          </w:p>
        </w:tc>
      </w:tr>
      <w:tr w:rsidR="00B03921" w:rsidRPr="00D928AE" w:rsidTr="001E6158">
        <w:trPr>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Other property expenses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121.6</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150.7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126.0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162.2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186.5</w:t>
            </w:r>
          </w:p>
        </w:tc>
      </w:tr>
      <w:tr w:rsidR="00B03921" w:rsidRPr="00D928AE" w:rsidTr="001E6158">
        <w:trPr>
          <w:cantSplit/>
        </w:trPr>
        <w:tc>
          <w:tcPr>
            <w:tcW w:w="2790"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Total expenses from transactions</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9 691.7</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10 104.9</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10 082.7</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10 223.7</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10 535.7</w:t>
            </w:r>
          </w:p>
        </w:tc>
      </w:tr>
      <w:tr w:rsidR="00B03921" w:rsidRPr="00D928AE" w:rsidTr="001E6158">
        <w:trPr>
          <w:cantSplit/>
        </w:trPr>
        <w:tc>
          <w:tcPr>
            <w:tcW w:w="2790"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Net result from transactions – net operating balance</w:t>
            </w:r>
          </w:p>
        </w:tc>
        <w:tc>
          <w:tcPr>
            <w:tcW w:w="994"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(382.7)</w:t>
            </w:r>
          </w:p>
        </w:tc>
        <w:tc>
          <w:tcPr>
            <w:tcW w:w="994"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(523.4)</w:t>
            </w:r>
          </w:p>
        </w:tc>
        <w:tc>
          <w:tcPr>
            <w:tcW w:w="994"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(479.5)</w:t>
            </w:r>
          </w:p>
        </w:tc>
        <w:tc>
          <w:tcPr>
            <w:tcW w:w="994"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(380.8)</w:t>
            </w:r>
          </w:p>
        </w:tc>
        <w:tc>
          <w:tcPr>
            <w:tcW w:w="994" w:type="dxa"/>
            <w:tcBorders>
              <w:top w:val="single" w:sz="12" w:space="0" w:color="000000"/>
              <w:left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(370.7)</w:t>
            </w:r>
          </w:p>
        </w:tc>
      </w:tr>
      <w:tr w:rsidR="00B03921" w:rsidRPr="00D928AE" w:rsidTr="001E6158">
        <w:trPr>
          <w:cantSplit/>
        </w:trPr>
        <w:tc>
          <w:tcPr>
            <w:tcW w:w="2790"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Total other economic flows included in net result</w:t>
            </w:r>
          </w:p>
        </w:tc>
        <w:tc>
          <w:tcPr>
            <w:tcW w:w="994"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172.6</w:t>
            </w:r>
          </w:p>
        </w:tc>
        <w:tc>
          <w:tcPr>
            <w:tcW w:w="994"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4 616.0</w:t>
            </w:r>
          </w:p>
        </w:tc>
        <w:tc>
          <w:tcPr>
            <w:tcW w:w="994"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221.5</w:t>
            </w:r>
          </w:p>
        </w:tc>
        <w:tc>
          <w:tcPr>
            <w:tcW w:w="994"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244.8</w:t>
            </w:r>
          </w:p>
        </w:tc>
        <w:tc>
          <w:tcPr>
            <w:tcW w:w="994" w:type="dxa"/>
            <w:tcBorders>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218.3</w:t>
            </w:r>
          </w:p>
        </w:tc>
      </w:tr>
      <w:tr w:rsidR="00B03921" w:rsidRPr="00D928AE" w:rsidTr="001E6158">
        <w:trPr>
          <w:cantSplit/>
        </w:trPr>
        <w:tc>
          <w:tcPr>
            <w:tcW w:w="2790"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Net result</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(210.1)</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4 092.6</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(258.0)</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(136.0)</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(152.4)</w:t>
            </w:r>
          </w:p>
        </w:tc>
      </w:tr>
    </w:tbl>
    <w:p w:rsidR="001E6158" w:rsidRDefault="001E6158" w:rsidP="001E6158">
      <w:pPr>
        <w:pStyle w:val="Tableheadingcontinued"/>
      </w:pPr>
    </w:p>
    <w:p w:rsidR="001E6158" w:rsidRDefault="001E6158">
      <w:pPr>
        <w:spacing w:after="0"/>
        <w:rPr>
          <w:rFonts w:ascii="Calibri" w:hAnsi="Calibri"/>
          <w:b/>
        </w:rPr>
      </w:pPr>
      <w:r>
        <w:br w:type="page"/>
      </w:r>
    </w:p>
    <w:p w:rsidR="001E6158" w:rsidRDefault="001E6158" w:rsidP="001E6158">
      <w:pPr>
        <w:pStyle w:val="Tableheadingcontinued"/>
      </w:pPr>
      <w:r>
        <w:t>Table 2.1:</w:t>
      </w:r>
      <w:r>
        <w:tab/>
        <w:t>Public non</w:t>
      </w:r>
      <w:r>
        <w:noBreakHyphen/>
        <w:t>financial corporations sector comprehensive operating statement for the financial year ending 30 June</w:t>
      </w:r>
      <w:r w:rsidRPr="001E6158">
        <w:rPr>
          <w:vertAlign w:val="superscript"/>
        </w:rPr>
        <w:t>(a)</w:t>
      </w:r>
      <w:r>
        <w:t xml:space="preserve"> </w:t>
      </w:r>
      <w:r w:rsidRPr="001E6158">
        <w:rPr>
          <w:i/>
        </w:rPr>
        <w:t>(continued)</w:t>
      </w:r>
    </w:p>
    <w:p w:rsidR="001E6158" w:rsidRDefault="001E6158" w:rsidP="001E6158">
      <w:pPr>
        <w:pStyle w:val="million"/>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gridCol w:w="46"/>
      </w:tblGrid>
      <w:tr w:rsidR="001E6158" w:rsidRPr="00D928AE" w:rsidTr="008079E9">
        <w:trPr>
          <w:gridAfter w:val="1"/>
          <w:wAfter w:w="46" w:type="dxa"/>
          <w:cantSplit/>
          <w:tblHeader/>
        </w:trPr>
        <w:tc>
          <w:tcPr>
            <w:tcW w:w="2790" w:type="dxa"/>
            <w:tcBorders>
              <w:top w:val="single" w:sz="6" w:space="0" w:color="auto"/>
              <w:left w:val="single" w:sz="6" w:space="0" w:color="auto"/>
              <w:bottom w:val="single" w:sz="6" w:space="0" w:color="auto"/>
              <w:right w:val="nil"/>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2015-16 budget</w:t>
            </w:r>
          </w:p>
        </w:tc>
        <w:tc>
          <w:tcPr>
            <w:tcW w:w="994" w:type="dxa"/>
            <w:tcBorders>
              <w:top w:val="single" w:sz="6" w:space="0" w:color="auto"/>
              <w:left w:val="nil"/>
              <w:bottom w:val="single" w:sz="6" w:space="0" w:color="auto"/>
              <w:right w:val="nil"/>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1E6158" w:rsidRPr="00D928AE" w:rsidRDefault="001E6158" w:rsidP="008079E9">
            <w:pPr>
              <w:pStyle w:val="Tabletextheading"/>
              <w:rPr>
                <w:rFonts w:eastAsiaTheme="minorEastAsia"/>
                <w:color w:val="FFFFFF"/>
                <w:lang w:eastAsia="en-AU"/>
              </w:rPr>
            </w:pPr>
            <w:r w:rsidRPr="00D928AE">
              <w:rPr>
                <w:rFonts w:eastAsiaTheme="minorEastAsia"/>
                <w:color w:val="FFFFFF"/>
                <w:lang w:eastAsia="en-AU"/>
              </w:rPr>
              <w:t>2018-19 estimate</w:t>
            </w:r>
          </w:p>
        </w:tc>
      </w:tr>
      <w:tr w:rsidR="001E6158" w:rsidRPr="00D928AE" w:rsidTr="008079E9">
        <w:trPr>
          <w:cantSplit/>
        </w:trPr>
        <w:tc>
          <w:tcPr>
            <w:tcW w:w="7806" w:type="dxa"/>
            <w:gridSpan w:val="7"/>
            <w:tcBorders>
              <w:top w:val="nil"/>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Other economic flows – other comprehensive income</w:t>
            </w:r>
          </w:p>
        </w:tc>
      </w:tr>
      <w:tr w:rsidR="001E6158" w:rsidRPr="00D928AE" w:rsidTr="008079E9">
        <w:trPr>
          <w:cantSplit/>
        </w:trPr>
        <w:tc>
          <w:tcPr>
            <w:tcW w:w="7806" w:type="dxa"/>
            <w:gridSpan w:val="7"/>
            <w:tcBorders>
              <w:top w:val="nil"/>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Items that will not be reclassified to net result</w:t>
            </w:r>
          </w:p>
        </w:tc>
      </w:tr>
      <w:tr w:rsidR="00B03921" w:rsidRPr="00D928AE" w:rsidTr="00016914">
        <w:trPr>
          <w:gridAfter w:val="1"/>
          <w:wAfter w:w="46" w:type="dxa"/>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Changes in non-financial assets revaluation surplus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2 743.3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830.3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(8.0)</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(7.7)</w:t>
            </w:r>
          </w:p>
        </w:tc>
      </w:tr>
      <w:tr w:rsidR="00B03921" w:rsidRPr="00D928AE" w:rsidTr="00016914">
        <w:trPr>
          <w:gridAfter w:val="1"/>
          <w:wAfter w:w="46" w:type="dxa"/>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Remeasurement of superannuation defined benefit plans</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r>
      <w:tr w:rsidR="00B03921" w:rsidRPr="00D928AE" w:rsidTr="00016914">
        <w:trPr>
          <w:gridAfter w:val="1"/>
          <w:wAfter w:w="46" w:type="dxa"/>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Other movements in equity</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59.2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583.6</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(53.4)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(3.7)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(7.8)</w:t>
            </w:r>
          </w:p>
        </w:tc>
      </w:tr>
      <w:tr w:rsidR="001E6158" w:rsidRPr="00D928AE" w:rsidTr="008079E9">
        <w:trPr>
          <w:cantSplit/>
        </w:trPr>
        <w:tc>
          <w:tcPr>
            <w:tcW w:w="7806" w:type="dxa"/>
            <w:gridSpan w:val="7"/>
            <w:tcBorders>
              <w:top w:val="nil"/>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Items that may be reclassified subsequently to net result</w:t>
            </w:r>
          </w:p>
        </w:tc>
      </w:tr>
      <w:tr w:rsidR="00B03921" w:rsidRPr="00D928AE" w:rsidTr="00016914">
        <w:trPr>
          <w:gridAfter w:val="1"/>
          <w:wAfter w:w="46" w:type="dxa"/>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Net gain/(loss) on financial assets at fair value</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(4.3)</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27.2</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2.4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1.1</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(0.9)</w:t>
            </w:r>
          </w:p>
        </w:tc>
      </w:tr>
      <w:tr w:rsidR="00B03921" w:rsidRPr="00D928AE" w:rsidTr="00016914">
        <w:trPr>
          <w:gridAfter w:val="1"/>
          <w:wAfter w:w="46" w:type="dxa"/>
          <w:cantSplit/>
        </w:trPr>
        <w:tc>
          <w:tcPr>
            <w:tcW w:w="2790"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Total other economic flows – other comprehensive income</w:t>
            </w:r>
          </w:p>
        </w:tc>
        <w:tc>
          <w:tcPr>
            <w:tcW w:w="994"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2 793.9</w:t>
            </w:r>
          </w:p>
        </w:tc>
        <w:tc>
          <w:tcPr>
            <w:tcW w:w="994"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1 436.9</w:t>
            </w:r>
          </w:p>
        </w:tc>
        <w:tc>
          <w:tcPr>
            <w:tcW w:w="994"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(59.6)</w:t>
            </w:r>
          </w:p>
        </w:tc>
        <w:tc>
          <w:tcPr>
            <w:tcW w:w="994"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(14.8)</w:t>
            </w:r>
          </w:p>
        </w:tc>
        <w:tc>
          <w:tcPr>
            <w:tcW w:w="994" w:type="dxa"/>
            <w:tcBorders>
              <w:top w:val="single" w:sz="6" w:space="0" w:color="000000"/>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(20.6)</w:t>
            </w:r>
          </w:p>
        </w:tc>
      </w:tr>
      <w:tr w:rsidR="00B03921" w:rsidRPr="00D928AE" w:rsidTr="00016914">
        <w:trPr>
          <w:gridAfter w:val="1"/>
          <w:wAfter w:w="46" w:type="dxa"/>
          <w:cantSplit/>
        </w:trPr>
        <w:tc>
          <w:tcPr>
            <w:tcW w:w="2790"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Comprehensive result – total change in net worth</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2 583.8</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5 529.5</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(317.6)</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(150.8)</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(173.1)</w:t>
            </w:r>
          </w:p>
        </w:tc>
      </w:tr>
      <w:tr w:rsidR="001E6158" w:rsidRPr="00D928AE" w:rsidTr="008079E9">
        <w:trPr>
          <w:gridAfter w:val="1"/>
          <w:wAfter w:w="46" w:type="dxa"/>
          <w:cantSplit/>
        </w:trPr>
        <w:tc>
          <w:tcPr>
            <w:tcW w:w="7760" w:type="dxa"/>
            <w:gridSpan w:val="6"/>
            <w:tcBorders>
              <w:top w:val="single" w:sz="12" w:space="0" w:color="000000"/>
              <w:left w:val="nil"/>
              <w:bottom w:val="nil"/>
              <w:right w:val="nil"/>
            </w:tcBorders>
            <w:shd w:val="solid" w:color="FFFFFF" w:fill="auto"/>
          </w:tcPr>
          <w:p w:rsidR="001E6158" w:rsidRPr="00D928AE" w:rsidRDefault="001E6158" w:rsidP="001E6158">
            <w:pPr>
              <w:autoSpaceDE w:val="0"/>
              <w:autoSpaceDN w:val="0"/>
              <w:adjustRightInd w:val="0"/>
              <w:spacing w:after="0"/>
              <w:rPr>
                <w:rFonts w:ascii="Calibri" w:eastAsiaTheme="minorEastAsia" w:hAnsi="Calibri" w:cs="Calibri"/>
                <w:b/>
                <w:sz w:val="20"/>
                <w:lang w:eastAsia="en-AU"/>
              </w:rPr>
            </w:pPr>
            <w:r w:rsidRPr="00D928AE">
              <w:rPr>
                <w:rFonts w:ascii="Calibri" w:eastAsiaTheme="minorEastAsia" w:hAnsi="Calibri" w:cs="Calibri"/>
                <w:b/>
                <w:bCs/>
                <w:sz w:val="20"/>
                <w:lang w:eastAsia="en-AU"/>
              </w:rPr>
              <w:t>KEY FISCAL AGGREGATES</w:t>
            </w:r>
          </w:p>
        </w:tc>
      </w:tr>
      <w:tr w:rsidR="00B03921" w:rsidRPr="00D928AE" w:rsidTr="00016914">
        <w:trPr>
          <w:gridAfter w:val="1"/>
          <w:wAfter w:w="46" w:type="dxa"/>
          <w:cantSplit/>
        </w:trPr>
        <w:tc>
          <w:tcPr>
            <w:tcW w:w="2790"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Net operating balance</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(382.7)</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(523.4)</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(479.5)</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(380.8)</w:t>
            </w:r>
          </w:p>
        </w:tc>
        <w:tc>
          <w:tcPr>
            <w:tcW w:w="994" w:type="dxa"/>
            <w:tcBorders>
              <w:top w:val="nil"/>
              <w:left w:val="nil"/>
              <w:bottom w:val="nil"/>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(370.7)</w:t>
            </w:r>
          </w:p>
        </w:tc>
      </w:tr>
      <w:tr w:rsidR="00B03921" w:rsidRPr="00D928AE" w:rsidTr="00016914">
        <w:trPr>
          <w:gridAfter w:val="1"/>
          <w:wAfter w:w="46" w:type="dxa"/>
          <w:cantSplit/>
        </w:trPr>
        <w:tc>
          <w:tcPr>
            <w:tcW w:w="2790"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sz w:val="20"/>
                <w:lang w:eastAsia="en-AU"/>
              </w:rPr>
            </w:pPr>
            <w:r w:rsidRPr="00D928AE">
              <w:rPr>
                <w:rFonts w:ascii="Calibri" w:eastAsiaTheme="minorEastAsia" w:hAnsi="Calibri" w:cs="Calibri"/>
                <w:sz w:val="20"/>
                <w:lang w:eastAsia="en-AU"/>
              </w:rPr>
              <w:t>Less: Net acquisition of non-financial assets from transactions</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1 954.8</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 xml:space="preserve"> (5 095.6)</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1 572.9</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1 474.8</w:t>
            </w:r>
          </w:p>
        </w:tc>
        <w:tc>
          <w:tcPr>
            <w:tcW w:w="994" w:type="dxa"/>
            <w:tcBorders>
              <w:top w:val="nil"/>
              <w:left w:val="nil"/>
              <w:bottom w:val="single" w:sz="6"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sz w:val="20"/>
                <w:lang w:eastAsia="en-AU"/>
              </w:rPr>
            </w:pPr>
            <w:r w:rsidRPr="00D928AE">
              <w:rPr>
                <w:rFonts w:ascii="Calibri" w:eastAsiaTheme="minorEastAsia" w:hAnsi="Calibri" w:cs="Calibri"/>
                <w:sz w:val="20"/>
                <w:lang w:eastAsia="en-AU"/>
              </w:rPr>
              <w:t>1 762.0</w:t>
            </w:r>
          </w:p>
        </w:tc>
      </w:tr>
      <w:tr w:rsidR="00B03921" w:rsidRPr="00D928AE" w:rsidTr="00016914">
        <w:trPr>
          <w:gridAfter w:val="1"/>
          <w:wAfter w:w="46" w:type="dxa"/>
          <w:cantSplit/>
        </w:trPr>
        <w:tc>
          <w:tcPr>
            <w:tcW w:w="2790"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rPr>
                <w:rFonts w:ascii="Calibri" w:eastAsiaTheme="minorEastAsia" w:hAnsi="Calibri" w:cs="Calibri"/>
                <w:b/>
                <w:bCs/>
                <w:sz w:val="20"/>
                <w:lang w:eastAsia="en-AU"/>
              </w:rPr>
            </w:pPr>
            <w:r w:rsidRPr="00D928AE">
              <w:rPr>
                <w:rFonts w:ascii="Calibri" w:eastAsiaTheme="minorEastAsia" w:hAnsi="Calibri" w:cs="Calibri"/>
                <w:b/>
                <w:bCs/>
                <w:sz w:val="20"/>
                <w:lang w:eastAsia="en-AU"/>
              </w:rPr>
              <w:t>Net lending/(borrowing)</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(2 337.5)</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4 572.2</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(2 052.4)</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(1 855.6)</w:t>
            </w:r>
          </w:p>
        </w:tc>
        <w:tc>
          <w:tcPr>
            <w:tcW w:w="994" w:type="dxa"/>
            <w:tcBorders>
              <w:top w:val="single" w:sz="6" w:space="0" w:color="000000"/>
              <w:left w:val="nil"/>
              <w:bottom w:val="single" w:sz="12" w:space="0" w:color="000000"/>
              <w:right w:val="nil"/>
            </w:tcBorders>
            <w:shd w:val="solid" w:color="FFFFFF" w:fill="auto"/>
          </w:tcPr>
          <w:p w:rsidR="00B03921" w:rsidRPr="00D928AE" w:rsidRDefault="00B03921" w:rsidP="00016914">
            <w:pPr>
              <w:autoSpaceDE w:val="0"/>
              <w:autoSpaceDN w:val="0"/>
              <w:adjustRightInd w:val="0"/>
              <w:spacing w:after="0"/>
              <w:jc w:val="right"/>
              <w:rPr>
                <w:rFonts w:ascii="Calibri" w:eastAsiaTheme="minorEastAsia" w:hAnsi="Calibri" w:cs="Calibri"/>
                <w:b/>
                <w:bCs/>
                <w:sz w:val="20"/>
                <w:lang w:eastAsia="en-AU"/>
              </w:rPr>
            </w:pPr>
            <w:r w:rsidRPr="00D928AE">
              <w:rPr>
                <w:rFonts w:ascii="Calibri" w:eastAsiaTheme="minorEastAsia" w:hAnsi="Calibri" w:cs="Calibri"/>
                <w:b/>
                <w:bCs/>
                <w:sz w:val="20"/>
                <w:lang w:eastAsia="en-AU"/>
              </w:rPr>
              <w:t xml:space="preserve"> (2 132.7)</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2.2:</w:t>
      </w:r>
      <w:r>
        <w:tab/>
        <w:t>Public non</w:t>
      </w:r>
      <w:r>
        <w:noBreakHyphen/>
        <w:t>financial corporations sector balance sheet as at 30 June</w:t>
      </w:r>
    </w:p>
    <w:p w:rsidR="00B03921" w:rsidRPr="00CB50A4"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89"/>
        <w:gridCol w:w="995"/>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2019 estimate</w:t>
            </w:r>
          </w:p>
        </w:tc>
      </w:tr>
      <w:tr w:rsidR="001E6158" w:rsidRPr="00CB50A4" w:rsidTr="008079E9">
        <w:tc>
          <w:tcPr>
            <w:tcW w:w="7760" w:type="dxa"/>
            <w:gridSpan w:val="6"/>
            <w:tcBorders>
              <w:top w:val="single" w:sz="6" w:space="0" w:color="auto"/>
              <w:left w:val="nil"/>
              <w:bottom w:val="nil"/>
              <w:right w:val="nil"/>
            </w:tcBorders>
            <w:shd w:val="solid" w:color="FFFFFF" w:fill="auto"/>
          </w:tcPr>
          <w:p w:rsidR="001E6158" w:rsidRPr="00CB50A4" w:rsidRDefault="001E6158" w:rsidP="001E6158">
            <w:pPr>
              <w:pStyle w:val="Tabletext"/>
              <w:rPr>
                <w:rFonts w:eastAsiaTheme="minorEastAsia"/>
                <w:b/>
                <w:bCs/>
                <w:lang w:eastAsia="en-AU"/>
              </w:rPr>
            </w:pPr>
            <w:r w:rsidRPr="00CB50A4">
              <w:rPr>
                <w:rFonts w:eastAsiaTheme="minorEastAsia"/>
                <w:b/>
                <w:bCs/>
                <w:lang w:eastAsia="en-AU"/>
              </w:rPr>
              <w:t>Assets</w:t>
            </w:r>
          </w:p>
        </w:tc>
      </w:tr>
      <w:tr w:rsidR="001E6158" w:rsidRPr="00CB50A4" w:rsidTr="008079E9">
        <w:tc>
          <w:tcPr>
            <w:tcW w:w="7760" w:type="dxa"/>
            <w:gridSpan w:val="6"/>
            <w:tcBorders>
              <w:top w:val="nil"/>
              <w:left w:val="nil"/>
              <w:bottom w:val="nil"/>
              <w:right w:val="nil"/>
            </w:tcBorders>
            <w:shd w:val="solid" w:color="FFFFFF" w:fill="auto"/>
          </w:tcPr>
          <w:p w:rsidR="001E6158" w:rsidRPr="00CB50A4" w:rsidRDefault="001E6158" w:rsidP="001E6158">
            <w:pPr>
              <w:pStyle w:val="Tabletext"/>
              <w:rPr>
                <w:rFonts w:eastAsiaTheme="minorEastAsia"/>
                <w:b/>
                <w:bCs/>
                <w:lang w:eastAsia="en-AU"/>
              </w:rPr>
            </w:pPr>
            <w:r w:rsidRPr="00CB50A4">
              <w:rPr>
                <w:rFonts w:eastAsiaTheme="minorEastAsia"/>
                <w:b/>
                <w:bCs/>
                <w:lang w:eastAsia="en-AU"/>
              </w:rPr>
              <w:t>Financial assets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Cash and deposits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581.4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472.6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395.0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389.1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328.0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Advances paid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53.3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49.1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45.4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42.4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40.2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Receivables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1 275.8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1 095.2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1 223.2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1 264.7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1 279.0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loans and placements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1 082.7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1 171.6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1 070.5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1 171.7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1 368.9</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accounted for using equity method</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1 243.2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1 243.2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1 243.2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1 243.2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1 243.2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4 236.4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4 031.7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3 977.3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4 111.0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4 259.2</w:t>
            </w:r>
          </w:p>
        </w:tc>
      </w:tr>
      <w:tr w:rsidR="001E6158" w:rsidRPr="00CB50A4" w:rsidTr="008079E9">
        <w:tc>
          <w:tcPr>
            <w:tcW w:w="7760" w:type="dxa"/>
            <w:gridSpan w:val="6"/>
            <w:tcBorders>
              <w:top w:val="nil"/>
              <w:left w:val="nil"/>
              <w:bottom w:val="nil"/>
              <w:right w:val="nil"/>
            </w:tcBorders>
            <w:shd w:val="solid" w:color="FFFFFF" w:fill="auto"/>
          </w:tcPr>
          <w:p w:rsidR="001E6158" w:rsidRPr="00CB50A4" w:rsidRDefault="001E6158" w:rsidP="001E6158">
            <w:pPr>
              <w:pStyle w:val="Tabletext"/>
              <w:rPr>
                <w:rFonts w:eastAsiaTheme="minorEastAsia"/>
                <w:b/>
                <w:bCs/>
                <w:lang w:eastAsia="en-AU"/>
              </w:rPr>
            </w:pPr>
            <w:r w:rsidRPr="00CB50A4">
              <w:rPr>
                <w:rFonts w:eastAsiaTheme="minorEastAsia"/>
                <w:b/>
                <w:bCs/>
                <w:lang w:eastAsia="en-AU"/>
              </w:rPr>
              <w:t>Non-financial assets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Inventories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603.4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591.2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553.0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554.6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598.3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Non-financial assets held for sale</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Land, buildings, infrastructure, plant and equipment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99 065.1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99 758.3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101 428.1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102 962.8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104 734.1</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non-financial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1 361.2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1 296.8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1 263.9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1 221.9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1 209.6</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non-financial assets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101 030.5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101 646.2</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103 245.0</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104 739.3</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106 542.0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105 266.9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105 677.9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107 222.3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108 850.3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110 801.3</w:t>
            </w:r>
          </w:p>
        </w:tc>
      </w:tr>
      <w:tr w:rsidR="001E6158" w:rsidRPr="00CB50A4" w:rsidTr="008079E9">
        <w:tc>
          <w:tcPr>
            <w:tcW w:w="7760" w:type="dxa"/>
            <w:gridSpan w:val="6"/>
            <w:tcBorders>
              <w:top w:val="nil"/>
              <w:left w:val="nil"/>
              <w:bottom w:val="nil"/>
              <w:right w:val="nil"/>
            </w:tcBorders>
            <w:shd w:val="solid" w:color="FFFFFF" w:fill="auto"/>
          </w:tcPr>
          <w:p w:rsidR="001E6158" w:rsidRPr="00CB50A4" w:rsidRDefault="001E6158" w:rsidP="001E6158">
            <w:pPr>
              <w:pStyle w:val="Tabletext"/>
              <w:rPr>
                <w:rFonts w:eastAsiaTheme="minorEastAsia"/>
                <w:b/>
                <w:bCs/>
                <w:lang w:eastAsia="en-AU"/>
              </w:rPr>
            </w:pPr>
            <w:r w:rsidRPr="00CB50A4">
              <w:rPr>
                <w:rFonts w:eastAsiaTheme="minorEastAsia"/>
                <w:b/>
                <w:bCs/>
                <w:lang w:eastAsia="en-AU"/>
              </w:rPr>
              <w:t>Liabilities</w:t>
            </w:r>
          </w:p>
        </w:tc>
      </w:tr>
      <w:tr w:rsidR="00B03921" w:rsidRPr="00CB50A4" w:rsidTr="001E6158">
        <w:tc>
          <w:tcPr>
            <w:tcW w:w="2789"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Deposits held and advances received</w:t>
            </w:r>
          </w:p>
        </w:tc>
        <w:tc>
          <w:tcPr>
            <w:tcW w:w="99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369.2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370.4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368.8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369.4</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Payables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1 668.5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1 547.5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1 514.2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1 447.8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1 470.2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Borrowings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16 256.5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16 882.5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17 115.1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17 317.0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17 759.1</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benefits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354.6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354.1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367.3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374.8</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Superannuation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49.3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35.0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34.6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34.2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34.0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provisions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8 832.1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8 595.1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8 447.1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8 169.4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7 886.9</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liabilities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27 530.1</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27 784.6</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27 842.5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27 704.5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27 894.4</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77 736.8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77 893.2</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79 379.8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81 145.8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82 906.9</w:t>
            </w:r>
          </w:p>
        </w:tc>
      </w:tr>
      <w:tr w:rsidR="00B03921" w:rsidRPr="00CB50A4" w:rsidTr="00016914">
        <w:tc>
          <w:tcPr>
            <w:tcW w:w="2790" w:type="dxa"/>
            <w:tcBorders>
              <w:top w:val="single" w:sz="12" w:space="0" w:color="000000"/>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Accumulated surplus/(deficit)</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4 640.6</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9 059.5</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8 510.2</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8 140.0</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7 718.0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Reserves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73 096.2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68 833.7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70 869.6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73 005.8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75 188.9</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worth</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77 736.8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77 893.2</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79 379.8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81 145.8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82 906.9</w:t>
            </w:r>
          </w:p>
        </w:tc>
      </w:tr>
      <w:tr w:rsidR="001E6158" w:rsidRPr="00CB50A4" w:rsidTr="008079E9">
        <w:tc>
          <w:tcPr>
            <w:tcW w:w="7760" w:type="dxa"/>
            <w:gridSpan w:val="6"/>
            <w:tcBorders>
              <w:top w:val="single" w:sz="12" w:space="0" w:color="000000"/>
              <w:left w:val="nil"/>
              <w:bottom w:val="nil"/>
              <w:right w:val="nil"/>
            </w:tcBorders>
            <w:shd w:val="solid" w:color="FFFFFF" w:fill="auto"/>
          </w:tcPr>
          <w:p w:rsidR="001E6158" w:rsidRPr="00CB50A4" w:rsidRDefault="001E6158" w:rsidP="001E6158">
            <w:pPr>
              <w:pStyle w:val="Tabletext"/>
              <w:rPr>
                <w:rFonts w:eastAsiaTheme="minorEastAsia"/>
                <w:b/>
                <w:lang w:eastAsia="en-AU"/>
              </w:rPr>
            </w:pPr>
            <w:r w:rsidRPr="00CB50A4">
              <w:rPr>
                <w:rFonts w:eastAsiaTheme="minorEastAsia"/>
                <w:b/>
                <w:bCs/>
                <w:lang w:eastAsia="en-AU"/>
              </w:rPr>
              <w:t>FISCAL AGGREGATES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worth</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(23 293.7)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(23 753.0)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(23 865.2)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(23 593.5)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(23 635.1)</w:t>
            </w:r>
          </w:p>
        </w:tc>
      </w:tr>
      <w:tr w:rsidR="00B03921" w:rsidRPr="00CB50A4" w:rsidTr="00016914">
        <w:tc>
          <w:tcPr>
            <w:tcW w:w="2790" w:type="dxa"/>
            <w:tcBorders>
              <w:top w:val="nil"/>
              <w:left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liabilities</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23 293.7</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23 753.0</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23 865.2</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23 593.5</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23 635.1</w:t>
            </w:r>
          </w:p>
        </w:tc>
      </w:tr>
      <w:tr w:rsidR="00B03921" w:rsidRPr="00CB50A4" w:rsidTr="00016914">
        <w:tc>
          <w:tcPr>
            <w:tcW w:w="2790" w:type="dxa"/>
            <w:tcBorders>
              <w:top w:val="nil"/>
              <w:left w:val="nil"/>
              <w:bottom w:val="single" w:sz="12"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debt</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14 908.2</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15 559.6</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15 972.6</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16 082.7</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16 391.5</w:t>
            </w:r>
          </w:p>
        </w:tc>
      </w:tr>
    </w:tbl>
    <w:p w:rsidR="00B03921" w:rsidRDefault="00B03921" w:rsidP="00016914">
      <w:pPr>
        <w:pStyle w:val="Notes"/>
      </w:pPr>
      <w:r>
        <w:t>Source: Department of Treasury and Finance</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rPr>
          <w:vertAlign w:val="superscript"/>
        </w:rPr>
      </w:pPr>
      <w:r>
        <w:t>Table 2.3:</w:t>
      </w:r>
      <w:r>
        <w:tab/>
        <w:t>Public non</w:t>
      </w:r>
      <w:r>
        <w:noBreakHyphen/>
        <w:t>financial corporations sector cash flow statement for the financial year ending 30 June</w:t>
      </w:r>
      <w:r w:rsidRPr="00EF2A62">
        <w:rPr>
          <w:vertAlign w:val="superscript"/>
        </w:rPr>
        <w:t>(a)</w:t>
      </w:r>
    </w:p>
    <w:p w:rsidR="00B03921" w:rsidRDefault="00B03921" w:rsidP="00016914">
      <w:pPr>
        <w:pStyle w:val="million"/>
        <w:rPr>
          <w:rFonts w:ascii="Times New Roman" w:hAnsi="Times New Roman"/>
          <w:i w:val="0"/>
          <w:sz w:val="20"/>
          <w:szCs w:val="20"/>
          <w:lang w:eastAsia="en-AU"/>
        </w:rPr>
      </w:pPr>
      <w:r w:rsidRPr="00EF2A62">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gridCol w:w="46"/>
      </w:tblGrid>
      <w:tr w:rsidR="00B03921" w:rsidRPr="007F2FC7" w:rsidTr="00016914">
        <w:trPr>
          <w:gridAfter w:val="1"/>
          <w:wAfter w:w="46" w:type="dxa"/>
          <w:cantSplit/>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7F2FC7" w:rsidRDefault="00B03921" w:rsidP="00016914">
            <w:pPr>
              <w:pStyle w:val="Tabletextheading"/>
              <w:rPr>
                <w:rFonts w:eastAsiaTheme="minorEastAsia"/>
                <w:color w:val="FFFFFF"/>
                <w:sz w:val="19"/>
                <w:lang w:eastAsia="en-AU"/>
              </w:rPr>
            </w:pPr>
            <w:r w:rsidRPr="007F2FC7">
              <w:rPr>
                <w:rFonts w:eastAsiaTheme="minorEastAsia"/>
                <w:color w:val="FFFFFF"/>
                <w:sz w:val="19"/>
                <w:lang w:eastAsia="en-AU"/>
              </w:rPr>
              <w:t>2018-19 estimate</w:t>
            </w:r>
          </w:p>
        </w:tc>
      </w:tr>
      <w:tr w:rsidR="001E6158" w:rsidRPr="007F2FC7" w:rsidTr="008079E9">
        <w:trPr>
          <w:cantSplit/>
        </w:trPr>
        <w:tc>
          <w:tcPr>
            <w:tcW w:w="7806" w:type="dxa"/>
            <w:gridSpan w:val="7"/>
            <w:tcBorders>
              <w:top w:val="single" w:sz="6" w:space="0" w:color="auto"/>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Cash flows from operating activities</w:t>
            </w:r>
          </w:p>
        </w:tc>
      </w:tr>
      <w:tr w:rsidR="001E6158" w:rsidRPr="007F2FC7" w:rsidTr="008079E9">
        <w:trPr>
          <w:gridAfter w:val="1"/>
          <w:wAfter w:w="46" w:type="dxa"/>
          <w:cantSplit/>
        </w:trPr>
        <w:tc>
          <w:tcPr>
            <w:tcW w:w="7760" w:type="dxa"/>
            <w:gridSpan w:val="6"/>
            <w:tcBorders>
              <w:top w:val="nil"/>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Receipts </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Grants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2 705.9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3 013.1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3 099.5</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3 113.0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3 087.2</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vertAlign w:val="superscript"/>
                <w:lang w:eastAsia="en-AU"/>
              </w:rPr>
            </w:pPr>
            <w:r w:rsidRPr="007F2FC7">
              <w:rPr>
                <w:rFonts w:ascii="Calibri" w:eastAsiaTheme="minorEastAsia" w:hAnsi="Calibri" w:cs="Calibri"/>
                <w:sz w:val="19"/>
                <w:lang w:eastAsia="en-AU"/>
              </w:rPr>
              <w:t>Sales of goods and services</w:t>
            </w:r>
            <w:r w:rsidRPr="007F2FC7">
              <w:rPr>
                <w:rFonts w:ascii="Calibri" w:eastAsiaTheme="minorEastAsia" w:hAnsi="Calibri" w:cs="Calibri"/>
                <w:sz w:val="19"/>
                <w:vertAlign w:val="superscript"/>
                <w:lang w:eastAsia="en-AU"/>
              </w:rPr>
              <w:t>(b)</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6 518.0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6 685.7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6 570.7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6 691.9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7 093.8</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Interest received</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35.0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28.9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21.4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17.5</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19.5</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Dividends and income tax equivalent and rate equivalent receipts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60.5</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73.0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82.2</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88.7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98.1</w:t>
            </w:r>
          </w:p>
        </w:tc>
      </w:tr>
      <w:tr w:rsidR="00B03921" w:rsidRPr="007F2FC7" w:rsidTr="00016914">
        <w:trPr>
          <w:gridAfter w:val="1"/>
          <w:wAfter w:w="46" w:type="dxa"/>
          <w:cantSplit/>
        </w:trPr>
        <w:tc>
          <w:tcPr>
            <w:tcW w:w="2790"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Other receipts</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534.4</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295.7</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238.8</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264.2</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281.0</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Total receipts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9 853.8</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10 096.4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10 012.6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10 175.4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10 579.6</w:t>
            </w:r>
          </w:p>
        </w:tc>
      </w:tr>
      <w:tr w:rsidR="001E6158" w:rsidRPr="007F2FC7" w:rsidTr="008079E9">
        <w:trPr>
          <w:gridAfter w:val="1"/>
          <w:wAfter w:w="46" w:type="dxa"/>
          <w:cantSplit/>
        </w:trPr>
        <w:tc>
          <w:tcPr>
            <w:tcW w:w="7760" w:type="dxa"/>
            <w:gridSpan w:val="6"/>
            <w:tcBorders>
              <w:top w:val="nil"/>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Payments</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Payments for employees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(1 072.9)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(1 083.9)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(1 083.3)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(1 113.1)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(1 128.1)</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Superannuation</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(91.1)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(108.7)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(96.2)</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(99.4)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(100.4)</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Interest paid</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(1 121.7)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(1 136.3)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(1 119.0)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(1 101.4)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(1 117.7)</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Grants and subsidies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(100.4)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(119.4)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(65.9)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(39.3)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(42.9)</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vertAlign w:val="superscript"/>
                <w:lang w:eastAsia="en-AU"/>
              </w:rPr>
            </w:pPr>
            <w:r w:rsidRPr="007F2FC7">
              <w:rPr>
                <w:rFonts w:ascii="Calibri" w:eastAsiaTheme="minorEastAsia" w:hAnsi="Calibri" w:cs="Calibri"/>
                <w:sz w:val="19"/>
                <w:lang w:eastAsia="en-AU"/>
              </w:rPr>
              <w:t>Goods and services</w:t>
            </w:r>
            <w:r w:rsidRPr="007F2FC7">
              <w:rPr>
                <w:rFonts w:ascii="Calibri" w:eastAsiaTheme="minorEastAsia" w:hAnsi="Calibri" w:cs="Calibri"/>
                <w:sz w:val="19"/>
                <w:vertAlign w:val="superscript"/>
                <w:lang w:eastAsia="en-AU"/>
              </w:rPr>
              <w:t>(b)</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(4 088.6)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(4 167.0)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(3 902.9)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(3 959.7)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(4 050.1)</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Other payments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(1 944.1)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(1 831.5)</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(2 196.1)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(2 292.7)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(2 344.7)</w:t>
            </w:r>
          </w:p>
        </w:tc>
      </w:tr>
      <w:tr w:rsidR="00B03921" w:rsidRPr="007F2FC7" w:rsidTr="00016914">
        <w:trPr>
          <w:gridAfter w:val="1"/>
          <w:wAfter w:w="46" w:type="dxa"/>
          <w:cantSplit/>
        </w:trPr>
        <w:tc>
          <w:tcPr>
            <w:tcW w:w="2790"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Total payments</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(8 418.8)</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(8 446.7)</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(8 463.3)</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(8 605.7)</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(8 784.0)</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Net cash flows from operating activities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1 435.0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1 649.7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1 549.4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1 569.7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1 795.6</w:t>
            </w:r>
          </w:p>
        </w:tc>
      </w:tr>
      <w:tr w:rsidR="001E6158" w:rsidRPr="007F2FC7" w:rsidTr="008079E9">
        <w:trPr>
          <w:cantSplit/>
        </w:trPr>
        <w:tc>
          <w:tcPr>
            <w:tcW w:w="7806" w:type="dxa"/>
            <w:gridSpan w:val="7"/>
            <w:tcBorders>
              <w:top w:val="nil"/>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Cash flows from investing activities </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cash flows from investments in non-financial assets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(2 456.7)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4 423.6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(1 851.3)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(1 654.9)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(1 959.6)</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cash flows from investments in financial assets for policy purposes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(41.9)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(87.1)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(39.0)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(53.6)</w:t>
            </w:r>
          </w:p>
        </w:tc>
      </w:tr>
      <w:tr w:rsidR="00B03921" w:rsidRPr="007F2FC7" w:rsidTr="00016914">
        <w:trPr>
          <w:gridAfter w:val="1"/>
          <w:wAfter w:w="46" w:type="dxa"/>
          <w:cantSplit/>
        </w:trPr>
        <w:tc>
          <w:tcPr>
            <w:tcW w:w="2790"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cash flows from investment in financial assets for liquidity management purposes</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(69.6)</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(61.6)</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103.3</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(61.4)</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(197.1)</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Net cash flows from investing activities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(2 523.3)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4 320.0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(1 835.1)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(1 755.4)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(2 210.3)</w:t>
            </w:r>
          </w:p>
        </w:tc>
      </w:tr>
      <w:tr w:rsidR="001E6158" w:rsidRPr="007F2FC7" w:rsidTr="008079E9">
        <w:trPr>
          <w:cantSplit/>
        </w:trPr>
        <w:tc>
          <w:tcPr>
            <w:tcW w:w="7806" w:type="dxa"/>
            <w:gridSpan w:val="7"/>
            <w:tcBorders>
              <w:top w:val="nil"/>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Cash flows from financing activities </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Advances received (net)</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13.7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(0.7)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(1.1)</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borrowings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(112.4)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626.0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232.6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194.9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435.0</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Deposits received (net)</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(48.1)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(0.2)</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2.2</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Other financing (net)</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832.8</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(6 705.5)</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(21.8)</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(23.1)</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(89.7)</w:t>
            </w:r>
          </w:p>
        </w:tc>
      </w:tr>
      <w:tr w:rsidR="00B03921" w:rsidRPr="007F2FC7" w:rsidTr="00016914">
        <w:trPr>
          <w:gridAfter w:val="1"/>
          <w:wAfter w:w="46" w:type="dxa"/>
          <w:cantSplit/>
        </w:trPr>
        <w:tc>
          <w:tcPr>
            <w:tcW w:w="2790"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Net cash flows from financing activities</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686.0</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(6 078.5)</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208.1</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172.8</w:t>
            </w:r>
          </w:p>
        </w:tc>
        <w:tc>
          <w:tcPr>
            <w:tcW w:w="994" w:type="dxa"/>
            <w:tcBorders>
              <w:top w:val="single" w:sz="6" w:space="0" w:color="000000"/>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346.5</w:t>
            </w:r>
          </w:p>
        </w:tc>
      </w:tr>
      <w:tr w:rsidR="00B03921" w:rsidRPr="007F2FC7" w:rsidTr="00016914">
        <w:trPr>
          <w:gridAfter w:val="1"/>
          <w:wAfter w:w="46" w:type="dxa"/>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Net increase/(decrease) in cash and cash equivalents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(402.3)</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(108.8)</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(77.7)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(12.9)</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(68.2)</w:t>
            </w:r>
          </w:p>
        </w:tc>
      </w:tr>
      <w:tr w:rsidR="00B03921" w:rsidRPr="007F2FC7" w:rsidTr="00016914">
        <w:trPr>
          <w:gridAfter w:val="1"/>
          <w:wAfter w:w="46" w:type="dxa"/>
          <w:cantSplit/>
        </w:trPr>
        <w:tc>
          <w:tcPr>
            <w:tcW w:w="2790"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Cash and cash equivalents at beginning of reporting period</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983.7</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581.4</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472.6</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395.0</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382.1</w:t>
            </w:r>
          </w:p>
        </w:tc>
      </w:tr>
      <w:tr w:rsidR="00B03921" w:rsidRPr="007F2FC7" w:rsidTr="00016914">
        <w:trPr>
          <w:gridAfter w:val="1"/>
          <w:wAfter w:w="46" w:type="dxa"/>
          <w:cantSplit/>
        </w:trPr>
        <w:tc>
          <w:tcPr>
            <w:tcW w:w="2790"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vertAlign w:val="superscript"/>
                <w:lang w:eastAsia="en-AU"/>
              </w:rPr>
            </w:pPr>
            <w:r w:rsidRPr="007F2FC7">
              <w:rPr>
                <w:rFonts w:ascii="Calibri" w:eastAsiaTheme="minorEastAsia" w:hAnsi="Calibri" w:cs="Calibri"/>
                <w:b/>
                <w:bCs/>
                <w:sz w:val="19"/>
                <w:lang w:eastAsia="en-AU"/>
              </w:rPr>
              <w:t>Cash and cash equivalents at end of reporting period</w:t>
            </w:r>
            <w:r w:rsidRPr="007F2FC7">
              <w:rPr>
                <w:rFonts w:ascii="Calibri" w:eastAsiaTheme="minorEastAsia" w:hAnsi="Calibri" w:cs="Calibri"/>
                <w:b/>
                <w:bCs/>
                <w:sz w:val="19"/>
                <w:vertAlign w:val="superscript"/>
                <w:lang w:eastAsia="en-AU"/>
              </w:rPr>
              <w:t>(c)</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581.4</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472.6</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395.0</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382.1</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 xml:space="preserve"> 313.9</w:t>
            </w:r>
          </w:p>
        </w:tc>
      </w:tr>
    </w:tbl>
    <w:p w:rsidR="001E6158" w:rsidRDefault="001E6158" w:rsidP="001E6158">
      <w:pPr>
        <w:pStyle w:val="Tableheadingcontinued"/>
      </w:pPr>
      <w:r>
        <w:t>Table 2.3:</w:t>
      </w:r>
      <w:r>
        <w:tab/>
        <w:t>Public non</w:t>
      </w:r>
      <w:r>
        <w:noBreakHyphen/>
        <w:t>financial corporations sector cash flow statement for the financial year ending 30 June</w:t>
      </w:r>
      <w:r w:rsidRPr="001E6158">
        <w:rPr>
          <w:vertAlign w:val="superscript"/>
        </w:rPr>
        <w:t>(a)</w:t>
      </w:r>
      <w:r>
        <w:t xml:space="preserve"> </w:t>
      </w:r>
      <w:r w:rsidRPr="001E6158">
        <w:rPr>
          <w:i/>
        </w:rPr>
        <w:t>(continued)</w:t>
      </w:r>
    </w:p>
    <w:p w:rsidR="001E6158" w:rsidRDefault="001E6158" w:rsidP="001E6158">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1E6158" w:rsidRPr="007F2FC7" w:rsidTr="001E6158">
        <w:trPr>
          <w:cantSplit/>
          <w:tblHeader/>
        </w:trPr>
        <w:tc>
          <w:tcPr>
            <w:tcW w:w="2790" w:type="dxa"/>
            <w:tcBorders>
              <w:top w:val="single" w:sz="6" w:space="0" w:color="auto"/>
              <w:left w:val="single" w:sz="6" w:space="0" w:color="auto"/>
              <w:bottom w:val="single" w:sz="6" w:space="0" w:color="auto"/>
              <w:right w:val="nil"/>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2014-15 revised</w:t>
            </w:r>
          </w:p>
        </w:tc>
        <w:tc>
          <w:tcPr>
            <w:tcW w:w="994" w:type="dxa"/>
            <w:tcBorders>
              <w:top w:val="single" w:sz="6" w:space="0" w:color="auto"/>
              <w:left w:val="nil"/>
              <w:bottom w:val="single" w:sz="6" w:space="0" w:color="auto"/>
              <w:right w:val="nil"/>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2015-16 estimate</w:t>
            </w:r>
          </w:p>
        </w:tc>
        <w:tc>
          <w:tcPr>
            <w:tcW w:w="994" w:type="dxa"/>
            <w:tcBorders>
              <w:top w:val="single" w:sz="6" w:space="0" w:color="auto"/>
              <w:left w:val="nil"/>
              <w:bottom w:val="single" w:sz="6" w:space="0" w:color="auto"/>
              <w:right w:val="nil"/>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2016-17 estimate</w:t>
            </w:r>
          </w:p>
        </w:tc>
        <w:tc>
          <w:tcPr>
            <w:tcW w:w="994" w:type="dxa"/>
            <w:tcBorders>
              <w:top w:val="single" w:sz="6" w:space="0" w:color="auto"/>
              <w:left w:val="nil"/>
              <w:bottom w:val="single" w:sz="6" w:space="0" w:color="auto"/>
              <w:right w:val="nil"/>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1E6158" w:rsidRPr="007F2FC7" w:rsidRDefault="001E6158" w:rsidP="008079E9">
            <w:pPr>
              <w:pStyle w:val="Tabletextheading"/>
              <w:rPr>
                <w:rFonts w:eastAsiaTheme="minorEastAsia"/>
                <w:color w:val="FFFFFF"/>
                <w:sz w:val="19"/>
                <w:lang w:eastAsia="en-AU"/>
              </w:rPr>
            </w:pPr>
            <w:r w:rsidRPr="007F2FC7">
              <w:rPr>
                <w:rFonts w:eastAsiaTheme="minorEastAsia"/>
                <w:color w:val="FFFFFF"/>
                <w:sz w:val="19"/>
                <w:lang w:eastAsia="en-AU"/>
              </w:rPr>
              <w:t>2018-19 estimate</w:t>
            </w:r>
          </w:p>
        </w:tc>
      </w:tr>
      <w:tr w:rsidR="001E6158" w:rsidRPr="007F2FC7" w:rsidTr="001E6158">
        <w:trPr>
          <w:cantSplit/>
        </w:trPr>
        <w:tc>
          <w:tcPr>
            <w:tcW w:w="7760" w:type="dxa"/>
            <w:gridSpan w:val="6"/>
            <w:tcBorders>
              <w:top w:val="single" w:sz="12" w:space="0" w:color="000000"/>
              <w:left w:val="nil"/>
              <w:bottom w:val="nil"/>
              <w:right w:val="nil"/>
            </w:tcBorders>
            <w:shd w:val="solid" w:color="FFFFFF" w:fill="auto"/>
          </w:tcPr>
          <w:p w:rsidR="001E6158" w:rsidRPr="007F2FC7" w:rsidRDefault="001E6158" w:rsidP="001E6158">
            <w:pPr>
              <w:autoSpaceDE w:val="0"/>
              <w:autoSpaceDN w:val="0"/>
              <w:adjustRightInd w:val="0"/>
              <w:spacing w:after="0"/>
              <w:rPr>
                <w:rFonts w:ascii="Calibri" w:eastAsiaTheme="minorEastAsia" w:hAnsi="Calibri" w:cs="Calibri"/>
                <w:b/>
                <w:sz w:val="19"/>
                <w:lang w:eastAsia="en-AU"/>
              </w:rPr>
            </w:pPr>
            <w:r w:rsidRPr="007F2FC7">
              <w:rPr>
                <w:rFonts w:ascii="Calibri" w:eastAsiaTheme="minorEastAsia" w:hAnsi="Calibri" w:cs="Calibri"/>
                <w:b/>
                <w:bCs/>
                <w:sz w:val="19"/>
                <w:lang w:eastAsia="en-AU"/>
              </w:rPr>
              <w:t>FISCAL AGGREGATES</w:t>
            </w:r>
          </w:p>
        </w:tc>
      </w:tr>
      <w:tr w:rsidR="00B03921" w:rsidRPr="007F2FC7" w:rsidTr="001E6158">
        <w:trPr>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cash flows from operating activities</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1 435.0</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1 649.7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1 549.4</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1 569.7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1 795.6</w:t>
            </w:r>
          </w:p>
        </w:tc>
      </w:tr>
      <w:tr w:rsidR="00B03921" w:rsidRPr="007F2FC7" w:rsidTr="001E6158">
        <w:trPr>
          <w:cantSplit/>
        </w:trPr>
        <w:tc>
          <w:tcPr>
            <w:tcW w:w="2790"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Dividends paid</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(266.1</w:t>
            </w:r>
            <w:r w:rsidRPr="007F2FC7">
              <w:rPr>
                <w:rFonts w:ascii="Calibri" w:eastAsiaTheme="minorEastAsia" w:hAnsi="Calibri" w:cs="Calibri"/>
                <w:sz w:val="19"/>
                <w:lang w:eastAsia="en-AU"/>
              </w:rPr>
              <w:t>)</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(215.6)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(195.6)</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(182.7)</w:t>
            </w:r>
          </w:p>
        </w:tc>
        <w:tc>
          <w:tcPr>
            <w:tcW w:w="994" w:type="dxa"/>
            <w:tcBorders>
              <w:top w:val="nil"/>
              <w:left w:val="nil"/>
              <w:bottom w:val="nil"/>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(216.6)</w:t>
            </w:r>
          </w:p>
        </w:tc>
      </w:tr>
      <w:tr w:rsidR="00B03921" w:rsidRPr="007F2FC7" w:rsidTr="001E6158">
        <w:trPr>
          <w:cantSplit/>
        </w:trPr>
        <w:tc>
          <w:tcPr>
            <w:tcW w:w="2790"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sz w:val="19"/>
                <w:lang w:eastAsia="en-AU"/>
              </w:rPr>
            </w:pPr>
            <w:r w:rsidRPr="007F2FC7">
              <w:rPr>
                <w:rFonts w:ascii="Calibri" w:eastAsiaTheme="minorEastAsia" w:hAnsi="Calibri" w:cs="Calibri"/>
                <w:sz w:val="19"/>
                <w:lang w:eastAsia="en-AU"/>
              </w:rPr>
              <w:t>Net cash flows from investments in non-financial assets</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(2 456.7)</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4 423.6</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(1 851.3)</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(1 654.9)</w:t>
            </w:r>
          </w:p>
        </w:tc>
        <w:tc>
          <w:tcPr>
            <w:tcW w:w="994" w:type="dxa"/>
            <w:tcBorders>
              <w:top w:val="nil"/>
              <w:left w:val="nil"/>
              <w:bottom w:val="single" w:sz="6"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sz w:val="19"/>
                <w:lang w:eastAsia="en-AU"/>
              </w:rPr>
            </w:pPr>
            <w:r w:rsidRPr="007F2FC7">
              <w:rPr>
                <w:rFonts w:ascii="Calibri" w:eastAsiaTheme="minorEastAsia" w:hAnsi="Calibri" w:cs="Calibri"/>
                <w:sz w:val="19"/>
                <w:lang w:eastAsia="en-AU"/>
              </w:rPr>
              <w:t xml:space="preserve"> (1 959.6)</w:t>
            </w:r>
          </w:p>
        </w:tc>
      </w:tr>
      <w:tr w:rsidR="00B03921" w:rsidRPr="007F2FC7" w:rsidTr="001E6158">
        <w:trPr>
          <w:cantSplit/>
        </w:trPr>
        <w:tc>
          <w:tcPr>
            <w:tcW w:w="2790"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rPr>
                <w:rFonts w:ascii="Calibri" w:eastAsiaTheme="minorEastAsia" w:hAnsi="Calibri" w:cs="Calibri"/>
                <w:b/>
                <w:bCs/>
                <w:sz w:val="19"/>
                <w:lang w:eastAsia="en-AU"/>
              </w:rPr>
            </w:pPr>
            <w:r w:rsidRPr="007F2FC7">
              <w:rPr>
                <w:rFonts w:ascii="Calibri" w:eastAsiaTheme="minorEastAsia" w:hAnsi="Calibri" w:cs="Calibri"/>
                <w:b/>
                <w:bCs/>
                <w:sz w:val="19"/>
                <w:lang w:eastAsia="en-AU"/>
              </w:rPr>
              <w:t>Cash surplus/(deficit)</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 xml:space="preserve"> (1 287.8</w:t>
            </w:r>
            <w:r w:rsidRPr="007F2FC7">
              <w:rPr>
                <w:rFonts w:ascii="Calibri" w:eastAsiaTheme="minorEastAsia" w:hAnsi="Calibri" w:cs="Calibri"/>
                <w:b/>
                <w:bCs/>
                <w:sz w:val="19"/>
                <w:lang w:eastAsia="en-AU"/>
              </w:rPr>
              <w:t>)</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5 857.7</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(497.5)</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(267.9)</w:t>
            </w:r>
          </w:p>
        </w:tc>
        <w:tc>
          <w:tcPr>
            <w:tcW w:w="994" w:type="dxa"/>
            <w:tcBorders>
              <w:top w:val="single" w:sz="6" w:space="0" w:color="000000"/>
              <w:left w:val="nil"/>
              <w:bottom w:val="single" w:sz="12" w:space="0" w:color="000000"/>
              <w:right w:val="nil"/>
            </w:tcBorders>
            <w:shd w:val="solid" w:color="FFFFFF" w:fill="auto"/>
          </w:tcPr>
          <w:p w:rsidR="00B03921" w:rsidRPr="007F2FC7" w:rsidRDefault="00B03921" w:rsidP="00016914">
            <w:pPr>
              <w:autoSpaceDE w:val="0"/>
              <w:autoSpaceDN w:val="0"/>
              <w:adjustRightInd w:val="0"/>
              <w:spacing w:after="0"/>
              <w:jc w:val="right"/>
              <w:rPr>
                <w:rFonts w:ascii="Calibri" w:eastAsiaTheme="minorEastAsia" w:hAnsi="Calibri" w:cs="Calibri"/>
                <w:b/>
                <w:bCs/>
                <w:sz w:val="19"/>
                <w:lang w:eastAsia="en-AU"/>
              </w:rPr>
            </w:pPr>
            <w:r w:rsidRPr="007F2FC7">
              <w:rPr>
                <w:rFonts w:ascii="Calibri" w:eastAsiaTheme="minorEastAsia" w:hAnsi="Calibri" w:cs="Calibri"/>
                <w:b/>
                <w:bCs/>
                <w:sz w:val="19"/>
                <w:lang w:eastAsia="en-AU"/>
              </w:rPr>
              <w:t>(380.6)</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Inclusive of goods and services tax.</w:t>
      </w:r>
    </w:p>
    <w:p w:rsidR="00B03921" w:rsidRDefault="00B03921" w:rsidP="00016914">
      <w:pPr>
        <w:pStyle w:val="Notes"/>
      </w:pPr>
      <w:r>
        <w:t>(c)</w:t>
      </w:r>
      <w:r>
        <w:tab/>
        <w:t>Cash and cash equivalents at the end of the reporting period does not equal cash and deposits on the balance sheet. This is due to the overdraft being included on the cash flow statement.</w:t>
      </w:r>
    </w:p>
    <w:p w:rsidR="00B03921" w:rsidRDefault="00B03921" w:rsidP="00016914">
      <w:pPr>
        <w:pStyle w:val="Tableheading"/>
      </w:pPr>
    </w:p>
    <w:p w:rsidR="00B03921" w:rsidRDefault="00B03921">
      <w:pPr>
        <w:spacing w:after="0"/>
        <w:rPr>
          <w:rFonts w:ascii="Calibri" w:hAnsi="Calibri"/>
          <w:b/>
        </w:rPr>
      </w:pPr>
      <w:r>
        <w:br w:type="page"/>
      </w:r>
    </w:p>
    <w:p w:rsidR="00B03921" w:rsidRDefault="00B03921" w:rsidP="00016914">
      <w:pPr>
        <w:pStyle w:val="Tableheading"/>
      </w:pPr>
      <w:r>
        <w:t>Table 2.4:</w:t>
      </w:r>
      <w:r>
        <w:tab/>
        <w:t>Public non</w:t>
      </w:r>
      <w:r>
        <w:noBreakHyphen/>
        <w:t>financial corporations sector statement of changes in equity for the financial year ending 30 June</w:t>
      </w:r>
    </w:p>
    <w:p w:rsidR="00B03921" w:rsidRPr="00CB50A4"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837"/>
        <w:gridCol w:w="1417"/>
        <w:gridCol w:w="1506"/>
      </w:tblGrid>
      <w:tr w:rsidR="00B03921" w:rsidRPr="00CB50A4" w:rsidTr="00016914">
        <w:trPr>
          <w:tblHeader/>
        </w:trPr>
        <w:tc>
          <w:tcPr>
            <w:tcW w:w="4837"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1417"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Accumulated surplus/(deficit)</w:t>
            </w:r>
          </w:p>
        </w:tc>
        <w:tc>
          <w:tcPr>
            <w:tcW w:w="1506"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Contribution</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by owners</w:t>
            </w:r>
          </w:p>
        </w:tc>
      </w:tr>
      <w:tr w:rsidR="001E6158" w:rsidRPr="00CB50A4" w:rsidTr="008079E9">
        <w:tc>
          <w:tcPr>
            <w:tcW w:w="7760" w:type="dxa"/>
            <w:gridSpan w:val="3"/>
            <w:tcBorders>
              <w:top w:val="single" w:sz="6" w:space="0" w:color="auto"/>
              <w:left w:val="nil"/>
              <w:bottom w:val="nil"/>
              <w:right w:val="nil"/>
            </w:tcBorders>
          </w:tcPr>
          <w:p w:rsidR="001E6158" w:rsidRPr="00CB50A4" w:rsidRDefault="001E6158" w:rsidP="001E6158">
            <w:pPr>
              <w:pStyle w:val="TableofFigures"/>
              <w:jc w:val="left"/>
              <w:rPr>
                <w:rFonts w:eastAsiaTheme="minorEastAsia"/>
                <w:b/>
                <w:bCs/>
                <w:lang w:eastAsia="en-AU"/>
              </w:rPr>
            </w:pPr>
            <w:r w:rsidRPr="00CB50A4">
              <w:rPr>
                <w:rFonts w:eastAsiaTheme="minorEastAsia"/>
                <w:b/>
                <w:bCs/>
                <w:lang w:eastAsia="en-AU"/>
              </w:rPr>
              <w:t>2014-15 Revised</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2014</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5 094.5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32 963.0</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(210.1)</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Dividends paid</w:t>
            </w:r>
            <w:r w:rsidRPr="00CB50A4">
              <w:rPr>
                <w:rFonts w:eastAsiaTheme="minorEastAsia"/>
                <w:vertAlign w:val="superscript"/>
                <w:lang w:eastAsia="en-AU"/>
              </w:rPr>
              <w:t xml:space="preserve"> </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(265.6)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4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21.8</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2 445.4</w:t>
            </w:r>
          </w:p>
        </w:tc>
      </w:tr>
      <w:tr w:rsidR="00B03921" w:rsidRPr="00CB50A4" w:rsidTr="00016914">
        <w:tc>
          <w:tcPr>
            <w:tcW w:w="4837"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41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4 640.6</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35 408.4</w:t>
            </w:r>
          </w:p>
        </w:tc>
      </w:tr>
      <w:tr w:rsidR="001E6158" w:rsidRPr="00CB50A4" w:rsidTr="008079E9">
        <w:tc>
          <w:tcPr>
            <w:tcW w:w="7760" w:type="dxa"/>
            <w:gridSpan w:val="3"/>
            <w:tcBorders>
              <w:top w:val="nil"/>
              <w:left w:val="nil"/>
              <w:bottom w:val="nil"/>
              <w:right w:val="nil"/>
            </w:tcBorders>
          </w:tcPr>
          <w:p w:rsidR="001E6158" w:rsidRPr="00CB50A4" w:rsidRDefault="001E6158" w:rsidP="001E6158">
            <w:pPr>
              <w:pStyle w:val="TableofFigures"/>
              <w:jc w:val="left"/>
              <w:rPr>
                <w:rFonts w:eastAsiaTheme="minorEastAsia"/>
                <w:b/>
                <w:bCs/>
                <w:lang w:eastAsia="en-AU"/>
              </w:rPr>
            </w:pPr>
            <w:r w:rsidRPr="00CB50A4">
              <w:rPr>
                <w:rFonts w:eastAsiaTheme="minorEastAsia"/>
                <w:b/>
                <w:bCs/>
                <w:lang w:eastAsia="en-AU"/>
              </w:rPr>
              <w:t>2015-16 Estimate</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2015</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4 640.6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35 408.4</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4 092.6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(215.6)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541.8</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(5 157.5</w:t>
            </w:r>
            <w:r w:rsidRPr="00CB50A4">
              <w:rPr>
                <w:rFonts w:eastAsiaTheme="minorEastAsia" w:cs="Calibri"/>
                <w:color w:val="000000"/>
                <w:sz w:val="18"/>
                <w:lang w:eastAsia="en-AU"/>
              </w:rPr>
              <w:t>)</w:t>
            </w:r>
          </w:p>
        </w:tc>
      </w:tr>
      <w:tr w:rsidR="00B03921" w:rsidRPr="00CB50A4" w:rsidTr="00016914">
        <w:tc>
          <w:tcPr>
            <w:tcW w:w="4837"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41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9 059.5</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30 250.9</w:t>
            </w:r>
          </w:p>
        </w:tc>
      </w:tr>
      <w:tr w:rsidR="001E6158" w:rsidRPr="00CB50A4" w:rsidTr="008079E9">
        <w:tc>
          <w:tcPr>
            <w:tcW w:w="7760" w:type="dxa"/>
            <w:gridSpan w:val="3"/>
            <w:tcBorders>
              <w:top w:val="nil"/>
              <w:left w:val="nil"/>
              <w:bottom w:val="nil"/>
              <w:right w:val="nil"/>
            </w:tcBorders>
          </w:tcPr>
          <w:p w:rsidR="001E6158" w:rsidRPr="00CB50A4" w:rsidRDefault="001E6158" w:rsidP="001E6158">
            <w:pPr>
              <w:pStyle w:val="TableofFigures"/>
              <w:jc w:val="left"/>
              <w:rPr>
                <w:rFonts w:eastAsiaTheme="minorEastAsia"/>
                <w:b/>
                <w:bCs/>
                <w:lang w:eastAsia="en-AU"/>
              </w:rPr>
            </w:pPr>
            <w:r w:rsidRPr="00CB50A4">
              <w:rPr>
                <w:rFonts w:eastAsiaTheme="minorEastAsia"/>
                <w:b/>
                <w:bCs/>
                <w:lang w:eastAsia="en-AU"/>
              </w:rPr>
              <w:t>2016-17 Estimate</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2016</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9 059.5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30 250.9</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(258.0)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(195.6)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(95.6)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1 999.8</w:t>
            </w:r>
          </w:p>
        </w:tc>
      </w:tr>
      <w:tr w:rsidR="00B03921" w:rsidRPr="00CB50A4" w:rsidTr="00016914">
        <w:tc>
          <w:tcPr>
            <w:tcW w:w="4837"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41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8 510.2</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32 250.7</w:t>
            </w:r>
          </w:p>
        </w:tc>
      </w:tr>
      <w:tr w:rsidR="001E6158" w:rsidRPr="00CB50A4" w:rsidTr="008079E9">
        <w:tc>
          <w:tcPr>
            <w:tcW w:w="7760" w:type="dxa"/>
            <w:gridSpan w:val="3"/>
            <w:tcBorders>
              <w:top w:val="nil"/>
              <w:left w:val="nil"/>
              <w:bottom w:val="nil"/>
              <w:right w:val="nil"/>
            </w:tcBorders>
          </w:tcPr>
          <w:p w:rsidR="001E6158" w:rsidRPr="00CB50A4" w:rsidRDefault="001E6158" w:rsidP="001E6158">
            <w:pPr>
              <w:pStyle w:val="TableofFigures"/>
              <w:jc w:val="left"/>
              <w:rPr>
                <w:rFonts w:eastAsiaTheme="minorEastAsia"/>
                <w:b/>
                <w:bCs/>
                <w:lang w:eastAsia="en-AU"/>
              </w:rPr>
            </w:pPr>
            <w:r w:rsidRPr="00CB50A4">
              <w:rPr>
                <w:rFonts w:eastAsiaTheme="minorEastAsia"/>
                <w:b/>
                <w:bCs/>
                <w:lang w:eastAsia="en-AU"/>
              </w:rPr>
              <w:t>2017-18 Estimate</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2017</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8 510.2</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32 250.7</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(136.0)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(182.7)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(51.5)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2 099.5</w:t>
            </w:r>
          </w:p>
        </w:tc>
      </w:tr>
      <w:tr w:rsidR="00B03921" w:rsidRPr="00CB50A4" w:rsidTr="00016914">
        <w:tc>
          <w:tcPr>
            <w:tcW w:w="4837"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41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8 140.0</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34 350.2</w:t>
            </w:r>
          </w:p>
        </w:tc>
      </w:tr>
      <w:tr w:rsidR="001E6158" w:rsidRPr="00CB50A4" w:rsidTr="008079E9">
        <w:tc>
          <w:tcPr>
            <w:tcW w:w="7760" w:type="dxa"/>
            <w:gridSpan w:val="3"/>
            <w:tcBorders>
              <w:top w:val="nil"/>
              <w:left w:val="nil"/>
              <w:bottom w:val="nil"/>
              <w:right w:val="nil"/>
            </w:tcBorders>
          </w:tcPr>
          <w:p w:rsidR="001E6158" w:rsidRPr="00CB50A4" w:rsidRDefault="001E6158" w:rsidP="001E6158">
            <w:pPr>
              <w:pStyle w:val="TableofFigures"/>
              <w:jc w:val="left"/>
              <w:rPr>
                <w:rFonts w:eastAsiaTheme="minorEastAsia"/>
                <w:b/>
                <w:bCs/>
                <w:lang w:eastAsia="en-AU"/>
              </w:rPr>
            </w:pPr>
            <w:r w:rsidRPr="00CB50A4">
              <w:rPr>
                <w:rFonts w:eastAsiaTheme="minorEastAsia"/>
                <w:b/>
                <w:bCs/>
                <w:lang w:eastAsia="en-AU"/>
              </w:rPr>
              <w:t>2018-19 Estimate</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2018</w:t>
            </w:r>
          </w:p>
        </w:tc>
        <w:tc>
          <w:tcPr>
            <w:tcW w:w="141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8 140.0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34 350.2</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(152.4)</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(216.6)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41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(53.0)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837" w:type="dxa"/>
            <w:tcBorders>
              <w:top w:val="nil"/>
              <w:left w:val="nil"/>
              <w:bottom w:val="single" w:sz="6" w:space="0" w:color="auto"/>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41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2 150.8</w:t>
            </w:r>
          </w:p>
        </w:tc>
      </w:tr>
      <w:tr w:rsidR="00B03921" w:rsidRPr="00CB50A4" w:rsidTr="00016914">
        <w:tc>
          <w:tcPr>
            <w:tcW w:w="483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41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7 718.0</w:t>
            </w:r>
          </w:p>
        </w:tc>
        <w:tc>
          <w:tcPr>
            <w:tcW w:w="150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36 500.9</w:t>
            </w:r>
          </w:p>
        </w:tc>
      </w:tr>
    </w:tbl>
    <w:p w:rsidR="00B03921" w:rsidRDefault="00B03921" w:rsidP="00016914">
      <w:pPr>
        <w:pStyle w:val="Source"/>
      </w:pPr>
      <w:r>
        <w:t>Source: Department of Treasury and Finance</w:t>
      </w:r>
    </w:p>
    <w:p w:rsidR="00B03921" w:rsidRDefault="00B03921">
      <w:pPr>
        <w:spacing w:after="0"/>
      </w:pPr>
      <w:r>
        <w:br w:type="page"/>
      </w:r>
    </w:p>
    <w:p w:rsidR="00B03921" w:rsidRDefault="00B03921" w:rsidP="00016914">
      <w:pPr>
        <w:pStyle w:val="Tableheading"/>
      </w:pPr>
      <w:r>
        <w:br/>
      </w:r>
    </w:p>
    <w:p w:rsidR="00B03921" w:rsidRPr="00CB50A4" w:rsidRDefault="00B03921" w:rsidP="00016914">
      <w:pPr>
        <w:pStyle w:val="million"/>
        <w:rPr>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586"/>
        <w:gridCol w:w="2587"/>
        <w:gridCol w:w="2587"/>
      </w:tblGrid>
      <w:tr w:rsidR="00B03921" w:rsidRPr="00CB50A4" w:rsidTr="00016914">
        <w:trPr>
          <w:tblHeader/>
        </w:trPr>
        <w:tc>
          <w:tcPr>
            <w:tcW w:w="2586"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heading"/>
              <w:rPr>
                <w:rFonts w:eastAsiaTheme="minorEastAsia"/>
                <w:lang w:eastAsia="en-AU"/>
              </w:rPr>
            </w:pPr>
            <w:r w:rsidRPr="00CB50A4">
              <w:rPr>
                <w:rFonts w:eastAsiaTheme="minorEastAsia"/>
                <w:lang w:eastAsia="en-AU"/>
              </w:rPr>
              <w:t>Land, buildings, infrastructure,</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plant and equipment</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revaluation surplus</w:t>
            </w:r>
          </w:p>
        </w:tc>
        <w:tc>
          <w:tcPr>
            <w:tcW w:w="2587"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Other </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reserves</w:t>
            </w:r>
          </w:p>
        </w:tc>
        <w:tc>
          <w:tcPr>
            <w:tcW w:w="2587"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Total</w:t>
            </w:r>
          </w:p>
        </w:tc>
      </w:tr>
      <w:tr w:rsidR="001E6158" w:rsidRPr="00CB50A4" w:rsidTr="008079E9">
        <w:tc>
          <w:tcPr>
            <w:tcW w:w="7760" w:type="dxa"/>
            <w:gridSpan w:val="3"/>
            <w:tcBorders>
              <w:top w:val="single" w:sz="6" w:space="0" w:color="auto"/>
              <w:left w:val="nil"/>
              <w:bottom w:val="nil"/>
              <w:right w:val="nil"/>
            </w:tcBorders>
          </w:tcPr>
          <w:p w:rsidR="001E6158" w:rsidRPr="00CB50A4" w:rsidRDefault="001E6158" w:rsidP="00016914">
            <w:pPr>
              <w:pStyle w:val="TableofFigures"/>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34 576.1</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339.6</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72 973.2</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(210.1)</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(265.6)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sidRPr="00CB50A4">
              <w:rPr>
                <w:rFonts w:eastAsiaTheme="minorEastAsia"/>
                <w:lang w:eastAsia="en-AU"/>
              </w:rPr>
              <w:t>2 743.3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28.8</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2 793.9</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2 445.4</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37 319.3</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368.5</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77 736.8</w:t>
            </w:r>
          </w:p>
        </w:tc>
      </w:tr>
      <w:tr w:rsidR="001E6158" w:rsidRPr="00CB50A4" w:rsidTr="008079E9">
        <w:tc>
          <w:tcPr>
            <w:tcW w:w="7760" w:type="dxa"/>
            <w:gridSpan w:val="3"/>
            <w:tcBorders>
              <w:top w:val="nil"/>
              <w:left w:val="nil"/>
              <w:bottom w:val="nil"/>
              <w:right w:val="nil"/>
            </w:tcBorders>
          </w:tcPr>
          <w:p w:rsidR="001E6158" w:rsidRPr="00CB50A4" w:rsidRDefault="001E6158" w:rsidP="00016914">
            <w:pPr>
              <w:pStyle w:val="TableofFigures"/>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37 319.3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368.5</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77 736.8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4 092.6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(215.6)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830.3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64.7</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1 436.9</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(5 157.5</w:t>
            </w:r>
            <w:r w:rsidRPr="00CB50A4">
              <w:rPr>
                <w:rFonts w:eastAsiaTheme="minorEastAsia" w:cs="Calibri"/>
                <w:color w:val="000000"/>
                <w:sz w:val="18"/>
                <w:lang w:eastAsia="en-AU"/>
              </w:rPr>
              <w:t>)</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38 149.7</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433.2</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77 893.2</w:t>
            </w:r>
          </w:p>
        </w:tc>
      </w:tr>
      <w:tr w:rsidR="001E6158" w:rsidRPr="00CB50A4" w:rsidTr="008079E9">
        <w:tc>
          <w:tcPr>
            <w:tcW w:w="7760" w:type="dxa"/>
            <w:gridSpan w:val="3"/>
            <w:tcBorders>
              <w:top w:val="nil"/>
              <w:left w:val="nil"/>
              <w:bottom w:val="nil"/>
              <w:right w:val="nil"/>
            </w:tcBorders>
          </w:tcPr>
          <w:p w:rsidR="001E6158" w:rsidRPr="00CB50A4" w:rsidRDefault="001E6158" w:rsidP="00016914">
            <w:pPr>
              <w:pStyle w:val="TableofFigures"/>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38 149.7</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433.2</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77 893.2</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(258.0)</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(195.6)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Pr>
                <w:rFonts w:eastAsiaTheme="minorEastAsia"/>
                <w:lang w:eastAsia="en-AU"/>
              </w:rPr>
              <w:t>(4.3)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40.3</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(59.6)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1 999.8</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38 145.4</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473.5</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79 379.8</w:t>
            </w:r>
          </w:p>
        </w:tc>
      </w:tr>
      <w:tr w:rsidR="001E6158" w:rsidRPr="00CB50A4" w:rsidTr="008079E9">
        <w:tc>
          <w:tcPr>
            <w:tcW w:w="7760" w:type="dxa"/>
            <w:gridSpan w:val="3"/>
            <w:tcBorders>
              <w:top w:val="nil"/>
              <w:left w:val="nil"/>
              <w:bottom w:val="nil"/>
              <w:right w:val="nil"/>
            </w:tcBorders>
          </w:tcPr>
          <w:p w:rsidR="001E6158" w:rsidRPr="00CB50A4" w:rsidRDefault="001E6158" w:rsidP="00016914">
            <w:pPr>
              <w:pStyle w:val="TableofFigures"/>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38 145.4</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473.5</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79 379.8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(136.0)</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(182.7)</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Pr>
                <w:rFonts w:eastAsiaTheme="minorEastAsia"/>
                <w:lang w:eastAsia="en-AU"/>
              </w:rPr>
              <w:t>(8.0)</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44.7</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(14.8)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2 099.5</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38 137.4</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518.2</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81 145.8</w:t>
            </w:r>
          </w:p>
        </w:tc>
      </w:tr>
      <w:tr w:rsidR="001E6158" w:rsidRPr="00CB50A4" w:rsidTr="008079E9">
        <w:tc>
          <w:tcPr>
            <w:tcW w:w="7760" w:type="dxa"/>
            <w:gridSpan w:val="3"/>
            <w:tcBorders>
              <w:top w:val="nil"/>
              <w:left w:val="nil"/>
              <w:bottom w:val="nil"/>
              <w:right w:val="nil"/>
            </w:tcBorders>
          </w:tcPr>
          <w:p w:rsidR="001E6158" w:rsidRPr="00CB50A4" w:rsidRDefault="001E6158" w:rsidP="00016914">
            <w:pPr>
              <w:pStyle w:val="TableofFigures"/>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38 137.4</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518.2</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81 145.8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(152.4)</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(216.6)</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Pr>
                <w:rFonts w:eastAsiaTheme="minorEastAsia"/>
                <w:lang w:eastAsia="en-AU"/>
              </w:rPr>
              <w:t>(7.7)</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40.0</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(20.6)</w:t>
            </w:r>
          </w:p>
        </w:tc>
      </w:tr>
      <w:tr w:rsidR="00B03921" w:rsidRPr="00CB50A4" w:rsidTr="00016914">
        <w:tc>
          <w:tcPr>
            <w:tcW w:w="2586" w:type="dxa"/>
            <w:tcBorders>
              <w:top w:val="nil"/>
              <w:left w:val="nil"/>
              <w:bottom w:val="single" w:sz="6" w:space="0" w:color="auto"/>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2 150.8</w:t>
            </w:r>
          </w:p>
        </w:tc>
      </w:tr>
      <w:tr w:rsidR="00B03921" w:rsidRPr="00CB50A4" w:rsidTr="00016914">
        <w:tc>
          <w:tcPr>
            <w:tcW w:w="258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38 129.7</w:t>
            </w:r>
          </w:p>
        </w:tc>
        <w:tc>
          <w:tcPr>
            <w:tcW w:w="258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558.3</w:t>
            </w:r>
          </w:p>
        </w:tc>
        <w:tc>
          <w:tcPr>
            <w:tcW w:w="258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82 906.9</w:t>
            </w:r>
          </w:p>
        </w:tc>
      </w:tr>
    </w:tbl>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2.5:</w:t>
      </w:r>
      <w:r>
        <w:tab/>
        <w:t>Derivation of public non</w:t>
      </w:r>
      <w:r>
        <w:noBreakHyphen/>
        <w:t>financial corporations sector GFS cash surplus/(deficit)</w:t>
      </w:r>
    </w:p>
    <w:p w:rsidR="00B03921" w:rsidRPr="00CB50A4"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sz w:val="19"/>
                <w:lang w:eastAsia="en-AU"/>
              </w:rPr>
            </w:pPr>
            <w:r w:rsidRPr="00CB50A4">
              <w:rPr>
                <w:rFonts w:eastAsiaTheme="minorEastAsia"/>
                <w:sz w:val="19"/>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sz w:val="19"/>
                <w:lang w:eastAsia="en-AU"/>
              </w:rPr>
            </w:pPr>
            <w:r w:rsidRPr="00CB50A4">
              <w:rPr>
                <w:rFonts w:eastAsiaTheme="minorEastAsia"/>
                <w:color w:val="FFFFFF"/>
                <w:sz w:val="19"/>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sz w:val="19"/>
                <w:lang w:eastAsia="en-AU"/>
              </w:rPr>
            </w:pPr>
            <w:r w:rsidRPr="00CB50A4">
              <w:rPr>
                <w:rFonts w:eastAsiaTheme="minorEastAsia"/>
                <w:color w:val="FFFFFF"/>
                <w:sz w:val="19"/>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sz w:val="19"/>
                <w:lang w:eastAsia="en-AU"/>
              </w:rPr>
            </w:pPr>
            <w:r w:rsidRPr="00CB50A4">
              <w:rPr>
                <w:rFonts w:eastAsiaTheme="minorEastAsia"/>
                <w:color w:val="FFFFFF"/>
                <w:sz w:val="19"/>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sz w:val="19"/>
                <w:lang w:eastAsia="en-AU"/>
              </w:rPr>
            </w:pPr>
            <w:r w:rsidRPr="00CB50A4">
              <w:rPr>
                <w:rFonts w:eastAsiaTheme="minorEastAsia"/>
                <w:color w:val="FFFFFF"/>
                <w:sz w:val="19"/>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sz w:val="19"/>
                <w:lang w:eastAsia="en-AU"/>
              </w:rPr>
            </w:pPr>
            <w:r w:rsidRPr="00CB50A4">
              <w:rPr>
                <w:rFonts w:eastAsiaTheme="minorEastAsia"/>
                <w:color w:val="FFFFFF"/>
                <w:sz w:val="19"/>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b/>
                <w:bCs/>
                <w:sz w:val="19"/>
                <w:lang w:eastAsia="en-AU"/>
              </w:rPr>
            </w:pPr>
            <w:r w:rsidRPr="00CB50A4">
              <w:rPr>
                <w:rFonts w:eastAsiaTheme="minorEastAsia"/>
                <w:b/>
                <w:bCs/>
                <w:sz w:val="19"/>
                <w:lang w:eastAsia="en-AU"/>
              </w:rPr>
              <w:t>Cash surplus/(deficit)</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sz w:val="19"/>
                <w:lang w:eastAsia="en-AU"/>
              </w:rPr>
            </w:pPr>
            <w:r>
              <w:rPr>
                <w:rFonts w:eastAsiaTheme="minorEastAsia"/>
                <w:b/>
                <w:bCs/>
                <w:sz w:val="19"/>
                <w:lang w:eastAsia="en-AU"/>
              </w:rPr>
              <w:t xml:space="preserve"> (1 287.8</w:t>
            </w:r>
            <w:r w:rsidRPr="00CB50A4">
              <w:rPr>
                <w:rFonts w:eastAsiaTheme="minorEastAsia"/>
                <w:b/>
                <w:bCs/>
                <w:sz w:val="19"/>
                <w:lang w:eastAsia="en-AU"/>
              </w:rPr>
              <w:t>)</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sz w:val="19"/>
                <w:lang w:eastAsia="en-AU"/>
              </w:rPr>
            </w:pPr>
            <w:r w:rsidRPr="00CB50A4">
              <w:rPr>
                <w:rFonts w:eastAsiaTheme="minorEastAsia"/>
                <w:b/>
                <w:bCs/>
                <w:sz w:val="19"/>
                <w:lang w:eastAsia="en-AU"/>
              </w:rPr>
              <w:t>5 857.7</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(497.5)</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(267.9)</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(380.6)</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sz w:val="19"/>
                <w:lang w:eastAsia="en-AU"/>
              </w:rPr>
            </w:pPr>
            <w:r w:rsidRPr="00CB50A4">
              <w:rPr>
                <w:rFonts w:eastAsiaTheme="minorEastAsia"/>
                <w:sz w:val="19"/>
                <w:lang w:eastAsia="en-AU"/>
              </w:rPr>
              <w:t>Convergence differences: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sz w:val="19"/>
                <w:vertAlign w:val="superscript"/>
                <w:lang w:eastAsia="en-AU"/>
              </w:rPr>
            </w:pPr>
            <w:r w:rsidRPr="00CB50A4">
              <w:rPr>
                <w:rFonts w:eastAsiaTheme="minorEastAsia"/>
                <w:sz w:val="19"/>
                <w:lang w:eastAsia="en-AU"/>
              </w:rPr>
              <w:t>Acquisitions under finance leases and similar arrangements</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sz w:val="19"/>
                <w:lang w:eastAsia="en-AU"/>
              </w:rPr>
            </w:pPr>
            <w:r w:rsidRPr="00CB50A4">
              <w:rPr>
                <w:rFonts w:eastAsiaTheme="minorEastAsia"/>
                <w:sz w:val="19"/>
                <w:lang w:eastAsia="en-AU"/>
              </w:rPr>
              <w:t xml:space="preserve"> ..</w:t>
            </w:r>
          </w:p>
        </w:tc>
      </w:tr>
      <w:tr w:rsidR="00B03921" w:rsidRPr="00CB50A4" w:rsidTr="00016914">
        <w:tc>
          <w:tcPr>
            <w:tcW w:w="2790"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sz w:val="19"/>
                <w:vertAlign w:val="superscript"/>
                <w:lang w:eastAsia="en-AU"/>
              </w:rPr>
            </w:pPr>
            <w:r w:rsidRPr="00CB50A4">
              <w:rPr>
                <w:rFonts w:eastAsiaTheme="minorEastAsia"/>
                <w:b/>
                <w:bCs/>
                <w:sz w:val="19"/>
                <w:lang w:eastAsia="en-AU"/>
              </w:rPr>
              <w:t>GFS cash surplus/(deficit)</w:t>
            </w:r>
            <w:r w:rsidRPr="00CB50A4">
              <w:rPr>
                <w:rFonts w:eastAsiaTheme="minorEastAsia"/>
                <w:b/>
                <w:bCs/>
                <w:sz w:val="19"/>
                <w:vertAlign w:val="superscript"/>
                <w:lang w:eastAsia="en-AU"/>
              </w:rPr>
              <w:t>(a)</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sz w:val="19"/>
                <w:lang w:eastAsia="en-AU"/>
              </w:rPr>
            </w:pPr>
            <w:r>
              <w:rPr>
                <w:rFonts w:eastAsiaTheme="minorEastAsia"/>
                <w:b/>
                <w:bCs/>
                <w:sz w:val="19"/>
                <w:lang w:eastAsia="en-AU"/>
              </w:rPr>
              <w:t xml:space="preserve"> (1 287.8</w:t>
            </w:r>
            <w:r w:rsidRPr="00CB50A4">
              <w:rPr>
                <w:rFonts w:eastAsiaTheme="minorEastAsia"/>
                <w:b/>
                <w:bCs/>
                <w:sz w:val="19"/>
                <w:lang w:eastAsia="en-AU"/>
              </w:rPr>
              <w:t>)</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sz w:val="19"/>
                <w:lang w:eastAsia="en-AU"/>
              </w:rPr>
            </w:pPr>
            <w:r w:rsidRPr="00CB50A4">
              <w:rPr>
                <w:rFonts w:eastAsiaTheme="minorEastAsia"/>
                <w:b/>
                <w:bCs/>
                <w:sz w:val="19"/>
                <w:lang w:eastAsia="en-AU"/>
              </w:rPr>
              <w:t>5 857.7</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(497.5)</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(267.9)</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sz w:val="19"/>
                <w:lang w:eastAsia="en-AU"/>
              </w:rPr>
              <w:t>(380.6)</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(a)</w:t>
      </w:r>
      <w:r>
        <w:tab/>
        <w:t>Determined in accordance with the ABS GFS manual.</w:t>
      </w:r>
    </w:p>
    <w:p w:rsidR="00B03921" w:rsidRDefault="00B03921" w:rsidP="00016914">
      <w:pPr>
        <w:pStyle w:val="BodyText"/>
      </w:pPr>
    </w:p>
    <w:p w:rsidR="00B03921" w:rsidRDefault="00B03921" w:rsidP="00016914">
      <w:pPr>
        <w:pStyle w:val="BodyText"/>
      </w:pPr>
    </w:p>
    <w:p w:rsidR="00B03921" w:rsidRDefault="00B03921" w:rsidP="00016914">
      <w:pPr>
        <w:pStyle w:val="Tableheading"/>
        <w:rPr>
          <w:vertAlign w:val="superscript"/>
        </w:rPr>
      </w:pPr>
      <w:r>
        <w:t>Table 2.6:</w:t>
      </w:r>
      <w:r>
        <w:tab/>
        <w:t>Net acquisition of non</w:t>
      </w:r>
      <w:r>
        <w:noBreakHyphen/>
        <w:t>financial assets – public non</w:t>
      </w:r>
      <w:r>
        <w:noBreakHyphen/>
        <w:t>financial corporations sector</w:t>
      </w:r>
      <w:r w:rsidRPr="00EF2A62">
        <w:rPr>
          <w:vertAlign w:val="superscript"/>
        </w:rPr>
        <w:t>(a)</w:t>
      </w:r>
    </w:p>
    <w:p w:rsidR="00B03921" w:rsidRPr="00CB50A4" w:rsidRDefault="00B03921" w:rsidP="00016914">
      <w:pPr>
        <w:pStyle w:val="million"/>
        <w:rPr>
          <w:rFonts w:ascii="Times New Roman" w:hAnsi="Times New Roman"/>
          <w:i w:val="0"/>
          <w:sz w:val="20"/>
          <w:szCs w:val="20"/>
          <w:lang w:eastAsia="en-AU"/>
        </w:rPr>
      </w:pPr>
      <w:r w:rsidRPr="00F401D4">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i/>
                <w:lang w:eastAsia="en-AU"/>
              </w:rPr>
            </w:pPr>
            <w:r w:rsidRPr="00CB50A4">
              <w:rPr>
                <w:rFonts w:eastAsiaTheme="minorEastAsia"/>
                <w:i/>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Purchases of non-financial assets less sales of non</w:t>
            </w:r>
            <w:r>
              <w:rPr>
                <w:rFonts w:eastAsiaTheme="minorEastAsia"/>
                <w:lang w:eastAsia="en-AU"/>
              </w:rPr>
              <w:noBreakHyphen/>
            </w:r>
            <w:r w:rsidRPr="00CB50A4">
              <w:rPr>
                <w:rFonts w:eastAsiaTheme="minorEastAsia" w:cs="Calibri"/>
                <w:color w:val="000000"/>
                <w:lang w:eastAsia="en-AU"/>
              </w:rPr>
              <w:t>financial assets</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2 456.7</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(4 423.6)</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1 851.3</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1 654.9</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1 959.6</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depreciation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(1 977.5)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(2 129.7)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(2 234.3)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(2 257.7)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(2 364.8)</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Plus: other movements in </w:t>
            </w:r>
            <w:r>
              <w:rPr>
                <w:rFonts w:eastAsiaTheme="minorEastAsia"/>
                <w:lang w:eastAsia="en-AU"/>
              </w:rPr>
              <w:br/>
            </w:r>
            <w:r w:rsidRPr="00CB50A4">
              <w:rPr>
                <w:rFonts w:eastAsiaTheme="minorEastAsia"/>
                <w:lang w:eastAsia="en-AU"/>
              </w:rPr>
              <w:t>non-financial assets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1 475.5</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1 457.6</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1 956.0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2 077.6</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2 167.2</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 xml:space="preserve">Total net acquisition of </w:t>
            </w:r>
            <w:r>
              <w:rPr>
                <w:rFonts w:eastAsiaTheme="minorEastAsia"/>
                <w:b/>
                <w:bCs/>
                <w:lang w:eastAsia="en-AU"/>
              </w:rPr>
              <w:br/>
            </w:r>
            <w:r w:rsidRPr="00CB50A4">
              <w:rPr>
                <w:rFonts w:eastAsiaTheme="minorEastAsia"/>
                <w:b/>
                <w:bCs/>
                <w:lang w:eastAsia="en-AU"/>
              </w:rPr>
              <w:t>non-financial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1 954.8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(5 095.6)</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1 572.9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1 474.8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1 762.0</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BodyText"/>
      </w:pP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rPr>
          <w:vertAlign w:val="superscript"/>
        </w:rPr>
      </w:pPr>
      <w:r>
        <w:t>Table 2.7:</w:t>
      </w:r>
      <w:r>
        <w:tab/>
        <w:t>Non</w:t>
      </w:r>
      <w:r>
        <w:noBreakHyphen/>
        <w:t>financial public sector comprehensive operating statement for the financial year ending 30 June</w:t>
      </w:r>
      <w:r w:rsidRPr="00EF2A62">
        <w:rPr>
          <w:vertAlign w:val="superscript"/>
        </w:rPr>
        <w:t>(a)</w:t>
      </w:r>
    </w:p>
    <w:p w:rsidR="00B03921" w:rsidRPr="00CB50A4" w:rsidRDefault="00B03921" w:rsidP="00016914">
      <w:pPr>
        <w:pStyle w:val="million"/>
        <w:rPr>
          <w:rFonts w:ascii="Times New Roman" w:hAnsi="Times New Roman"/>
          <w:sz w:val="20"/>
          <w:lang w:eastAsia="en-AU"/>
        </w:rPr>
      </w:pPr>
      <w:r w:rsidRPr="00F401D4">
        <w:t>($ million)</w:t>
      </w:r>
    </w:p>
    <w:tbl>
      <w:tblPr>
        <w:tblW w:w="7763" w:type="dxa"/>
        <w:tblInd w:w="28" w:type="dxa"/>
        <w:tblLayout w:type="fixed"/>
        <w:tblCellMar>
          <w:left w:w="45" w:type="dxa"/>
          <w:right w:w="45" w:type="dxa"/>
        </w:tblCellMar>
        <w:tblLook w:val="0000" w:firstRow="0" w:lastRow="0" w:firstColumn="0" w:lastColumn="0" w:noHBand="0" w:noVBand="0"/>
      </w:tblPr>
      <w:tblGrid>
        <w:gridCol w:w="3270"/>
        <w:gridCol w:w="898"/>
        <w:gridCol w:w="898"/>
        <w:gridCol w:w="898"/>
        <w:gridCol w:w="898"/>
        <w:gridCol w:w="901"/>
      </w:tblGrid>
      <w:tr w:rsidR="00B03921" w:rsidRPr="00CB50A4" w:rsidTr="00BF54C7">
        <w:trPr>
          <w:tblHeader/>
        </w:trPr>
        <w:tc>
          <w:tcPr>
            <w:tcW w:w="3270" w:type="dxa"/>
            <w:tcBorders>
              <w:top w:val="single" w:sz="6" w:space="0" w:color="000000"/>
              <w:left w:val="single" w:sz="6" w:space="0" w:color="000000"/>
              <w:bottom w:val="single" w:sz="6" w:space="0" w:color="000000"/>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898" w:type="dxa"/>
            <w:tcBorders>
              <w:top w:val="single" w:sz="6" w:space="0" w:color="000000"/>
              <w:left w:val="nil"/>
              <w:bottom w:val="single" w:sz="6" w:space="0" w:color="000000"/>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898" w:type="dxa"/>
            <w:tcBorders>
              <w:top w:val="single" w:sz="6" w:space="0" w:color="000000"/>
              <w:left w:val="nil"/>
              <w:bottom w:val="single" w:sz="6" w:space="0" w:color="000000"/>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budget</w:t>
            </w:r>
          </w:p>
        </w:tc>
        <w:tc>
          <w:tcPr>
            <w:tcW w:w="898" w:type="dxa"/>
            <w:tcBorders>
              <w:top w:val="single" w:sz="6" w:space="0" w:color="000000"/>
              <w:left w:val="nil"/>
              <w:bottom w:val="single" w:sz="6" w:space="0" w:color="000000"/>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898" w:type="dxa"/>
            <w:tcBorders>
              <w:top w:val="single" w:sz="6" w:space="0" w:color="000000"/>
              <w:left w:val="nil"/>
              <w:bottom w:val="single" w:sz="6" w:space="0" w:color="000000"/>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01" w:type="dxa"/>
            <w:tcBorders>
              <w:top w:val="single" w:sz="6" w:space="0" w:color="000000"/>
              <w:left w:val="nil"/>
              <w:bottom w:val="single" w:sz="6" w:space="0" w:color="000000"/>
              <w:right w:val="single" w:sz="6" w:space="0" w:color="000000"/>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F54C7" w:rsidRPr="00CB50A4" w:rsidTr="008079E9">
        <w:tc>
          <w:tcPr>
            <w:tcW w:w="7763" w:type="dxa"/>
            <w:gridSpan w:val="6"/>
            <w:tcBorders>
              <w:top w:val="single" w:sz="6" w:space="0" w:color="000000"/>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 xml:space="preserve">Revenue from transactions </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Taxation revenue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17 861.2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18 595.0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19 567.1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20 148.4</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21 064.8</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revenue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363.6</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369.7</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387.0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414.9</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425.5</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Dividends and income tax equivalent and rate equivalent revenue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696.9</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831.3</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744.1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746.2</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735.6</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Sales of goods and services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10 533.1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10 654.2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10 595.4</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10 912.3</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11 269.5</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Grants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24 585.7</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25 580.8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26 092.9</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27 510.5</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28 608.4</w:t>
            </w:r>
          </w:p>
        </w:tc>
      </w:tr>
      <w:tr w:rsidR="00B03921" w:rsidRPr="00CB50A4" w:rsidTr="00BF54C7">
        <w:tc>
          <w:tcPr>
            <w:tcW w:w="327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revenue</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2 786.1</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2 591.6</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2 686.2</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2 686.0</w:t>
            </w:r>
          </w:p>
        </w:tc>
        <w:tc>
          <w:tcPr>
            <w:tcW w:w="901"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2 758.3</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revenue from transactions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56 826.6</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58 622.6</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60 072.8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62 418.3</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64 862.1</w:t>
            </w:r>
          </w:p>
        </w:tc>
      </w:tr>
      <w:tr w:rsidR="00BF54C7" w:rsidRPr="00CB50A4" w:rsidTr="008079E9">
        <w:tc>
          <w:tcPr>
            <w:tcW w:w="7763"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 xml:space="preserve">Expenses from transactions </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expenses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19 504.8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20 939.5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21 612.2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22 560.5</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23 432.4</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superannuation interest expense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1 038.0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886.5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859.5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831.5</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798.2</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superannuation</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1 951.9</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2 191.8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2 198.7</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2 216.7</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2 243.4</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Depreciation</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4 474.9</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4 706.5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4 956.0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5 137.9</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5 510.9</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expense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2 757.0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2 752.8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2 745.2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2 808.3</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2 787.5</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cs="Calibri"/>
                <w:lang w:eastAsia="en-AU"/>
              </w:rPr>
            </w:pPr>
            <w:r w:rsidRPr="00CB50A4">
              <w:rPr>
                <w:rFonts w:eastAsiaTheme="minorEastAsia"/>
                <w:lang w:eastAsia="en-AU"/>
              </w:rPr>
              <w:t xml:space="preserve">Grants and other </w:t>
            </w:r>
            <w:r w:rsidRPr="00CB50A4">
              <w:rPr>
                <w:rFonts w:eastAsiaTheme="minorEastAsia" w:cs="Calibri"/>
                <w:lang w:eastAsia="en-AU"/>
              </w:rPr>
              <w:t>transfers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5 576.3</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5 822.4</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6 169.4</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6 503.0</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6 805.6</w:t>
            </w:r>
          </w:p>
        </w:tc>
      </w:tr>
      <w:tr w:rsidR="00B03921" w:rsidRPr="00CB50A4" w:rsidTr="00BF54C7">
        <w:tc>
          <w:tcPr>
            <w:tcW w:w="327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operating expenses</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21 291.1</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20 862.7</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20 816.0</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21 567.8</w:t>
            </w:r>
          </w:p>
        </w:tc>
        <w:tc>
          <w:tcPr>
            <w:tcW w:w="901"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22 054.9</w:t>
            </w:r>
          </w:p>
        </w:tc>
      </w:tr>
      <w:tr w:rsidR="00B03921" w:rsidRPr="00CB50A4" w:rsidTr="00BF54C7">
        <w:tc>
          <w:tcPr>
            <w:tcW w:w="327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expenses from transactions</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56 594.2</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58 162.4</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59 356.9</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61 625.6</w:t>
            </w:r>
          </w:p>
        </w:tc>
        <w:tc>
          <w:tcPr>
            <w:tcW w:w="90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63 632.8</w:t>
            </w:r>
          </w:p>
        </w:tc>
      </w:tr>
      <w:tr w:rsidR="00B03921" w:rsidRPr="00CB50A4" w:rsidTr="00BF54C7">
        <w:tc>
          <w:tcPr>
            <w:tcW w:w="3270" w:type="dxa"/>
            <w:tcBorders>
              <w:top w:val="single" w:sz="12" w:space="0" w:color="000000"/>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result from transactions – net operating balance</w:t>
            </w:r>
          </w:p>
        </w:tc>
        <w:tc>
          <w:tcPr>
            <w:tcW w:w="898"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232.4</w:t>
            </w:r>
          </w:p>
        </w:tc>
        <w:tc>
          <w:tcPr>
            <w:tcW w:w="898"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460.2</w:t>
            </w:r>
          </w:p>
        </w:tc>
        <w:tc>
          <w:tcPr>
            <w:tcW w:w="898"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716.0</w:t>
            </w:r>
          </w:p>
        </w:tc>
        <w:tc>
          <w:tcPr>
            <w:tcW w:w="898"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792.7</w:t>
            </w:r>
          </w:p>
        </w:tc>
        <w:tc>
          <w:tcPr>
            <w:tcW w:w="901"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1 229.3</w:t>
            </w:r>
          </w:p>
        </w:tc>
      </w:tr>
      <w:tr w:rsidR="00B03921" w:rsidRPr="00CB50A4" w:rsidTr="00BF54C7">
        <w:tc>
          <w:tcPr>
            <w:tcW w:w="3270" w:type="dxa"/>
            <w:tcBorders>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other economic flows included in net result</w:t>
            </w:r>
          </w:p>
        </w:tc>
        <w:tc>
          <w:tcPr>
            <w:tcW w:w="898"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(343.0)</w:t>
            </w:r>
          </w:p>
        </w:tc>
        <w:tc>
          <w:tcPr>
            <w:tcW w:w="898"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3 831.3</w:t>
            </w:r>
          </w:p>
        </w:tc>
        <w:tc>
          <w:tcPr>
            <w:tcW w:w="898"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(273.1)</w:t>
            </w:r>
          </w:p>
        </w:tc>
        <w:tc>
          <w:tcPr>
            <w:tcW w:w="898"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(241.9)</w:t>
            </w:r>
          </w:p>
        </w:tc>
        <w:tc>
          <w:tcPr>
            <w:tcW w:w="901"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(291.6)</w:t>
            </w:r>
          </w:p>
        </w:tc>
      </w:tr>
      <w:tr w:rsidR="00B03921" w:rsidRPr="00CB50A4" w:rsidTr="00BF54C7">
        <w:tc>
          <w:tcPr>
            <w:tcW w:w="327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result</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(110.6)</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4 291.5</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442.8</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550.7</w:t>
            </w:r>
          </w:p>
        </w:tc>
        <w:tc>
          <w:tcPr>
            <w:tcW w:w="90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937.7</w:t>
            </w:r>
          </w:p>
        </w:tc>
      </w:tr>
      <w:tr w:rsidR="00BF54C7" w:rsidRPr="00CB50A4" w:rsidTr="008079E9">
        <w:tc>
          <w:tcPr>
            <w:tcW w:w="7763" w:type="dxa"/>
            <w:gridSpan w:val="6"/>
            <w:tcBorders>
              <w:top w:val="single" w:sz="12" w:space="0" w:color="000000"/>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Other economic flows – other comprehensive income</w:t>
            </w:r>
          </w:p>
        </w:tc>
      </w:tr>
      <w:tr w:rsidR="00BF54C7" w:rsidRPr="00CB50A4" w:rsidTr="008079E9">
        <w:tc>
          <w:tcPr>
            <w:tcW w:w="7763"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Items that will not be reclassified to net result</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Changes in non-financial assets revaluation surplus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8 533.3</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2 165.1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510.7</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9 493.6</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414.6</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Remeasurement of superannuation defined benefit plans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lang w:eastAsia="en-AU"/>
              </w:rPr>
            </w:pPr>
            <w:r w:rsidRPr="00CB50A4">
              <w:rPr>
                <w:rFonts w:eastAsiaTheme="minorEastAsia"/>
                <w:lang w:eastAsia="en-AU"/>
              </w:rPr>
              <w:t xml:space="preserve"> (4</w:t>
            </w:r>
            <w:r w:rsidRPr="00CB50A4">
              <w:rPr>
                <w:rFonts w:eastAsiaTheme="minorEastAsia" w:cs="Calibri"/>
                <w:lang w:eastAsia="en-AU"/>
              </w:rPr>
              <w:t xml:space="preserve"> 283.1)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958.2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990.8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1 023.0</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lang w:eastAsia="en-AU"/>
              </w:rPr>
            </w:pPr>
            <w:r w:rsidRPr="00CB50A4">
              <w:rPr>
                <w:rFonts w:eastAsiaTheme="minorEastAsia"/>
                <w:lang w:eastAsia="en-AU"/>
              </w:rPr>
              <w:t>1 058.6</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gain/(loss) on equity investments in other sector entities at proportional share of the carrying amount of net assets</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119.9</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135.2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110.7</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134.2</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movements in equity</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73.1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490.4</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98.8</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(4.0)</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10.7</w:t>
            </w:r>
          </w:p>
        </w:tc>
      </w:tr>
      <w:tr w:rsidR="00BF54C7" w:rsidRPr="00CB50A4" w:rsidTr="008079E9">
        <w:tc>
          <w:tcPr>
            <w:tcW w:w="7763"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 xml:space="preserve">Items that may be reclassified subsequently to net result </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gain/(loss) on financial assets at fair value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(3.1)</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28.5</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3.7</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0.4</w:t>
            </w:r>
          </w:p>
        </w:tc>
      </w:tr>
      <w:tr w:rsidR="00B03921" w:rsidRPr="00CB50A4" w:rsidTr="00BF54C7">
        <w:tc>
          <w:tcPr>
            <w:tcW w:w="327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other economic flows – other comprehensive income</w:t>
            </w:r>
          </w:p>
        </w:tc>
        <w:tc>
          <w:tcPr>
            <w:tcW w:w="89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4 440.1</w:t>
            </w:r>
          </w:p>
        </w:tc>
        <w:tc>
          <w:tcPr>
            <w:tcW w:w="89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3 719.7</w:t>
            </w:r>
          </w:p>
        </w:tc>
        <w:tc>
          <w:tcPr>
            <w:tcW w:w="89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1 739.2</w:t>
            </w:r>
          </w:p>
        </w:tc>
        <w:tc>
          <w:tcPr>
            <w:tcW w:w="89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10 625.7</w:t>
            </w:r>
          </w:p>
        </w:tc>
        <w:tc>
          <w:tcPr>
            <w:tcW w:w="901"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1 618.4</w:t>
            </w:r>
          </w:p>
        </w:tc>
      </w:tr>
      <w:tr w:rsidR="00B03921" w:rsidRPr="00CB50A4" w:rsidTr="00BF54C7">
        <w:tc>
          <w:tcPr>
            <w:tcW w:w="327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Comprehensive result – total change in net worth</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4 329.5</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8 011.2</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2 182.0</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11 176.4</w:t>
            </w:r>
          </w:p>
        </w:tc>
        <w:tc>
          <w:tcPr>
            <w:tcW w:w="90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2 556.1</w:t>
            </w:r>
          </w:p>
        </w:tc>
      </w:tr>
    </w:tbl>
    <w:p w:rsidR="00BF54C7" w:rsidRDefault="00BF54C7" w:rsidP="00BF54C7">
      <w:pPr>
        <w:pStyle w:val="Tableheadingcontinued"/>
      </w:pPr>
      <w:r>
        <w:t>Table 2.7:</w:t>
      </w:r>
      <w:r>
        <w:tab/>
        <w:t>Non</w:t>
      </w:r>
      <w:r>
        <w:noBreakHyphen/>
        <w:t>financial public sector comprehensive operating statement for the financial year ending 30 June</w:t>
      </w:r>
      <w:r w:rsidRPr="00BF54C7">
        <w:rPr>
          <w:vertAlign w:val="superscript"/>
        </w:rPr>
        <w:t>(a)</w:t>
      </w:r>
      <w:r>
        <w:t xml:space="preserve"> </w:t>
      </w:r>
      <w:r w:rsidRPr="00BF54C7">
        <w:rPr>
          <w:i/>
        </w:rPr>
        <w:t>(continued)</w:t>
      </w:r>
    </w:p>
    <w:p w:rsidR="00BF54C7" w:rsidRDefault="00BF54C7" w:rsidP="00BF54C7">
      <w:pPr>
        <w:pStyle w:val="million"/>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3270"/>
        <w:gridCol w:w="898"/>
        <w:gridCol w:w="898"/>
        <w:gridCol w:w="898"/>
        <w:gridCol w:w="898"/>
        <w:gridCol w:w="901"/>
      </w:tblGrid>
      <w:tr w:rsidR="00BF54C7" w:rsidRPr="00CB50A4" w:rsidTr="008079E9">
        <w:trPr>
          <w:tblHeader/>
        </w:trPr>
        <w:tc>
          <w:tcPr>
            <w:tcW w:w="3270" w:type="dxa"/>
            <w:tcBorders>
              <w:top w:val="single" w:sz="6" w:space="0" w:color="000000"/>
              <w:left w:val="single" w:sz="6" w:space="0" w:color="000000"/>
              <w:bottom w:val="single" w:sz="6" w:space="0" w:color="000000"/>
              <w:right w:val="nil"/>
            </w:tcBorders>
            <w:shd w:val="clear" w:color="000000" w:fill="000000"/>
          </w:tcPr>
          <w:p w:rsidR="00BF54C7" w:rsidRPr="00CB50A4" w:rsidRDefault="00BF54C7" w:rsidP="008079E9">
            <w:pPr>
              <w:pStyle w:val="Tabletext"/>
              <w:rPr>
                <w:rFonts w:eastAsiaTheme="minorEastAsia"/>
                <w:lang w:eastAsia="en-AU"/>
              </w:rPr>
            </w:pPr>
            <w:r w:rsidRPr="00CB50A4">
              <w:rPr>
                <w:rFonts w:eastAsiaTheme="minorEastAsia"/>
                <w:lang w:eastAsia="en-AU"/>
              </w:rPr>
              <w:t xml:space="preserve"> </w:t>
            </w:r>
          </w:p>
        </w:tc>
        <w:tc>
          <w:tcPr>
            <w:tcW w:w="898" w:type="dxa"/>
            <w:tcBorders>
              <w:top w:val="single" w:sz="6" w:space="0" w:color="000000"/>
              <w:left w:val="nil"/>
              <w:bottom w:val="single" w:sz="6" w:space="0" w:color="000000"/>
              <w:right w:val="nil"/>
            </w:tcBorders>
            <w:shd w:val="clear" w:color="000000" w:fill="000000"/>
          </w:tcPr>
          <w:p w:rsidR="00BF54C7" w:rsidRPr="00CB50A4" w:rsidRDefault="00BF54C7" w:rsidP="008079E9">
            <w:pPr>
              <w:pStyle w:val="Tabletextheading"/>
              <w:rPr>
                <w:rFonts w:eastAsiaTheme="minorEastAsia"/>
                <w:color w:val="FFFFFF"/>
                <w:lang w:eastAsia="en-AU"/>
              </w:rPr>
            </w:pPr>
            <w:r w:rsidRPr="00CB50A4">
              <w:rPr>
                <w:rFonts w:eastAsiaTheme="minorEastAsia"/>
                <w:color w:val="FFFFFF"/>
                <w:lang w:eastAsia="en-AU"/>
              </w:rPr>
              <w:t>2014-15 revised</w:t>
            </w:r>
          </w:p>
        </w:tc>
        <w:tc>
          <w:tcPr>
            <w:tcW w:w="898" w:type="dxa"/>
            <w:tcBorders>
              <w:top w:val="single" w:sz="6" w:space="0" w:color="000000"/>
              <w:left w:val="nil"/>
              <w:bottom w:val="single" w:sz="6" w:space="0" w:color="000000"/>
              <w:right w:val="nil"/>
            </w:tcBorders>
            <w:shd w:val="clear" w:color="000000" w:fill="000000"/>
          </w:tcPr>
          <w:p w:rsidR="00BF54C7" w:rsidRPr="00CB50A4" w:rsidRDefault="00BF54C7" w:rsidP="008079E9">
            <w:pPr>
              <w:pStyle w:val="Tabletextheading"/>
              <w:rPr>
                <w:rFonts w:eastAsiaTheme="minorEastAsia"/>
                <w:color w:val="FFFFFF"/>
                <w:lang w:eastAsia="en-AU"/>
              </w:rPr>
            </w:pPr>
            <w:r w:rsidRPr="00CB50A4">
              <w:rPr>
                <w:rFonts w:eastAsiaTheme="minorEastAsia"/>
                <w:color w:val="FFFFFF"/>
                <w:lang w:eastAsia="en-AU"/>
              </w:rPr>
              <w:t>2015-16 budget</w:t>
            </w:r>
          </w:p>
        </w:tc>
        <w:tc>
          <w:tcPr>
            <w:tcW w:w="898" w:type="dxa"/>
            <w:tcBorders>
              <w:top w:val="single" w:sz="6" w:space="0" w:color="000000"/>
              <w:left w:val="nil"/>
              <w:bottom w:val="single" w:sz="6" w:space="0" w:color="000000"/>
              <w:right w:val="nil"/>
            </w:tcBorders>
            <w:shd w:val="clear" w:color="000000" w:fill="000000"/>
          </w:tcPr>
          <w:p w:rsidR="00BF54C7" w:rsidRPr="00CB50A4" w:rsidRDefault="00BF54C7" w:rsidP="008079E9">
            <w:pPr>
              <w:pStyle w:val="Tabletextheading"/>
              <w:rPr>
                <w:rFonts w:eastAsiaTheme="minorEastAsia"/>
                <w:color w:val="FFFFFF"/>
                <w:lang w:eastAsia="en-AU"/>
              </w:rPr>
            </w:pPr>
            <w:r w:rsidRPr="00CB50A4">
              <w:rPr>
                <w:rFonts w:eastAsiaTheme="minorEastAsia"/>
                <w:color w:val="FFFFFF"/>
                <w:lang w:eastAsia="en-AU"/>
              </w:rPr>
              <w:t>2016-17 estimate</w:t>
            </w:r>
          </w:p>
        </w:tc>
        <w:tc>
          <w:tcPr>
            <w:tcW w:w="898" w:type="dxa"/>
            <w:tcBorders>
              <w:top w:val="single" w:sz="6" w:space="0" w:color="000000"/>
              <w:left w:val="nil"/>
              <w:bottom w:val="single" w:sz="6" w:space="0" w:color="000000"/>
              <w:right w:val="nil"/>
            </w:tcBorders>
            <w:shd w:val="clear" w:color="000000" w:fill="000000"/>
          </w:tcPr>
          <w:p w:rsidR="00BF54C7" w:rsidRPr="00CB50A4" w:rsidRDefault="00BF54C7" w:rsidP="008079E9">
            <w:pPr>
              <w:pStyle w:val="Tabletextheading"/>
              <w:rPr>
                <w:rFonts w:eastAsiaTheme="minorEastAsia"/>
                <w:color w:val="FFFFFF"/>
                <w:lang w:eastAsia="en-AU"/>
              </w:rPr>
            </w:pPr>
            <w:r w:rsidRPr="00CB50A4">
              <w:rPr>
                <w:rFonts w:eastAsiaTheme="minorEastAsia"/>
                <w:color w:val="FFFFFF"/>
                <w:lang w:eastAsia="en-AU"/>
              </w:rPr>
              <w:t>2017-18 estimate</w:t>
            </w:r>
          </w:p>
        </w:tc>
        <w:tc>
          <w:tcPr>
            <w:tcW w:w="901" w:type="dxa"/>
            <w:tcBorders>
              <w:top w:val="single" w:sz="6" w:space="0" w:color="000000"/>
              <w:left w:val="nil"/>
              <w:bottom w:val="single" w:sz="6" w:space="0" w:color="000000"/>
              <w:right w:val="single" w:sz="6" w:space="0" w:color="000000"/>
            </w:tcBorders>
            <w:shd w:val="clear" w:color="000000" w:fill="000000"/>
          </w:tcPr>
          <w:p w:rsidR="00BF54C7" w:rsidRPr="00CB50A4" w:rsidRDefault="00BF54C7" w:rsidP="008079E9">
            <w:pPr>
              <w:pStyle w:val="Tabletextheading"/>
              <w:rPr>
                <w:rFonts w:eastAsiaTheme="minorEastAsia"/>
                <w:color w:val="FFFFFF"/>
                <w:lang w:eastAsia="en-AU"/>
              </w:rPr>
            </w:pPr>
            <w:r w:rsidRPr="00CB50A4">
              <w:rPr>
                <w:rFonts w:eastAsiaTheme="minorEastAsia"/>
                <w:color w:val="FFFFFF"/>
                <w:lang w:eastAsia="en-AU"/>
              </w:rPr>
              <w:t>2018-19 estimate</w:t>
            </w:r>
          </w:p>
        </w:tc>
      </w:tr>
      <w:tr w:rsidR="00BF54C7" w:rsidRPr="00CB50A4" w:rsidTr="008079E9">
        <w:tc>
          <w:tcPr>
            <w:tcW w:w="7763" w:type="dxa"/>
            <w:gridSpan w:val="6"/>
            <w:tcBorders>
              <w:top w:val="single" w:sz="12" w:space="0" w:color="000000"/>
              <w:left w:val="nil"/>
              <w:bottom w:val="nil"/>
              <w:right w:val="nil"/>
            </w:tcBorders>
            <w:shd w:val="solid" w:color="FFFFFF" w:fill="auto"/>
          </w:tcPr>
          <w:p w:rsidR="00BF54C7" w:rsidRPr="00CB50A4" w:rsidRDefault="00BF54C7" w:rsidP="00BF54C7">
            <w:pPr>
              <w:pStyle w:val="Tabletext"/>
              <w:ind w:left="181" w:hanging="181"/>
              <w:rPr>
                <w:rFonts w:eastAsiaTheme="minorEastAsia"/>
                <w:b/>
                <w:lang w:eastAsia="en-AU"/>
              </w:rPr>
            </w:pPr>
            <w:r w:rsidRPr="00CB50A4">
              <w:rPr>
                <w:rFonts w:eastAsiaTheme="minorEastAsia"/>
                <w:b/>
                <w:bCs/>
                <w:lang w:eastAsia="en-AU"/>
              </w:rPr>
              <w:t>KEY FISCAL AGGREGATES</w:t>
            </w:r>
          </w:p>
        </w:tc>
      </w:tr>
      <w:tr w:rsidR="00B03921" w:rsidRPr="00CB50A4" w:rsidTr="00BF54C7">
        <w:tc>
          <w:tcPr>
            <w:tcW w:w="327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operating balance</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232.4</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460.2</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716.0</w:t>
            </w:r>
          </w:p>
        </w:tc>
        <w:tc>
          <w:tcPr>
            <w:tcW w:w="89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792.7</w:t>
            </w:r>
          </w:p>
        </w:tc>
        <w:tc>
          <w:tcPr>
            <w:tcW w:w="901"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1 229.3</w:t>
            </w:r>
          </w:p>
        </w:tc>
      </w:tr>
      <w:tr w:rsidR="00B03921" w:rsidRPr="00CB50A4" w:rsidTr="00BF54C7">
        <w:tc>
          <w:tcPr>
            <w:tcW w:w="327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Net acquisition of non-financial assets from transactions</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1 780.2</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(4 041.4)</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lang w:eastAsia="en-AU"/>
              </w:rPr>
            </w:pPr>
            <w:r w:rsidRPr="00CB50A4">
              <w:rPr>
                <w:rFonts w:eastAsiaTheme="minorEastAsia"/>
                <w:lang w:eastAsia="en-AU"/>
              </w:rPr>
              <w:t>3 049.9</w:t>
            </w:r>
          </w:p>
        </w:tc>
        <w:tc>
          <w:tcPr>
            <w:tcW w:w="89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2 476.9</w:t>
            </w:r>
          </w:p>
        </w:tc>
        <w:tc>
          <w:tcPr>
            <w:tcW w:w="901"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1 487.5</w:t>
            </w:r>
          </w:p>
        </w:tc>
      </w:tr>
      <w:tr w:rsidR="00B03921" w:rsidRPr="00CB50A4" w:rsidTr="00BF54C7">
        <w:tc>
          <w:tcPr>
            <w:tcW w:w="327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lending/(borrowing)</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(1 547.8)</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4 501.6</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lang w:eastAsia="en-AU"/>
              </w:rPr>
            </w:pPr>
            <w:r w:rsidRPr="00CB50A4">
              <w:rPr>
                <w:rFonts w:eastAsiaTheme="minorEastAsia"/>
                <w:b/>
                <w:bCs/>
                <w:lang w:eastAsia="en-AU"/>
              </w:rPr>
              <w:t xml:space="preserve"> (2</w:t>
            </w:r>
            <w:r w:rsidRPr="00CB50A4">
              <w:rPr>
                <w:rFonts w:eastAsiaTheme="minorEastAsia" w:cs="Calibri"/>
                <w:b/>
                <w:bCs/>
                <w:lang w:eastAsia="en-AU"/>
              </w:rPr>
              <w:t xml:space="preserve"> 333.9)</w:t>
            </w:r>
          </w:p>
        </w:tc>
        <w:tc>
          <w:tcPr>
            <w:tcW w:w="89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(1 684.2)</w:t>
            </w:r>
          </w:p>
        </w:tc>
        <w:tc>
          <w:tcPr>
            <w:tcW w:w="90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(258.2)</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F401D4" w:rsidRDefault="00B03921" w:rsidP="00016914">
      <w:pPr>
        <w:pStyle w:val="Notes"/>
      </w:pPr>
      <w:r>
        <w:t>(a)</w:t>
      </w:r>
      <w:r>
        <w:tab/>
        <w:t>Certain line items have been aggregated in the table above due to commercial sensitivities of balances.</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rsidRPr="00EF2A62">
        <w:t>Table</w:t>
      </w:r>
      <w:r>
        <w:t xml:space="preserve"> 2.8:</w:t>
      </w:r>
      <w:r>
        <w:tab/>
        <w:t>Non</w:t>
      </w:r>
      <w:r>
        <w:noBreakHyphen/>
        <w:t>financial public sector balance sheet as at 30 June</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2019 estimate</w:t>
            </w:r>
          </w:p>
        </w:tc>
      </w:tr>
      <w:tr w:rsidR="00BF54C7" w:rsidRPr="00CB50A4" w:rsidTr="008079E9">
        <w:tc>
          <w:tcPr>
            <w:tcW w:w="7760" w:type="dxa"/>
            <w:gridSpan w:val="6"/>
            <w:tcBorders>
              <w:top w:val="single" w:sz="6" w:space="0" w:color="auto"/>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Assets</w:t>
            </w:r>
          </w:p>
        </w:tc>
      </w:tr>
      <w:tr w:rsidR="00BF54C7" w:rsidRPr="00CB50A4" w:rsidTr="008079E9">
        <w:tc>
          <w:tcPr>
            <w:tcW w:w="7760"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 xml:space="preserve">Financial assets </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Cash and deposits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5 494.0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5 582.8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5 823.9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6 183.2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6 509.5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Advances paid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84.3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76.4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71.3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64.7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58.5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Receivables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5 365.5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5 152.6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5 344.0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5 457.4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5 632.7</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loans and placements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4 122.0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4 318.0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4 345.8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4 582.3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4 916.7</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accounted for using equity method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in other sector entities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2 710.0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2 804.1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2 955.9</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1 848.2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1 999.0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19 330.9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19 489.1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20 096.0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19 691.0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20 671.5</w:t>
            </w:r>
          </w:p>
        </w:tc>
      </w:tr>
      <w:tr w:rsidR="00BF54C7" w:rsidRPr="00CB50A4" w:rsidTr="008079E9">
        <w:tc>
          <w:tcPr>
            <w:tcW w:w="7760"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Non-financial assets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Inventories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758.5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749.6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715.0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721.0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769.2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Non-financial assets held for sale</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129.2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Land, buildings, infrastructure, plant and equipment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208 698.7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211 538.9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215 306.8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227 485.7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229 502.4</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non-financial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2 314.5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2 223.7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2 184.2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2 048.2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1 951.8</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non-financial assets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211 900.9</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214 640.6</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218 334.5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230 383.5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232 351.8</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231 231.9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234 129.7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238 430.4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250 074.4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253 023.3</w:t>
            </w:r>
          </w:p>
        </w:tc>
      </w:tr>
      <w:tr w:rsidR="00BF54C7" w:rsidRPr="00CB50A4" w:rsidTr="008079E9">
        <w:tc>
          <w:tcPr>
            <w:tcW w:w="7760" w:type="dxa"/>
            <w:gridSpan w:val="6"/>
            <w:tcBorders>
              <w:top w:val="nil"/>
              <w:left w:val="nil"/>
              <w:bottom w:val="nil"/>
              <w:right w:val="nil"/>
            </w:tcBorders>
            <w:shd w:val="solid" w:color="FFFFFF" w:fill="auto"/>
          </w:tcPr>
          <w:p w:rsidR="00BF54C7" w:rsidRPr="00CB50A4" w:rsidRDefault="00BF54C7" w:rsidP="00BF54C7">
            <w:pPr>
              <w:pStyle w:val="Tabletext"/>
              <w:rPr>
                <w:rFonts w:eastAsiaTheme="minorEastAsia"/>
                <w:b/>
                <w:bCs/>
                <w:lang w:eastAsia="en-AU"/>
              </w:rPr>
            </w:pPr>
            <w:r w:rsidRPr="00CB50A4">
              <w:rPr>
                <w:rFonts w:eastAsiaTheme="minorEastAsia"/>
                <w:b/>
                <w:bCs/>
                <w:lang w:eastAsia="en-AU"/>
              </w:rPr>
              <w:t>Liabilities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Deposits held and advances received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489.5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489.9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489.3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491.4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493.5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Payables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6 793.0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6 508.4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6 494.0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6 408.5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6 203.0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Borrowings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45 356.4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41 942.3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44 980.8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45 869.3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47 214.9</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benefits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5 874.4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6 120.9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6 371.9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6 622.9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6 873.5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Superannuation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30 801.5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29 843.9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28 703.5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28 091.2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27 058.9</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provisions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1 473.7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769.8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754.5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778.3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810.4</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liabilities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90 788.5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85 675.2</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87 793.9</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88 261.5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88 654.2</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140 443.4</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148 454.5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150 636.5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161 812.9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164 369.1</w:t>
            </w:r>
          </w:p>
        </w:tc>
      </w:tr>
      <w:tr w:rsidR="00B03921" w:rsidRPr="00CB50A4" w:rsidTr="00016914">
        <w:tc>
          <w:tcPr>
            <w:tcW w:w="2790" w:type="dxa"/>
            <w:tcBorders>
              <w:top w:val="single" w:sz="12" w:space="0" w:color="000000"/>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Accumulated surplus/(deficit)</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42 633.4</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48 325.1</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49 805.0</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51 316.2</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53 267.2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Reserves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97 759.9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100 079.5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100 781.5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110 446.7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111 051.9</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Non-controlling interest</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worth</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140 443.4</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148 454.5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150 636.5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161 812.9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164 369.1</w:t>
            </w:r>
          </w:p>
        </w:tc>
      </w:tr>
      <w:tr w:rsidR="00BF54C7" w:rsidRPr="00CB50A4" w:rsidTr="008079E9">
        <w:tc>
          <w:tcPr>
            <w:tcW w:w="7760" w:type="dxa"/>
            <w:gridSpan w:val="6"/>
            <w:tcBorders>
              <w:top w:val="single" w:sz="12" w:space="0" w:color="000000"/>
              <w:left w:val="nil"/>
              <w:bottom w:val="nil"/>
              <w:right w:val="nil"/>
            </w:tcBorders>
            <w:shd w:val="solid" w:color="FFFFFF" w:fill="auto"/>
          </w:tcPr>
          <w:p w:rsidR="00BF54C7" w:rsidRPr="00CB50A4" w:rsidRDefault="00BF54C7" w:rsidP="00BF54C7">
            <w:pPr>
              <w:pStyle w:val="Tabletext"/>
              <w:rPr>
                <w:rFonts w:eastAsiaTheme="minorEastAsia"/>
                <w:b/>
                <w:lang w:eastAsia="en-AU"/>
              </w:rPr>
            </w:pPr>
            <w:r w:rsidRPr="00CB50A4">
              <w:rPr>
                <w:rFonts w:eastAsiaTheme="minorEastAsia"/>
                <w:b/>
                <w:bCs/>
                <w:lang w:eastAsia="en-AU"/>
              </w:rPr>
              <w:t>FISCAL AGGREGATES</w:t>
            </w:r>
            <w:r w:rsidRPr="00CB50A4">
              <w:rPr>
                <w:rFonts w:eastAsiaTheme="minorEastAsia"/>
                <w:b/>
                <w:lang w:eastAsia="en-AU"/>
              </w:rPr>
              <w:t xml:space="preserve"> </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worth</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(71 457.6)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(66 186.1)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(67 698.0)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(68 570.6)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(67 982.7)</w:t>
            </w:r>
          </w:p>
        </w:tc>
      </w:tr>
      <w:tr w:rsidR="00B03921" w:rsidRPr="00CB50A4" w:rsidTr="00016914">
        <w:tc>
          <w:tcPr>
            <w:tcW w:w="2790" w:type="dxa"/>
            <w:tcBorders>
              <w:top w:val="nil"/>
              <w:left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liabilities</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74 167.6</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68 990.2</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70 653.9</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70 418.8</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69 981.7</w:t>
            </w:r>
          </w:p>
        </w:tc>
      </w:tr>
      <w:tr w:rsidR="00B03921" w:rsidRPr="00CB50A4" w:rsidTr="00016914">
        <w:tc>
          <w:tcPr>
            <w:tcW w:w="2790" w:type="dxa"/>
            <w:tcBorders>
              <w:top w:val="nil"/>
              <w:left w:val="nil"/>
              <w:bottom w:val="single" w:sz="12"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debt</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36 145.6</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32 454.8</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35 229.1</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35 530.4</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36 223.7</w:t>
            </w:r>
          </w:p>
        </w:tc>
      </w:tr>
    </w:tbl>
    <w:p w:rsidR="00B03921" w:rsidRDefault="00B03921" w:rsidP="00016914">
      <w:pPr>
        <w:pStyle w:val="Source"/>
      </w:pPr>
      <w:r>
        <w:t>Source: Department of Treasury and Finance</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2.9:</w:t>
      </w:r>
      <w:r>
        <w:tab/>
        <w:t>Non</w:t>
      </w:r>
      <w:r>
        <w:noBreakHyphen/>
        <w:t>financial public sector cash flow statement for the financial year ending 30 June</w:t>
      </w:r>
      <w:r w:rsidRPr="008A6E2C">
        <w:rPr>
          <w:vertAlign w:val="superscript"/>
        </w:rPr>
        <w:t>(a)</w:t>
      </w:r>
    </w:p>
    <w:p w:rsidR="00B03921" w:rsidRPr="00CB50A4" w:rsidRDefault="00B03921" w:rsidP="00016914">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gridCol w:w="46"/>
      </w:tblGrid>
      <w:tr w:rsidR="00B03921" w:rsidRPr="009C6C46" w:rsidTr="00016914">
        <w:trPr>
          <w:gridAfter w:val="1"/>
          <w:wAfter w:w="46" w:type="dxa"/>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9C6C46" w:rsidRDefault="00B03921" w:rsidP="00016914">
            <w:pPr>
              <w:pStyle w:val="Tabletext"/>
              <w:rPr>
                <w:rFonts w:eastAsiaTheme="minorEastAsia"/>
                <w:i/>
                <w:sz w:val="19"/>
                <w:lang w:eastAsia="en-AU"/>
              </w:rPr>
            </w:pPr>
            <w:r w:rsidRPr="009C6C46">
              <w:rPr>
                <w:rFonts w:eastAsiaTheme="minorEastAsia"/>
                <w:i/>
                <w:sz w:val="19"/>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9C6C46" w:rsidRDefault="00B03921" w:rsidP="00016914">
            <w:pPr>
              <w:pStyle w:val="Tabletextheading"/>
              <w:rPr>
                <w:rFonts w:eastAsiaTheme="minorEastAsia"/>
                <w:color w:val="FFFFFF"/>
                <w:sz w:val="19"/>
                <w:lang w:eastAsia="en-AU"/>
              </w:rPr>
            </w:pPr>
            <w:r w:rsidRPr="009C6C46">
              <w:rPr>
                <w:rFonts w:eastAsiaTheme="minorEastAsia"/>
                <w:color w:val="FFFFFF"/>
                <w:sz w:val="19"/>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9C6C46" w:rsidRDefault="00B03921" w:rsidP="00016914">
            <w:pPr>
              <w:pStyle w:val="Tabletextheading"/>
              <w:rPr>
                <w:rFonts w:eastAsiaTheme="minorEastAsia"/>
                <w:color w:val="FFFFFF"/>
                <w:sz w:val="19"/>
                <w:lang w:eastAsia="en-AU"/>
              </w:rPr>
            </w:pPr>
            <w:r w:rsidRPr="009C6C46">
              <w:rPr>
                <w:rFonts w:eastAsiaTheme="minorEastAsia"/>
                <w:color w:val="FFFFFF"/>
                <w:sz w:val="19"/>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9C6C46" w:rsidRDefault="00B03921" w:rsidP="00016914">
            <w:pPr>
              <w:pStyle w:val="Tabletextheading"/>
              <w:rPr>
                <w:rFonts w:eastAsiaTheme="minorEastAsia"/>
                <w:color w:val="FFFFFF"/>
                <w:sz w:val="19"/>
                <w:lang w:eastAsia="en-AU"/>
              </w:rPr>
            </w:pPr>
            <w:r w:rsidRPr="009C6C46">
              <w:rPr>
                <w:rFonts w:eastAsiaTheme="minorEastAsia"/>
                <w:color w:val="FFFFFF"/>
                <w:sz w:val="19"/>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9C6C46" w:rsidRDefault="00B03921" w:rsidP="00016914">
            <w:pPr>
              <w:pStyle w:val="Tabletextheading"/>
              <w:rPr>
                <w:rFonts w:eastAsiaTheme="minorEastAsia"/>
                <w:color w:val="FFFFFF"/>
                <w:sz w:val="19"/>
                <w:lang w:eastAsia="en-AU"/>
              </w:rPr>
            </w:pPr>
            <w:r w:rsidRPr="009C6C46">
              <w:rPr>
                <w:rFonts w:eastAsiaTheme="minorEastAsia"/>
                <w:color w:val="FFFFFF"/>
                <w:sz w:val="19"/>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9C6C46" w:rsidRDefault="00B03921" w:rsidP="00016914">
            <w:pPr>
              <w:pStyle w:val="Tabletextheading"/>
              <w:rPr>
                <w:rFonts w:eastAsiaTheme="minorEastAsia"/>
                <w:color w:val="FFFFFF"/>
                <w:sz w:val="19"/>
                <w:lang w:eastAsia="en-AU"/>
              </w:rPr>
            </w:pPr>
            <w:r w:rsidRPr="009C6C46">
              <w:rPr>
                <w:rFonts w:eastAsiaTheme="minorEastAsia"/>
                <w:color w:val="FFFFFF"/>
                <w:sz w:val="19"/>
                <w:lang w:eastAsia="en-AU"/>
              </w:rPr>
              <w:t>2018-19 estimate</w:t>
            </w:r>
          </w:p>
        </w:tc>
      </w:tr>
      <w:tr w:rsidR="00BF54C7" w:rsidRPr="009C6C46" w:rsidTr="008079E9">
        <w:tc>
          <w:tcPr>
            <w:tcW w:w="7806" w:type="dxa"/>
            <w:gridSpan w:val="7"/>
            <w:tcBorders>
              <w:top w:val="single" w:sz="6" w:space="0" w:color="auto"/>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Cash flows from operating activities</w:t>
            </w:r>
          </w:p>
        </w:tc>
      </w:tr>
      <w:tr w:rsidR="00BF54C7" w:rsidRPr="009C6C46" w:rsidTr="008079E9">
        <w:trPr>
          <w:gridAfter w:val="1"/>
          <w:wAfter w:w="46" w:type="dxa"/>
        </w:trPr>
        <w:tc>
          <w:tcPr>
            <w:tcW w:w="7760" w:type="dxa"/>
            <w:gridSpan w:val="6"/>
            <w:tcBorders>
              <w:top w:val="nil"/>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 xml:space="preserve">Receipts </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Taxes received</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18 046.7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18 577.8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19 498.6</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20 000.2</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20 918.1</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Grants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24 549.4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25 671.2</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26 092.9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27 510.5</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28 608.4</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vertAlign w:val="superscript"/>
                <w:lang w:eastAsia="en-AU"/>
              </w:rPr>
            </w:pPr>
            <w:r w:rsidRPr="009C6C46">
              <w:rPr>
                <w:rFonts w:eastAsiaTheme="minorEastAsia"/>
                <w:sz w:val="19"/>
                <w:lang w:eastAsia="en-AU"/>
              </w:rPr>
              <w:t>Sales of goods and services</w:t>
            </w:r>
            <w:r w:rsidRPr="009C6C46">
              <w:rPr>
                <w:rFonts w:eastAsiaTheme="minorEastAsia"/>
                <w:sz w:val="19"/>
                <w:vertAlign w:val="superscript"/>
                <w:lang w:eastAsia="en-AU"/>
              </w:rPr>
              <w:t>(b)</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11 808.1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12 005.4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12 003.5</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12 294.9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12 531.0</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Interest received</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360.6</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367.5</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387.5</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397.4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408.0</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Dividends and income tax equivalent and rate equivalent receipts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704.9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831.4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744.1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746.0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682.2</w:t>
            </w:r>
          </w:p>
        </w:tc>
      </w:tr>
      <w:tr w:rsidR="00B03921" w:rsidRPr="009C6C46" w:rsidTr="00016914">
        <w:trPr>
          <w:gridAfter w:val="1"/>
          <w:wAfter w:w="46" w:type="dxa"/>
        </w:trPr>
        <w:tc>
          <w:tcPr>
            <w:tcW w:w="2790" w:type="dxa"/>
            <w:tcBorders>
              <w:top w:val="nil"/>
              <w:left w:val="nil"/>
              <w:bottom w:val="single" w:sz="6" w:space="0" w:color="000000"/>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Other receipts</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2 263.4</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2 029.1</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1 864.2</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2 036.9</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2 080.1</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Total receipts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57 733.1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59 482.3</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60 590.8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62 985.9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65 227.9</w:t>
            </w:r>
          </w:p>
        </w:tc>
      </w:tr>
      <w:tr w:rsidR="00BF54C7" w:rsidRPr="009C6C46" w:rsidTr="00B82D32">
        <w:trPr>
          <w:gridAfter w:val="1"/>
          <w:wAfter w:w="46" w:type="dxa"/>
        </w:trPr>
        <w:tc>
          <w:tcPr>
            <w:tcW w:w="7760" w:type="dxa"/>
            <w:gridSpan w:val="6"/>
            <w:tcBorders>
              <w:top w:val="nil"/>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Payments</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Payments for employees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(19 287.4)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(20 692.9)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(21 361.1)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(22 309.4)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(23 181.7)</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Superannuation</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(2 772.8)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(3 077.7)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(3 207.8)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(2 637.4)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(3 015.4)</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Interest paid</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(2 707.2)</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(2 721.7)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(2 712.4)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(2 762.3)</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(2 738.6)</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Grants and subsidies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(5 514.9)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(5 836.7)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(6 201.6)</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(6 433.0)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(6 734.8)</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vertAlign w:val="superscript"/>
                <w:lang w:eastAsia="en-AU"/>
              </w:rPr>
            </w:pPr>
            <w:r w:rsidRPr="009C6C46">
              <w:rPr>
                <w:rFonts w:eastAsiaTheme="minorEastAsia"/>
                <w:sz w:val="19"/>
                <w:lang w:eastAsia="en-AU"/>
              </w:rPr>
              <w:t>Goods and services</w:t>
            </w:r>
            <w:r w:rsidRPr="009C6C46">
              <w:rPr>
                <w:rFonts w:eastAsiaTheme="minorEastAsia"/>
                <w:sz w:val="19"/>
                <w:vertAlign w:val="superscript"/>
                <w:lang w:eastAsia="en-AU"/>
              </w:rPr>
              <w:t>(b)</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(21 341.4)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(21 512.9)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(21 355.1)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(22 154.4)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(22 580.9)</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Other payments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(619.7)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(765.0)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(696.0)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(727.4)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(756.0)</w:t>
            </w:r>
          </w:p>
        </w:tc>
      </w:tr>
      <w:tr w:rsidR="00B03921" w:rsidRPr="009C6C46" w:rsidTr="00016914">
        <w:trPr>
          <w:gridAfter w:val="1"/>
          <w:wAfter w:w="46" w:type="dxa"/>
        </w:trPr>
        <w:tc>
          <w:tcPr>
            <w:tcW w:w="2790"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Total payments</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(52 243.3)</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(54 606.9)</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(55 534.1)</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(57 023.7)</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(59 007.3)</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Net cash flows from operating activities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5 489.8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4 875.4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5 056.7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5 962.1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6 220.6</w:t>
            </w:r>
          </w:p>
        </w:tc>
      </w:tr>
      <w:tr w:rsidR="00BF54C7" w:rsidRPr="009C6C46" w:rsidTr="008079E9">
        <w:tc>
          <w:tcPr>
            <w:tcW w:w="7806" w:type="dxa"/>
            <w:gridSpan w:val="7"/>
            <w:tcBorders>
              <w:top w:val="nil"/>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Cash flows from investing activities</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cash flows from investments in non-financial assets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(6 114.8)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505.6</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(7 464.0)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(6 828.1)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(6 859.9)</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cash flows from investments in financial assets for policy purposes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385.7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(53.1)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45.9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1 178.7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(52.0)</w:t>
            </w:r>
          </w:p>
        </w:tc>
      </w:tr>
      <w:tr w:rsidR="00B03921" w:rsidRPr="009C6C46" w:rsidTr="00016914">
        <w:trPr>
          <w:gridAfter w:val="1"/>
          <w:wAfter w:w="46" w:type="dxa"/>
        </w:trPr>
        <w:tc>
          <w:tcPr>
            <w:tcW w:w="2790" w:type="dxa"/>
            <w:tcBorders>
              <w:top w:val="nil"/>
              <w:left w:val="nil"/>
              <w:bottom w:val="single" w:sz="6" w:space="0" w:color="000000"/>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cash flows from investment in financial assets for liquidity management purposes</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38.9</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(154.3)</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(13.1)</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(184.3)</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(324.4)</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Net cash flows from investing activities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(5 690.2)</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298.3</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(7 431.2)</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(5 833.7)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(7 236.3)</w:t>
            </w:r>
          </w:p>
        </w:tc>
      </w:tr>
      <w:tr w:rsidR="00BF54C7" w:rsidRPr="009C6C46" w:rsidTr="008079E9">
        <w:tc>
          <w:tcPr>
            <w:tcW w:w="7806" w:type="dxa"/>
            <w:gridSpan w:val="7"/>
            <w:tcBorders>
              <w:top w:val="nil"/>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 xml:space="preserve">Cash flows from financing activities </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Advances received (net)</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borrowings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261.8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(5 085.1)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2 616.1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221.9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1 332.8</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Deposits received (net)</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(52.0)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0.3</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(0.6)</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2.1</w:t>
            </w:r>
          </w:p>
        </w:tc>
      </w:tr>
      <w:tr w:rsidR="00B03921" w:rsidRPr="009C6C46" w:rsidTr="00016914">
        <w:trPr>
          <w:gridAfter w:val="1"/>
          <w:wAfter w:w="46" w:type="dxa"/>
        </w:trPr>
        <w:tc>
          <w:tcPr>
            <w:tcW w:w="2790"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Net cash flows from financing activities</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209.8</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(5 084.8)</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2 615.5</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224.0</w:t>
            </w:r>
          </w:p>
        </w:tc>
        <w:tc>
          <w:tcPr>
            <w:tcW w:w="994" w:type="dxa"/>
            <w:tcBorders>
              <w:top w:val="single" w:sz="6" w:space="0" w:color="000000"/>
              <w:left w:val="nil"/>
              <w:bottom w:val="single" w:sz="6"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1 335.0</w:t>
            </w:r>
          </w:p>
        </w:tc>
      </w:tr>
      <w:tr w:rsidR="00B03921" w:rsidRPr="009C6C46" w:rsidTr="00016914">
        <w:trPr>
          <w:gridAfter w:val="1"/>
          <w:wAfter w:w="46" w:type="dxa"/>
        </w:trPr>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Net increase/(decrease) in cash and cash equivalents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9.4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88.9</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241.0</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352.3</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319.3</w:t>
            </w:r>
          </w:p>
        </w:tc>
      </w:tr>
      <w:tr w:rsidR="00B03921" w:rsidRPr="009C6C46" w:rsidTr="00016914">
        <w:trPr>
          <w:gridAfter w:val="1"/>
          <w:wAfter w:w="46" w:type="dxa"/>
        </w:trPr>
        <w:tc>
          <w:tcPr>
            <w:tcW w:w="2790" w:type="dxa"/>
            <w:tcBorders>
              <w:top w:val="nil"/>
              <w:left w:val="nil"/>
              <w:bottom w:val="single" w:sz="6" w:space="0" w:color="000000"/>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Cash and cash equivalents at beginning of reporting period</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5 484.6</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5 494.0</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5 582.8</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5 823.9</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6 176.2</w:t>
            </w:r>
          </w:p>
        </w:tc>
      </w:tr>
      <w:tr w:rsidR="00B03921" w:rsidRPr="009C6C46" w:rsidTr="00016914">
        <w:trPr>
          <w:gridAfter w:val="1"/>
          <w:wAfter w:w="46" w:type="dxa"/>
        </w:trPr>
        <w:tc>
          <w:tcPr>
            <w:tcW w:w="2790"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text"/>
              <w:rPr>
                <w:rFonts w:eastAsiaTheme="minorEastAsia"/>
                <w:b/>
                <w:bCs/>
                <w:sz w:val="19"/>
                <w:vertAlign w:val="superscript"/>
                <w:lang w:eastAsia="en-AU"/>
              </w:rPr>
            </w:pPr>
            <w:r w:rsidRPr="009C6C46">
              <w:rPr>
                <w:rFonts w:eastAsiaTheme="minorEastAsia"/>
                <w:b/>
                <w:bCs/>
                <w:sz w:val="19"/>
                <w:lang w:eastAsia="en-AU"/>
              </w:rPr>
              <w:t>Cash and cash equivalents at end of reporting period</w:t>
            </w:r>
            <w:r w:rsidRPr="009C6C46">
              <w:rPr>
                <w:rFonts w:eastAsiaTheme="minorEastAsia"/>
                <w:b/>
                <w:bCs/>
                <w:sz w:val="19"/>
                <w:vertAlign w:val="superscript"/>
                <w:lang w:eastAsia="en-AU"/>
              </w:rPr>
              <w:t>(c)</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5 494.0</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5 582.8</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5 823.9</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6 176.2</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6 495.5</w:t>
            </w:r>
          </w:p>
        </w:tc>
      </w:tr>
    </w:tbl>
    <w:p w:rsidR="00BF54C7" w:rsidRDefault="00BF54C7" w:rsidP="00BF54C7">
      <w:pPr>
        <w:pStyle w:val="Tableheadingcontinued"/>
      </w:pPr>
      <w:r>
        <w:t>Table 2.9:</w:t>
      </w:r>
      <w:r>
        <w:tab/>
        <w:t>Non</w:t>
      </w:r>
      <w:r>
        <w:noBreakHyphen/>
        <w:t>financial public sector cash flow statement for the financial year ending 30 June</w:t>
      </w:r>
      <w:r w:rsidRPr="00BF54C7">
        <w:rPr>
          <w:vertAlign w:val="superscript"/>
        </w:rPr>
        <w:t>(a)</w:t>
      </w:r>
      <w:r>
        <w:t xml:space="preserve"> </w:t>
      </w:r>
      <w:r w:rsidRPr="00BF54C7">
        <w:rPr>
          <w:i/>
        </w:rPr>
        <w:t>(continued)</w:t>
      </w:r>
    </w:p>
    <w:p w:rsidR="00BF54C7" w:rsidRDefault="00BF54C7" w:rsidP="00BF54C7">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F54C7" w:rsidRPr="009C6C46" w:rsidTr="00BF54C7">
        <w:trPr>
          <w:tblHeader/>
        </w:trPr>
        <w:tc>
          <w:tcPr>
            <w:tcW w:w="2790" w:type="dxa"/>
            <w:tcBorders>
              <w:top w:val="single" w:sz="6" w:space="0" w:color="auto"/>
              <w:left w:val="single" w:sz="6" w:space="0" w:color="auto"/>
              <w:bottom w:val="single" w:sz="6" w:space="0" w:color="auto"/>
              <w:right w:val="nil"/>
            </w:tcBorders>
            <w:shd w:val="clear" w:color="000000" w:fill="000000"/>
          </w:tcPr>
          <w:p w:rsidR="00BF54C7" w:rsidRPr="009C6C46" w:rsidRDefault="00BF54C7" w:rsidP="008079E9">
            <w:pPr>
              <w:pStyle w:val="Tabletext"/>
              <w:rPr>
                <w:rFonts w:eastAsiaTheme="minorEastAsia"/>
                <w:i/>
                <w:sz w:val="19"/>
                <w:lang w:eastAsia="en-AU"/>
              </w:rPr>
            </w:pPr>
            <w:r w:rsidRPr="009C6C46">
              <w:rPr>
                <w:rFonts w:eastAsiaTheme="minorEastAsia"/>
                <w:i/>
                <w:sz w:val="19"/>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F54C7" w:rsidRPr="009C6C46" w:rsidRDefault="00BF54C7" w:rsidP="008079E9">
            <w:pPr>
              <w:pStyle w:val="Tabletextheading"/>
              <w:rPr>
                <w:rFonts w:eastAsiaTheme="minorEastAsia"/>
                <w:color w:val="FFFFFF"/>
                <w:sz w:val="19"/>
                <w:lang w:eastAsia="en-AU"/>
              </w:rPr>
            </w:pPr>
            <w:r w:rsidRPr="009C6C46">
              <w:rPr>
                <w:rFonts w:eastAsiaTheme="minorEastAsia"/>
                <w:color w:val="FFFFFF"/>
                <w:sz w:val="19"/>
                <w:lang w:eastAsia="en-AU"/>
              </w:rPr>
              <w:t>2014-15 revised</w:t>
            </w:r>
          </w:p>
        </w:tc>
        <w:tc>
          <w:tcPr>
            <w:tcW w:w="994" w:type="dxa"/>
            <w:tcBorders>
              <w:top w:val="single" w:sz="6" w:space="0" w:color="auto"/>
              <w:left w:val="nil"/>
              <w:bottom w:val="single" w:sz="6" w:space="0" w:color="auto"/>
              <w:right w:val="nil"/>
            </w:tcBorders>
            <w:shd w:val="clear" w:color="000000" w:fill="000000"/>
          </w:tcPr>
          <w:p w:rsidR="00BF54C7" w:rsidRPr="009C6C46" w:rsidRDefault="00BF54C7" w:rsidP="008079E9">
            <w:pPr>
              <w:pStyle w:val="Tabletextheading"/>
              <w:rPr>
                <w:rFonts w:eastAsiaTheme="minorEastAsia"/>
                <w:color w:val="FFFFFF"/>
                <w:sz w:val="19"/>
                <w:lang w:eastAsia="en-AU"/>
              </w:rPr>
            </w:pPr>
            <w:r w:rsidRPr="009C6C46">
              <w:rPr>
                <w:rFonts w:eastAsiaTheme="minorEastAsia"/>
                <w:color w:val="FFFFFF"/>
                <w:sz w:val="19"/>
                <w:lang w:eastAsia="en-AU"/>
              </w:rPr>
              <w:t>2015-16 estimate</w:t>
            </w:r>
          </w:p>
        </w:tc>
        <w:tc>
          <w:tcPr>
            <w:tcW w:w="994" w:type="dxa"/>
            <w:tcBorders>
              <w:top w:val="single" w:sz="6" w:space="0" w:color="auto"/>
              <w:left w:val="nil"/>
              <w:bottom w:val="single" w:sz="6" w:space="0" w:color="auto"/>
              <w:right w:val="nil"/>
            </w:tcBorders>
            <w:shd w:val="clear" w:color="000000" w:fill="000000"/>
          </w:tcPr>
          <w:p w:rsidR="00BF54C7" w:rsidRPr="009C6C46" w:rsidRDefault="00BF54C7" w:rsidP="008079E9">
            <w:pPr>
              <w:pStyle w:val="Tabletextheading"/>
              <w:rPr>
                <w:rFonts w:eastAsiaTheme="minorEastAsia"/>
                <w:color w:val="FFFFFF"/>
                <w:sz w:val="19"/>
                <w:lang w:eastAsia="en-AU"/>
              </w:rPr>
            </w:pPr>
            <w:r w:rsidRPr="009C6C46">
              <w:rPr>
                <w:rFonts w:eastAsiaTheme="minorEastAsia"/>
                <w:color w:val="FFFFFF"/>
                <w:sz w:val="19"/>
                <w:lang w:eastAsia="en-AU"/>
              </w:rPr>
              <w:t>2016-17 estimate</w:t>
            </w:r>
          </w:p>
        </w:tc>
        <w:tc>
          <w:tcPr>
            <w:tcW w:w="994" w:type="dxa"/>
            <w:tcBorders>
              <w:top w:val="single" w:sz="6" w:space="0" w:color="auto"/>
              <w:left w:val="nil"/>
              <w:bottom w:val="single" w:sz="6" w:space="0" w:color="auto"/>
              <w:right w:val="nil"/>
            </w:tcBorders>
            <w:shd w:val="clear" w:color="000000" w:fill="000000"/>
          </w:tcPr>
          <w:p w:rsidR="00BF54C7" w:rsidRPr="009C6C46" w:rsidRDefault="00BF54C7" w:rsidP="008079E9">
            <w:pPr>
              <w:pStyle w:val="Tabletextheading"/>
              <w:rPr>
                <w:rFonts w:eastAsiaTheme="minorEastAsia"/>
                <w:color w:val="FFFFFF"/>
                <w:sz w:val="19"/>
                <w:lang w:eastAsia="en-AU"/>
              </w:rPr>
            </w:pPr>
            <w:r w:rsidRPr="009C6C46">
              <w:rPr>
                <w:rFonts w:eastAsiaTheme="minorEastAsia"/>
                <w:color w:val="FFFFFF"/>
                <w:sz w:val="19"/>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F54C7" w:rsidRPr="009C6C46" w:rsidRDefault="00BF54C7" w:rsidP="008079E9">
            <w:pPr>
              <w:pStyle w:val="Tabletextheading"/>
              <w:rPr>
                <w:rFonts w:eastAsiaTheme="minorEastAsia"/>
                <w:color w:val="FFFFFF"/>
                <w:sz w:val="19"/>
                <w:lang w:eastAsia="en-AU"/>
              </w:rPr>
            </w:pPr>
            <w:r w:rsidRPr="009C6C46">
              <w:rPr>
                <w:rFonts w:eastAsiaTheme="minorEastAsia"/>
                <w:color w:val="FFFFFF"/>
                <w:sz w:val="19"/>
                <w:lang w:eastAsia="en-AU"/>
              </w:rPr>
              <w:t>2018-19 estimate</w:t>
            </w:r>
          </w:p>
        </w:tc>
      </w:tr>
      <w:tr w:rsidR="00BF54C7" w:rsidRPr="009C6C46" w:rsidTr="00BF54C7">
        <w:tc>
          <w:tcPr>
            <w:tcW w:w="7760" w:type="dxa"/>
            <w:gridSpan w:val="6"/>
            <w:tcBorders>
              <w:top w:val="single" w:sz="12" w:space="0" w:color="000000"/>
              <w:left w:val="nil"/>
              <w:bottom w:val="nil"/>
              <w:right w:val="nil"/>
            </w:tcBorders>
            <w:shd w:val="solid" w:color="FFFFFF" w:fill="auto"/>
          </w:tcPr>
          <w:p w:rsidR="00BF54C7" w:rsidRPr="009C6C46" w:rsidRDefault="00BF54C7" w:rsidP="00BF54C7">
            <w:pPr>
              <w:pStyle w:val="Tabletext"/>
              <w:rPr>
                <w:rFonts w:eastAsiaTheme="minorEastAsia"/>
                <w:b/>
                <w:bCs/>
                <w:sz w:val="19"/>
                <w:lang w:eastAsia="en-AU"/>
              </w:rPr>
            </w:pPr>
            <w:r w:rsidRPr="009C6C46">
              <w:rPr>
                <w:rFonts w:eastAsiaTheme="minorEastAsia"/>
                <w:b/>
                <w:bCs/>
                <w:sz w:val="19"/>
                <w:lang w:eastAsia="en-AU"/>
              </w:rPr>
              <w:t xml:space="preserve">FISCAL AGGREGATES </w:t>
            </w:r>
          </w:p>
        </w:tc>
      </w:tr>
      <w:tr w:rsidR="00B03921" w:rsidRPr="009C6C46" w:rsidTr="00BF54C7">
        <w:tc>
          <w:tcPr>
            <w:tcW w:w="2790" w:type="dxa"/>
            <w:tcBorders>
              <w:top w:val="nil"/>
              <w:left w:val="nil"/>
              <w:bottom w:val="nil"/>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cash flows from operating activities</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5 489.8</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4 875.4</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5 056.7</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5 962.1</w:t>
            </w:r>
          </w:p>
        </w:tc>
        <w:tc>
          <w:tcPr>
            <w:tcW w:w="994" w:type="dxa"/>
            <w:tcBorders>
              <w:top w:val="nil"/>
              <w:left w:val="nil"/>
              <w:bottom w:val="nil"/>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6 220.6</w:t>
            </w:r>
          </w:p>
        </w:tc>
      </w:tr>
      <w:tr w:rsidR="00B03921" w:rsidRPr="009C6C46" w:rsidTr="00BF54C7">
        <w:tc>
          <w:tcPr>
            <w:tcW w:w="2790" w:type="dxa"/>
            <w:tcBorders>
              <w:top w:val="nil"/>
              <w:left w:val="nil"/>
              <w:bottom w:val="single" w:sz="6" w:space="0" w:color="000000"/>
              <w:right w:val="nil"/>
            </w:tcBorders>
            <w:shd w:val="solid" w:color="FFFFFF" w:fill="auto"/>
          </w:tcPr>
          <w:p w:rsidR="00B03921" w:rsidRPr="009C6C46" w:rsidRDefault="00B03921" w:rsidP="00016914">
            <w:pPr>
              <w:pStyle w:val="Tabletext"/>
              <w:rPr>
                <w:rFonts w:eastAsiaTheme="minorEastAsia"/>
                <w:sz w:val="19"/>
                <w:lang w:eastAsia="en-AU"/>
              </w:rPr>
            </w:pPr>
            <w:r w:rsidRPr="009C6C46">
              <w:rPr>
                <w:rFonts w:eastAsiaTheme="minorEastAsia"/>
                <w:sz w:val="19"/>
                <w:lang w:eastAsia="en-AU"/>
              </w:rPr>
              <w:t>Net cash flows from investments in non-financial assets</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(6 114.8)</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505.6</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(7 464.0)</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(6 828.1)</w:t>
            </w:r>
          </w:p>
        </w:tc>
        <w:tc>
          <w:tcPr>
            <w:tcW w:w="994" w:type="dxa"/>
            <w:tcBorders>
              <w:top w:val="nil"/>
              <w:left w:val="nil"/>
              <w:bottom w:val="single" w:sz="6" w:space="0" w:color="000000"/>
              <w:right w:val="nil"/>
            </w:tcBorders>
            <w:shd w:val="solid" w:color="FFFFFF" w:fill="auto"/>
          </w:tcPr>
          <w:p w:rsidR="00B03921" w:rsidRPr="009C6C46" w:rsidRDefault="00B03921" w:rsidP="00016914">
            <w:pPr>
              <w:pStyle w:val="TableofFigures"/>
              <w:rPr>
                <w:rFonts w:eastAsiaTheme="minorEastAsia"/>
                <w:sz w:val="19"/>
                <w:lang w:eastAsia="en-AU"/>
              </w:rPr>
            </w:pPr>
            <w:r w:rsidRPr="009C6C46">
              <w:rPr>
                <w:rFonts w:eastAsiaTheme="minorEastAsia"/>
                <w:sz w:val="19"/>
                <w:lang w:eastAsia="en-AU"/>
              </w:rPr>
              <w:t xml:space="preserve"> (6 859.9)</w:t>
            </w:r>
          </w:p>
        </w:tc>
      </w:tr>
      <w:tr w:rsidR="00B03921" w:rsidRPr="009C6C46" w:rsidTr="00BF54C7">
        <w:tc>
          <w:tcPr>
            <w:tcW w:w="2790"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text"/>
              <w:rPr>
                <w:rFonts w:eastAsiaTheme="minorEastAsia"/>
                <w:b/>
                <w:bCs/>
                <w:sz w:val="19"/>
                <w:lang w:eastAsia="en-AU"/>
              </w:rPr>
            </w:pPr>
            <w:r w:rsidRPr="009C6C46">
              <w:rPr>
                <w:rFonts w:eastAsiaTheme="minorEastAsia"/>
                <w:b/>
                <w:bCs/>
                <w:sz w:val="19"/>
                <w:lang w:eastAsia="en-AU"/>
              </w:rPr>
              <w:t>Cash surplus/(deficit)</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(625.0)</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5 381.0</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 xml:space="preserve"> (2 407.3)</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(866.0)</w:t>
            </w:r>
          </w:p>
        </w:tc>
        <w:tc>
          <w:tcPr>
            <w:tcW w:w="994" w:type="dxa"/>
            <w:tcBorders>
              <w:top w:val="single" w:sz="6" w:space="0" w:color="000000"/>
              <w:left w:val="nil"/>
              <w:bottom w:val="single" w:sz="12" w:space="0" w:color="000000"/>
              <w:right w:val="nil"/>
            </w:tcBorders>
            <w:shd w:val="solid" w:color="FFFFFF" w:fill="auto"/>
          </w:tcPr>
          <w:p w:rsidR="00B03921" w:rsidRPr="009C6C46" w:rsidRDefault="00B03921" w:rsidP="00016914">
            <w:pPr>
              <w:pStyle w:val="TableofFigures"/>
              <w:rPr>
                <w:rFonts w:eastAsiaTheme="minorEastAsia"/>
                <w:b/>
                <w:bCs/>
                <w:sz w:val="19"/>
                <w:lang w:eastAsia="en-AU"/>
              </w:rPr>
            </w:pPr>
            <w:r w:rsidRPr="009C6C46">
              <w:rPr>
                <w:rFonts w:eastAsiaTheme="minorEastAsia"/>
                <w:b/>
                <w:bCs/>
                <w:sz w:val="19"/>
                <w:lang w:eastAsia="en-AU"/>
              </w:rPr>
              <w:t>(639.3)</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Inclusive of goods and services tax.</w:t>
      </w:r>
    </w:p>
    <w:p w:rsidR="00B03921" w:rsidRDefault="00B03921" w:rsidP="00016914">
      <w:pPr>
        <w:pStyle w:val="Notes"/>
      </w:pPr>
      <w:r>
        <w:t>(c)</w:t>
      </w:r>
      <w:r>
        <w:tab/>
        <w:t>Cash and cash equivalents at the end of the reporting period does not equal cash and deposits on the balance sheet. This is due to the overdraft being included on the cash flow statement.</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2.10:</w:t>
      </w:r>
      <w:r>
        <w:tab/>
        <w:t>Non</w:t>
      </w:r>
      <w:r>
        <w:noBreakHyphen/>
        <w:t>financial public sector statement of changes in equity for the financial year ending 30 June</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412"/>
        <w:gridCol w:w="1674"/>
        <w:gridCol w:w="1674"/>
      </w:tblGrid>
      <w:tr w:rsidR="00B03921" w:rsidRPr="00CB50A4" w:rsidTr="00016914">
        <w:trPr>
          <w:tblHeader/>
        </w:trPr>
        <w:tc>
          <w:tcPr>
            <w:tcW w:w="4412"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167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Accumulated surplus/(deficit)</w:t>
            </w:r>
          </w:p>
        </w:tc>
        <w:tc>
          <w:tcPr>
            <w:tcW w:w="167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Non-controlling </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interest</w:t>
            </w:r>
          </w:p>
        </w:tc>
      </w:tr>
      <w:tr w:rsidR="001C35F6" w:rsidRPr="00CB50A4" w:rsidTr="008079E9">
        <w:tc>
          <w:tcPr>
            <w:tcW w:w="7760" w:type="dxa"/>
            <w:gridSpan w:val="3"/>
            <w:tcBorders>
              <w:top w:val="single" w:sz="6" w:space="0" w:color="auto"/>
              <w:left w:val="nil"/>
              <w:bottom w:val="nil"/>
              <w:right w:val="nil"/>
            </w:tcBorders>
          </w:tcPr>
          <w:p w:rsidR="001C35F6" w:rsidRPr="00CB50A4" w:rsidRDefault="001C35F6" w:rsidP="001C35F6">
            <w:pPr>
              <w:pStyle w:val="TableofFigures"/>
              <w:jc w:val="left"/>
              <w:rPr>
                <w:rFonts w:eastAsiaTheme="minorEastAsia"/>
                <w:b/>
                <w:bCs/>
                <w:lang w:eastAsia="en-AU"/>
              </w:rPr>
            </w:pPr>
            <w:r w:rsidRPr="00CB50A4">
              <w:rPr>
                <w:rFonts w:eastAsiaTheme="minorEastAsia"/>
                <w:b/>
                <w:bCs/>
                <w:lang w:eastAsia="en-AU"/>
              </w:rPr>
              <w:t>2014-15 Revised</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2014</w:t>
            </w:r>
            <w:r w:rsidRPr="002B4C26">
              <w:rPr>
                <w:rFonts w:eastAsiaTheme="minorEastAsia"/>
                <w:vertAlign w:val="superscript"/>
                <w:lang w:eastAsia="en-AU"/>
              </w:rPr>
              <w:t>(a)</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46 987.1</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74"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(110.7)</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74"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(4 242.9</w:t>
            </w:r>
            <w:r w:rsidRPr="00CB50A4">
              <w:rPr>
                <w:rFonts w:eastAsiaTheme="minorEastAsia" w:cs="Calibri"/>
                <w:color w:val="000000"/>
                <w:sz w:val="18"/>
                <w:lang w:eastAsia="en-AU"/>
              </w:rPr>
              <w:t>)</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42 633.4</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1C35F6" w:rsidRPr="00CB50A4" w:rsidTr="008079E9">
        <w:tc>
          <w:tcPr>
            <w:tcW w:w="7760" w:type="dxa"/>
            <w:gridSpan w:val="3"/>
            <w:tcBorders>
              <w:top w:val="nil"/>
              <w:left w:val="nil"/>
              <w:bottom w:val="nil"/>
              <w:right w:val="nil"/>
            </w:tcBorders>
          </w:tcPr>
          <w:p w:rsidR="001C35F6" w:rsidRPr="00CB50A4" w:rsidRDefault="001C35F6" w:rsidP="001C35F6">
            <w:pPr>
              <w:pStyle w:val="Tabletext"/>
              <w:rPr>
                <w:rFonts w:eastAsiaTheme="minorEastAsia"/>
                <w:b/>
                <w:bCs/>
                <w:lang w:eastAsia="en-AU"/>
              </w:rPr>
            </w:pPr>
            <w:r w:rsidRPr="00CB50A4">
              <w:rPr>
                <w:rFonts w:eastAsiaTheme="minorEastAsia"/>
                <w:b/>
                <w:bCs/>
                <w:lang w:eastAsia="en-AU"/>
              </w:rPr>
              <w:t>2015-16 Estimate</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2015</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42 633.4</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74"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4 291.5</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74"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1 400.1</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48 325.1</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1C35F6" w:rsidRPr="00CB50A4" w:rsidTr="008079E9">
        <w:tc>
          <w:tcPr>
            <w:tcW w:w="7760" w:type="dxa"/>
            <w:gridSpan w:val="3"/>
            <w:tcBorders>
              <w:top w:val="nil"/>
              <w:left w:val="nil"/>
              <w:bottom w:val="nil"/>
              <w:right w:val="nil"/>
            </w:tcBorders>
          </w:tcPr>
          <w:p w:rsidR="001C35F6" w:rsidRPr="00CB50A4" w:rsidRDefault="001C35F6" w:rsidP="001C35F6">
            <w:pPr>
              <w:pStyle w:val="Tabletext"/>
              <w:rPr>
                <w:rFonts w:eastAsiaTheme="minorEastAsia"/>
                <w:b/>
                <w:bCs/>
                <w:lang w:eastAsia="en-AU"/>
              </w:rPr>
            </w:pPr>
            <w:r w:rsidRPr="00CB50A4">
              <w:rPr>
                <w:rFonts w:eastAsiaTheme="minorEastAsia"/>
                <w:b/>
                <w:bCs/>
                <w:lang w:eastAsia="en-AU"/>
              </w:rPr>
              <w:t xml:space="preserve">2016-17 Estimate </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2016</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48 325.1</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442.8</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74"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1 037.2</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49 805.0</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1C35F6" w:rsidRPr="00CB50A4" w:rsidTr="008079E9">
        <w:tc>
          <w:tcPr>
            <w:tcW w:w="7760" w:type="dxa"/>
            <w:gridSpan w:val="3"/>
            <w:tcBorders>
              <w:top w:val="nil"/>
              <w:left w:val="nil"/>
              <w:bottom w:val="nil"/>
              <w:right w:val="nil"/>
            </w:tcBorders>
          </w:tcPr>
          <w:p w:rsidR="001C35F6" w:rsidRPr="00CB50A4" w:rsidRDefault="001C35F6" w:rsidP="001C35F6">
            <w:pPr>
              <w:pStyle w:val="Tabletext"/>
              <w:rPr>
                <w:rFonts w:eastAsiaTheme="minorEastAsia"/>
                <w:b/>
                <w:bCs/>
                <w:lang w:eastAsia="en-AU"/>
              </w:rPr>
            </w:pPr>
            <w:r w:rsidRPr="00CB50A4">
              <w:rPr>
                <w:rFonts w:eastAsiaTheme="minorEastAsia"/>
                <w:b/>
                <w:bCs/>
                <w:lang w:eastAsia="en-AU"/>
              </w:rPr>
              <w:t>2017-18 Estimate</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2017</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49 805.0</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550.7</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960.4</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51 316.2</w:t>
            </w:r>
          </w:p>
        </w:tc>
        <w:tc>
          <w:tcPr>
            <w:tcW w:w="1674"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1C35F6" w:rsidRPr="00CB50A4" w:rsidTr="008079E9">
        <w:tc>
          <w:tcPr>
            <w:tcW w:w="7760" w:type="dxa"/>
            <w:gridSpan w:val="3"/>
            <w:tcBorders>
              <w:top w:val="nil"/>
              <w:left w:val="nil"/>
              <w:bottom w:val="nil"/>
              <w:right w:val="nil"/>
            </w:tcBorders>
          </w:tcPr>
          <w:p w:rsidR="001C35F6" w:rsidRPr="00CB50A4" w:rsidRDefault="001C35F6" w:rsidP="001C35F6">
            <w:pPr>
              <w:pStyle w:val="Tabletext"/>
              <w:rPr>
                <w:rFonts w:eastAsiaTheme="minorEastAsia"/>
                <w:b/>
                <w:bCs/>
                <w:lang w:eastAsia="en-AU"/>
              </w:rPr>
            </w:pPr>
            <w:r w:rsidRPr="00CB50A4">
              <w:rPr>
                <w:rFonts w:eastAsiaTheme="minorEastAsia"/>
                <w:b/>
                <w:bCs/>
                <w:lang w:eastAsia="en-AU"/>
              </w:rPr>
              <w:t>2018-19 Estimate</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2018</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51 316.2</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12"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937.7</w:t>
            </w:r>
          </w:p>
        </w:tc>
        <w:tc>
          <w:tcPr>
            <w:tcW w:w="1674"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nil"/>
              <w:left w:val="nil"/>
              <w:bottom w:val="single" w:sz="6" w:space="0" w:color="auto"/>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74" w:type="dxa"/>
            <w:tcBorders>
              <w:top w:val="nil"/>
              <w:left w:val="nil"/>
              <w:bottom w:val="single" w:sz="6" w:space="0" w:color="auto"/>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1 013.3</w:t>
            </w:r>
          </w:p>
        </w:tc>
        <w:tc>
          <w:tcPr>
            <w:tcW w:w="1674"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12"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74"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53 267.2</w:t>
            </w:r>
          </w:p>
        </w:tc>
        <w:tc>
          <w:tcPr>
            <w:tcW w:w="1674"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bl>
    <w:p w:rsidR="00B03921" w:rsidRDefault="00B03921" w:rsidP="00016914">
      <w:pPr>
        <w:pStyle w:val="Source"/>
      </w:pPr>
      <w:r w:rsidRPr="00EA6BE8">
        <w:t>Source: Department of Treasury and Finance</w:t>
      </w:r>
    </w:p>
    <w:p w:rsidR="00B03921" w:rsidRDefault="00B03921" w:rsidP="00016914">
      <w:pPr>
        <w:pStyle w:val="Notes"/>
      </w:pPr>
      <w:r>
        <w:t>Note:</w:t>
      </w:r>
    </w:p>
    <w:p w:rsidR="00B03921" w:rsidRDefault="00B03921" w:rsidP="00016914">
      <w:pPr>
        <w:pStyle w:val="Notes"/>
      </w:pPr>
      <w:r>
        <w:t>(a)</w:t>
      </w:r>
      <w:r>
        <w:tab/>
        <w:t>The balance at 1 July 2014 has been restated to reflect a change in accounting policy associated with the valuation of school building assets.</w:t>
      </w:r>
    </w:p>
    <w:p w:rsidR="00B03921" w:rsidRDefault="00B03921" w:rsidP="00016914">
      <w:pPr>
        <w:pStyle w:val="Notes"/>
        <w:rPr>
          <w:i w:val="0"/>
        </w:rPr>
      </w:pPr>
      <w:r>
        <w:br w:type="page"/>
      </w:r>
    </w:p>
    <w:p w:rsidR="00B03921" w:rsidRDefault="00B03921" w:rsidP="00016914">
      <w:pPr>
        <w:pStyle w:val="Tableheading"/>
      </w:pPr>
      <w:r>
        <w:br/>
      </w:r>
    </w:p>
    <w:p w:rsidR="00B03921" w:rsidRPr="00CB50A4" w:rsidRDefault="00B03921" w:rsidP="00016914">
      <w:pPr>
        <w:pStyle w:val="million"/>
        <w:rPr>
          <w:rFonts w:ascii="Times New Roman" w:hAnsi="Times New Roman"/>
          <w:sz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569"/>
        <w:gridCol w:w="2126"/>
        <w:gridCol w:w="1559"/>
        <w:gridCol w:w="1506"/>
      </w:tblGrid>
      <w:tr w:rsidR="00B03921" w:rsidRPr="00CB50A4" w:rsidTr="00016914">
        <w:trPr>
          <w:tblHeader/>
        </w:trPr>
        <w:tc>
          <w:tcPr>
            <w:tcW w:w="2569"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Land, buildings, infrastructure, </w:t>
            </w:r>
          </w:p>
          <w:p w:rsidR="00B03921" w:rsidRPr="00CB50A4" w:rsidRDefault="00B03921" w:rsidP="00016914">
            <w:pPr>
              <w:pStyle w:val="Tabletextheading"/>
              <w:rPr>
                <w:rFonts w:eastAsiaTheme="minorEastAsia"/>
                <w:lang w:eastAsia="en-AU"/>
              </w:rPr>
            </w:pPr>
            <w:r w:rsidRPr="00CB50A4">
              <w:rPr>
                <w:rFonts w:eastAsiaTheme="minorEastAsia"/>
                <w:lang w:eastAsia="en-AU"/>
              </w:rPr>
              <w:t>plant and equipment</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revaluation surplus</w:t>
            </w:r>
          </w:p>
        </w:tc>
        <w:tc>
          <w:tcPr>
            <w:tcW w:w="2126"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Investment in other</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 sector entities</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 revaluation surplus</w:t>
            </w:r>
          </w:p>
        </w:tc>
        <w:tc>
          <w:tcPr>
            <w:tcW w:w="1559"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Other</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 reserves</w:t>
            </w:r>
          </w:p>
        </w:tc>
        <w:tc>
          <w:tcPr>
            <w:tcW w:w="1506"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Total</w:t>
            </w:r>
          </w:p>
        </w:tc>
      </w:tr>
      <w:tr w:rsidR="001C35F6" w:rsidRPr="00CB50A4" w:rsidTr="008079E9">
        <w:tc>
          <w:tcPr>
            <w:tcW w:w="7760" w:type="dxa"/>
            <w:gridSpan w:val="4"/>
            <w:tcBorders>
              <w:top w:val="single" w:sz="6" w:space="0" w:color="auto"/>
              <w:left w:val="nil"/>
              <w:bottom w:val="nil"/>
              <w:right w:val="nil"/>
            </w:tcBorders>
          </w:tcPr>
          <w:p w:rsidR="001C35F6" w:rsidRPr="00CB50A4" w:rsidRDefault="001C35F6" w:rsidP="001C35F6">
            <w:pPr>
              <w:pStyle w:val="TableofFigures"/>
              <w:jc w:val="left"/>
              <w:rPr>
                <w:rFonts w:eastAsiaTheme="minorEastAsia"/>
                <w:b/>
                <w:bCs/>
                <w:lang w:eastAsia="en-AU"/>
              </w:rPr>
            </w:pP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85 492.8</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2 604.2</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979.9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136 114.0</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(110.7)</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8 533.3</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119.9</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29.9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4 440.1</w:t>
            </w:r>
          </w:p>
        </w:tc>
      </w:tr>
      <w:tr w:rsidR="00B03921" w:rsidRPr="00CB50A4" w:rsidTr="00016914">
        <w:tc>
          <w:tcPr>
            <w:tcW w:w="2569"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94 026.1</w:t>
            </w:r>
          </w:p>
        </w:tc>
        <w:tc>
          <w:tcPr>
            <w:tcW w:w="212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2 724.1</w:t>
            </w:r>
          </w:p>
        </w:tc>
        <w:tc>
          <w:tcPr>
            <w:tcW w:w="1559"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1 009.8</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140 443.4</w:t>
            </w:r>
          </w:p>
        </w:tc>
      </w:tr>
      <w:tr w:rsidR="001C35F6" w:rsidRPr="00CB50A4" w:rsidTr="008079E9">
        <w:tc>
          <w:tcPr>
            <w:tcW w:w="7760" w:type="dxa"/>
            <w:gridSpan w:val="4"/>
            <w:tcBorders>
              <w:top w:val="nil"/>
              <w:left w:val="nil"/>
              <w:bottom w:val="nil"/>
              <w:right w:val="nil"/>
            </w:tcBorders>
          </w:tcPr>
          <w:p w:rsidR="001C35F6" w:rsidRPr="00CB50A4" w:rsidRDefault="001C35F6" w:rsidP="001C35F6">
            <w:pPr>
              <w:pStyle w:val="TableofFigures"/>
              <w:jc w:val="left"/>
              <w:rPr>
                <w:rFonts w:eastAsiaTheme="minorEastAsia"/>
                <w:b/>
                <w:bCs/>
                <w:lang w:eastAsia="en-AU"/>
              </w:rPr>
            </w:pP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94 026.1</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2 724.1</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1 009.8</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140 443.4</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4 291.5</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sidRPr="00CB50A4">
              <w:rPr>
                <w:rFonts w:eastAsiaTheme="minorEastAsia"/>
                <w:lang w:eastAsia="en-AU"/>
              </w:rPr>
              <w:t>2 165.1</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77.5</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76.9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3 719.7</w:t>
            </w:r>
          </w:p>
        </w:tc>
      </w:tr>
      <w:tr w:rsidR="00B03921" w:rsidRPr="00CB50A4" w:rsidTr="00016914">
        <w:tc>
          <w:tcPr>
            <w:tcW w:w="2569"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96 191.2</w:t>
            </w:r>
          </w:p>
        </w:tc>
        <w:tc>
          <w:tcPr>
            <w:tcW w:w="212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2 801.6</w:t>
            </w:r>
          </w:p>
        </w:tc>
        <w:tc>
          <w:tcPr>
            <w:tcW w:w="1559"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1 086.7</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148 454.5</w:t>
            </w:r>
          </w:p>
        </w:tc>
      </w:tr>
      <w:tr w:rsidR="001C35F6" w:rsidRPr="00CB50A4" w:rsidTr="008079E9">
        <w:tc>
          <w:tcPr>
            <w:tcW w:w="7760" w:type="dxa"/>
            <w:gridSpan w:val="4"/>
            <w:tcBorders>
              <w:top w:val="nil"/>
              <w:left w:val="nil"/>
              <w:bottom w:val="nil"/>
              <w:right w:val="nil"/>
            </w:tcBorders>
          </w:tcPr>
          <w:p w:rsidR="001C35F6" w:rsidRPr="00CB50A4" w:rsidRDefault="001C35F6" w:rsidP="001C35F6">
            <w:pPr>
              <w:pStyle w:val="TableofFigures"/>
              <w:jc w:val="left"/>
              <w:rPr>
                <w:rFonts w:eastAsiaTheme="minorEastAsia"/>
                <w:b/>
                <w:bCs/>
                <w:lang w:eastAsia="en-AU"/>
              </w:rPr>
            </w:pP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96 191.2</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2 801.6</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1 086.7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148 454.5</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442.8</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510.7</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135.2</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56.1</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1 739.2</w:t>
            </w:r>
          </w:p>
        </w:tc>
      </w:tr>
      <w:tr w:rsidR="00B03921" w:rsidRPr="00CB50A4" w:rsidTr="00016914">
        <w:tc>
          <w:tcPr>
            <w:tcW w:w="2569"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96 701.9</w:t>
            </w:r>
          </w:p>
        </w:tc>
        <w:tc>
          <w:tcPr>
            <w:tcW w:w="212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2 936.8</w:t>
            </w:r>
          </w:p>
        </w:tc>
        <w:tc>
          <w:tcPr>
            <w:tcW w:w="1559"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1 142.8</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150 636.5</w:t>
            </w:r>
          </w:p>
        </w:tc>
      </w:tr>
      <w:tr w:rsidR="001C35F6" w:rsidRPr="00CB50A4" w:rsidTr="008079E9">
        <w:tc>
          <w:tcPr>
            <w:tcW w:w="7760" w:type="dxa"/>
            <w:gridSpan w:val="4"/>
            <w:tcBorders>
              <w:top w:val="nil"/>
              <w:left w:val="nil"/>
              <w:bottom w:val="nil"/>
              <w:right w:val="nil"/>
            </w:tcBorders>
          </w:tcPr>
          <w:p w:rsidR="001C35F6" w:rsidRPr="00CB50A4" w:rsidRDefault="001C35F6" w:rsidP="001C35F6">
            <w:pPr>
              <w:pStyle w:val="TableofFigures"/>
              <w:jc w:val="left"/>
              <w:rPr>
                <w:rFonts w:eastAsiaTheme="minorEastAsia"/>
                <w:b/>
                <w:bCs/>
                <w:lang w:eastAsia="en-AU"/>
              </w:rPr>
            </w:pP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96 701.9</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2 936.8</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1 142.8</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150 636.5</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550.7</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sidRPr="00CB50A4">
              <w:rPr>
                <w:rFonts w:eastAsiaTheme="minorEastAsia"/>
                <w:lang w:eastAsia="en-AU"/>
              </w:rPr>
              <w:t>9 493.6</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110.7</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61.0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10 625.7</w:t>
            </w:r>
          </w:p>
        </w:tc>
      </w:tr>
      <w:tr w:rsidR="00B03921" w:rsidRPr="00CB50A4" w:rsidTr="00016914">
        <w:tc>
          <w:tcPr>
            <w:tcW w:w="2569"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106 195.4</w:t>
            </w:r>
          </w:p>
        </w:tc>
        <w:tc>
          <w:tcPr>
            <w:tcW w:w="212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3 047.5</w:t>
            </w:r>
          </w:p>
        </w:tc>
        <w:tc>
          <w:tcPr>
            <w:tcW w:w="1559"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1 203.8</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161 812.9</w:t>
            </w:r>
          </w:p>
        </w:tc>
      </w:tr>
      <w:tr w:rsidR="001C35F6" w:rsidRPr="00CB50A4" w:rsidTr="008079E9">
        <w:tc>
          <w:tcPr>
            <w:tcW w:w="7760" w:type="dxa"/>
            <w:gridSpan w:val="4"/>
            <w:tcBorders>
              <w:top w:val="nil"/>
              <w:left w:val="nil"/>
              <w:bottom w:val="nil"/>
              <w:right w:val="nil"/>
            </w:tcBorders>
          </w:tcPr>
          <w:p w:rsidR="001C35F6" w:rsidRPr="00CB50A4" w:rsidRDefault="001C35F6" w:rsidP="001C35F6">
            <w:pPr>
              <w:pStyle w:val="TableofFigures"/>
              <w:jc w:val="left"/>
              <w:rPr>
                <w:rFonts w:eastAsiaTheme="minorEastAsia"/>
                <w:b/>
                <w:bCs/>
                <w:lang w:eastAsia="en-AU"/>
              </w:rPr>
            </w:pPr>
            <w:r w:rsidRPr="00CB50A4">
              <w:rPr>
                <w:rFonts w:eastAsiaTheme="minorEastAsia"/>
                <w:b/>
                <w:bCs/>
                <w:lang w:eastAsia="en-AU"/>
              </w:rPr>
              <w:t xml:space="preserve"> </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106 195.4</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3 047.5</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1 203.8</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161 812.9</w:t>
            </w:r>
          </w:p>
        </w:tc>
      </w:tr>
      <w:tr w:rsidR="00B03921" w:rsidRPr="00CB50A4" w:rsidTr="00016914">
        <w:tc>
          <w:tcPr>
            <w:tcW w:w="2569"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12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59"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937.7</w:t>
            </w:r>
          </w:p>
        </w:tc>
      </w:tr>
      <w:tr w:rsidR="00B03921" w:rsidRPr="00CB50A4" w:rsidTr="00016914">
        <w:tc>
          <w:tcPr>
            <w:tcW w:w="2569" w:type="dxa"/>
            <w:tcBorders>
              <w:top w:val="nil"/>
              <w:left w:val="nil"/>
              <w:bottom w:val="single" w:sz="6" w:space="0" w:color="auto"/>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414.6</w:t>
            </w:r>
          </w:p>
        </w:tc>
        <w:tc>
          <w:tcPr>
            <w:tcW w:w="2126"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134.2</w:t>
            </w:r>
          </w:p>
        </w:tc>
        <w:tc>
          <w:tcPr>
            <w:tcW w:w="1559"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56.4</w:t>
            </w:r>
          </w:p>
        </w:tc>
        <w:tc>
          <w:tcPr>
            <w:tcW w:w="1506"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1 618.4</w:t>
            </w:r>
          </w:p>
        </w:tc>
      </w:tr>
      <w:tr w:rsidR="00B03921" w:rsidRPr="00CB50A4" w:rsidTr="00016914">
        <w:tc>
          <w:tcPr>
            <w:tcW w:w="2569"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106 610.0</w:t>
            </w:r>
          </w:p>
        </w:tc>
        <w:tc>
          <w:tcPr>
            <w:tcW w:w="212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3 181.7</w:t>
            </w:r>
          </w:p>
        </w:tc>
        <w:tc>
          <w:tcPr>
            <w:tcW w:w="1559"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1 260.2</w:t>
            </w:r>
          </w:p>
        </w:tc>
        <w:tc>
          <w:tcPr>
            <w:tcW w:w="150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164 369.1</w:t>
            </w:r>
          </w:p>
        </w:tc>
      </w:tr>
    </w:tbl>
    <w:p w:rsidR="00B03921" w:rsidRDefault="00B03921" w:rsidP="00016914">
      <w:pPr>
        <w:pStyle w:val="Notes"/>
      </w:pP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2.11:</w:t>
      </w:r>
      <w:r>
        <w:tab/>
        <w:t>Derivation of non</w:t>
      </w:r>
      <w:r>
        <w:noBreakHyphen/>
        <w:t>financial public sector GFS cash surplus/(deficit)</w:t>
      </w:r>
    </w:p>
    <w:p w:rsidR="00B03921" w:rsidRPr="00CB50A4"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Cash surplus/(deficit)</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(625.0)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5 381.0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(2 </w:t>
            </w:r>
            <w:r w:rsidRPr="00CB50A4">
              <w:rPr>
                <w:rFonts w:eastAsiaTheme="minorEastAsia" w:cs="Calibri"/>
                <w:b/>
                <w:bCs/>
                <w:color w:val="000000"/>
                <w:lang w:eastAsia="en-AU"/>
              </w:rPr>
              <w:t>407.3)</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(866.0)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(639.3)</w:t>
            </w:r>
          </w:p>
        </w:tc>
      </w:tr>
      <w:tr w:rsidR="00203B64" w:rsidRPr="00CB50A4" w:rsidTr="008079E9">
        <w:tc>
          <w:tcPr>
            <w:tcW w:w="7760" w:type="dxa"/>
            <w:gridSpan w:val="6"/>
            <w:tcBorders>
              <w:top w:val="nil"/>
              <w:left w:val="nil"/>
              <w:bottom w:val="nil"/>
              <w:right w:val="nil"/>
            </w:tcBorders>
            <w:shd w:val="solid" w:color="FFFFFF" w:fill="auto"/>
          </w:tcPr>
          <w:p w:rsidR="00203B64" w:rsidRPr="00CB50A4" w:rsidRDefault="00203B64" w:rsidP="00203B64">
            <w:pPr>
              <w:pStyle w:val="Tabletext"/>
              <w:rPr>
                <w:rFonts w:eastAsiaTheme="minorEastAsia"/>
                <w:lang w:eastAsia="en-AU"/>
              </w:rPr>
            </w:pPr>
            <w:r w:rsidRPr="00CB50A4">
              <w:rPr>
                <w:rFonts w:eastAsiaTheme="minorEastAsia"/>
                <w:lang w:eastAsia="en-AU"/>
              </w:rPr>
              <w:t>Convergence differences:</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Acquisitions under finance leases and similar arrangements</w:t>
            </w:r>
            <w:r w:rsidRPr="00CB50A4">
              <w:rPr>
                <w:rFonts w:eastAsiaTheme="minorEastAsia"/>
                <w:vertAlign w:val="superscript"/>
                <w:lang w:eastAsia="en-AU"/>
              </w:rPr>
              <w:t>(a)</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(36.4)</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(1 050.4)</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(416.7)</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(653.8)</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r>
      <w:tr w:rsidR="00B03921" w:rsidRPr="00CB50A4" w:rsidTr="00016914">
        <w:tc>
          <w:tcPr>
            <w:tcW w:w="2790"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vertAlign w:val="superscript"/>
                <w:lang w:eastAsia="en-AU"/>
              </w:rPr>
            </w:pPr>
            <w:r w:rsidRPr="00CB50A4">
              <w:rPr>
                <w:rFonts w:eastAsiaTheme="minorEastAsia"/>
                <w:b/>
                <w:bCs/>
                <w:lang w:eastAsia="en-AU"/>
              </w:rPr>
              <w:t>GFS cash surplus/(deficit)</w:t>
            </w:r>
            <w:r w:rsidRPr="00CB50A4">
              <w:rPr>
                <w:rFonts w:eastAsiaTheme="minorEastAsia"/>
                <w:b/>
                <w:bCs/>
                <w:vertAlign w:val="superscript"/>
                <w:lang w:eastAsia="en-AU"/>
              </w:rPr>
              <w:t>(b)</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(661.5)</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4 330.5</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(2</w:t>
            </w:r>
            <w:r w:rsidRPr="00CB50A4">
              <w:rPr>
                <w:rFonts w:eastAsiaTheme="minorEastAsia" w:cs="Calibri"/>
                <w:b/>
                <w:bCs/>
                <w:color w:val="000000"/>
                <w:lang w:eastAsia="en-AU"/>
              </w:rPr>
              <w:t xml:space="preserve"> 824.0)</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(1 519.8)</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(639.3)</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The finance lease acquisition in 2014</w:t>
      </w:r>
      <w:r>
        <w:noBreakHyphen/>
        <w:t>15 relates to metropolitan bus contracts. The 2015</w:t>
      </w:r>
      <w:r>
        <w:noBreakHyphen/>
        <w:t>16 estimate relates to the Victorian Comprehensive Cancer Centre. The 2016</w:t>
      </w:r>
      <w:r>
        <w:noBreakHyphen/>
        <w:t>17 estimate relates to the new Bendigo Hospital project (stage 1) and the New Schools PPP project (tranche 1). The 2017</w:t>
      </w:r>
      <w:r>
        <w:noBreakHyphen/>
        <w:t>18 estimate relates to the Ravenhall Prison project, the new Bendigo Hospital project (stage 2) and the New Schools PPP project (tranche 2).</w:t>
      </w:r>
    </w:p>
    <w:p w:rsidR="00B03921" w:rsidRDefault="00B03921" w:rsidP="00016914">
      <w:pPr>
        <w:pStyle w:val="Notes"/>
      </w:pPr>
      <w:r>
        <w:t>(b)</w:t>
      </w:r>
      <w:r>
        <w:tab/>
        <w:t>Determined in accordance with the ABS GFS manual.</w:t>
      </w:r>
    </w:p>
    <w:p w:rsidR="00B03921" w:rsidRPr="009650B4" w:rsidRDefault="00B03921" w:rsidP="00203B64">
      <w:pPr>
        <w:pStyle w:val="BodyText"/>
      </w:pPr>
    </w:p>
    <w:p w:rsidR="00B03921" w:rsidRDefault="00B03921" w:rsidP="00016914">
      <w:pPr>
        <w:pStyle w:val="BodyText"/>
      </w:pPr>
    </w:p>
    <w:p w:rsidR="00B03921" w:rsidRDefault="00B03921" w:rsidP="00016914">
      <w:pPr>
        <w:pStyle w:val="Tableheading"/>
      </w:pPr>
      <w:r>
        <w:t>Table 2.12:</w:t>
      </w:r>
      <w:r>
        <w:tab/>
        <w:t>Net acquisition of non</w:t>
      </w:r>
      <w:r>
        <w:noBreakHyphen/>
        <w:t>financial assets – non</w:t>
      </w:r>
      <w:r>
        <w:noBreakHyphen/>
        <w:t>financial public sector</w:t>
      </w:r>
      <w:r w:rsidRPr="00630D90">
        <w:rPr>
          <w:vertAlign w:val="superscript"/>
        </w:rPr>
        <w:t>(a)</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Purchases of non-financial assets less sales of non</w:t>
            </w:r>
            <w:r>
              <w:rPr>
                <w:rFonts w:eastAsiaTheme="minorEastAsia" w:cs="Calibri"/>
                <w:color w:val="000000"/>
                <w:lang w:eastAsia="en-AU"/>
              </w:rPr>
              <w:noBreakHyphen/>
            </w:r>
            <w:r w:rsidRPr="00CB50A4">
              <w:rPr>
                <w:rFonts w:eastAsiaTheme="minorEastAsia" w:cs="Calibri"/>
                <w:color w:val="000000"/>
                <w:lang w:eastAsia="en-AU"/>
              </w:rPr>
              <w:t>financial assets</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6 114.8</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(505.6)</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7 464.0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6 828.1</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6 859.9</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depreciation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(4 474.9)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(4 706.5)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(4 956.0)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(5 137.9)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(5 510.9)</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 xml:space="preserve">Plus: other movements in </w:t>
            </w:r>
            <w:r>
              <w:rPr>
                <w:rFonts w:eastAsiaTheme="minorEastAsia"/>
                <w:lang w:eastAsia="en-AU"/>
              </w:rPr>
              <w:br/>
            </w:r>
            <w:r w:rsidRPr="00CB50A4">
              <w:rPr>
                <w:rFonts w:eastAsiaTheme="minorEastAsia"/>
                <w:lang w:eastAsia="en-AU"/>
              </w:rPr>
              <w:t>non-financial assets</w:t>
            </w:r>
            <w:r w:rsidRPr="00CB50A4">
              <w:rPr>
                <w:rFonts w:eastAsiaTheme="minorEastAsia"/>
                <w:vertAlign w:val="superscript"/>
                <w:lang w:eastAsia="en-AU"/>
              </w:rPr>
              <w:t>(b)</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140.3</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1 170.8</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541.8</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786.7</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138.5</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 xml:space="preserve">Total net acquisition of </w:t>
            </w:r>
            <w:r>
              <w:rPr>
                <w:rFonts w:eastAsiaTheme="minorEastAsia"/>
                <w:b/>
                <w:bCs/>
                <w:lang w:eastAsia="en-AU"/>
              </w:rPr>
              <w:br/>
            </w:r>
            <w:r w:rsidRPr="00CB50A4">
              <w:rPr>
                <w:rFonts w:eastAsiaTheme="minorEastAsia"/>
                <w:b/>
                <w:bCs/>
                <w:lang w:eastAsia="en-AU"/>
              </w:rPr>
              <w:t>non-financial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1 780.2</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(4 041.4)</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3 049.9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2 476.9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1 487.5</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The other movements in non</w:t>
      </w:r>
      <w:r>
        <w:noBreakHyphen/>
        <w:t>financial assets in 2014</w:t>
      </w:r>
      <w:r>
        <w:noBreakHyphen/>
        <w:t>15 predominantly relates to the recognition of finance lease arrangements relating to the metropolitan bus contracts and developer contributions to metropolitan water corporations. The 2015</w:t>
      </w:r>
      <w:r>
        <w:noBreakHyphen/>
        <w:t>16 estimate predominantly relates to the Victorian Comprehensive Cancer Centre. The 2016</w:t>
      </w:r>
      <w:r>
        <w:noBreakHyphen/>
        <w:t>17 estimate predominantly relates to the new Bendigo Hospital project (stage 1) and the New Schools PPP project (tranche 1). The 2017</w:t>
      </w:r>
      <w:r>
        <w:noBreakHyphen/>
        <w:t>18 estimate predominantly relates to the Ravenhall Prison project, the new Bendigo Hospital project (stage 2) and the New Schools PPP project (tranche 2). The 2018</w:t>
      </w:r>
      <w:r>
        <w:noBreakHyphen/>
        <w:t xml:space="preserve">19 estimate predominantly relates to </w:t>
      </w:r>
      <w:r w:rsidRPr="00693A24">
        <w:t>developer contributions to metropolitan water corporations.</w:t>
      </w:r>
    </w:p>
    <w:p w:rsidR="00B03921" w:rsidRDefault="00B03921" w:rsidP="00016914">
      <w:pPr>
        <w:pStyle w:val="Notes"/>
      </w:pPr>
    </w:p>
    <w:p w:rsidR="00B03921" w:rsidRDefault="00B03921" w:rsidP="00016914">
      <w:pPr>
        <w:pStyle w:val="BodyText"/>
      </w:pPr>
      <w:r>
        <w:br w:type="page"/>
      </w:r>
    </w:p>
    <w:p w:rsidR="00B03921" w:rsidRDefault="00B03921" w:rsidP="00016914">
      <w:pPr>
        <w:pStyle w:val="Tableheading"/>
      </w:pPr>
      <w:r>
        <w:t>Table 2.13:</w:t>
      </w:r>
      <w:r>
        <w:tab/>
        <w:t>Public financial corporations sector comprehensive operating statement for the financial year ending 30 June</w:t>
      </w:r>
    </w:p>
    <w:p w:rsidR="00B03921" w:rsidRPr="00CB50A4" w:rsidRDefault="00B03921" w:rsidP="00016914">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161"/>
        <w:gridCol w:w="915"/>
        <w:gridCol w:w="918"/>
        <w:gridCol w:w="917"/>
        <w:gridCol w:w="919"/>
        <w:gridCol w:w="918"/>
        <w:gridCol w:w="12"/>
      </w:tblGrid>
      <w:tr w:rsidR="00B03921" w:rsidRPr="00CB50A4" w:rsidTr="00203B64">
        <w:trPr>
          <w:gridAfter w:val="1"/>
          <w:wAfter w:w="12" w:type="dxa"/>
          <w:tblHeader/>
        </w:trPr>
        <w:tc>
          <w:tcPr>
            <w:tcW w:w="3161"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i/>
                <w:lang w:eastAsia="en-AU"/>
              </w:rPr>
            </w:pPr>
            <w:r w:rsidRPr="00CB50A4">
              <w:rPr>
                <w:rFonts w:eastAsiaTheme="minorEastAsia"/>
                <w:i/>
                <w:lang w:eastAsia="en-AU"/>
              </w:rPr>
              <w:t xml:space="preserve"> </w:t>
            </w:r>
          </w:p>
        </w:tc>
        <w:tc>
          <w:tcPr>
            <w:tcW w:w="915"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18"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budget</w:t>
            </w:r>
          </w:p>
        </w:tc>
        <w:tc>
          <w:tcPr>
            <w:tcW w:w="917"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19"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18"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203B64" w:rsidRPr="00CB50A4" w:rsidTr="008079E9">
        <w:trPr>
          <w:gridAfter w:val="1"/>
          <w:wAfter w:w="12" w:type="dxa"/>
        </w:trPr>
        <w:tc>
          <w:tcPr>
            <w:tcW w:w="7748" w:type="dxa"/>
            <w:gridSpan w:val="6"/>
            <w:tcBorders>
              <w:top w:val="single" w:sz="6" w:space="0" w:color="auto"/>
              <w:left w:val="nil"/>
              <w:bottom w:val="nil"/>
              <w:right w:val="nil"/>
            </w:tcBorders>
            <w:shd w:val="solid" w:color="FFFFFF" w:fill="auto"/>
          </w:tcPr>
          <w:p w:rsidR="00203B64" w:rsidRPr="00CB50A4" w:rsidRDefault="00203B64" w:rsidP="00203B64">
            <w:pPr>
              <w:pStyle w:val="Tabletext"/>
              <w:rPr>
                <w:rFonts w:eastAsiaTheme="minorEastAsia"/>
                <w:b/>
                <w:bCs/>
                <w:lang w:eastAsia="en-AU"/>
              </w:rPr>
            </w:pPr>
            <w:r w:rsidRPr="00CB50A4">
              <w:rPr>
                <w:rFonts w:eastAsiaTheme="minorEastAsia"/>
                <w:b/>
                <w:bCs/>
                <w:lang w:eastAsia="en-AU"/>
              </w:rPr>
              <w:t>Revenue from transactions</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revenue</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2 337.7</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2 398.3</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2 324.9</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2 385.1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2 367.4</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Dividends and income tax equivalent and rate equivalent revenue</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703.0</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991.6</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1 136.8</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1 110.4</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985.5</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Sales of goods and services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3 989.1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4 167.8</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4 374.2</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4 589.9</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4 797.3</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Grants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r>
      <w:tr w:rsidR="00B03921" w:rsidRPr="00CB50A4" w:rsidTr="00203B64">
        <w:trPr>
          <w:gridAfter w:val="1"/>
          <w:wAfter w:w="12" w:type="dxa"/>
        </w:trPr>
        <w:tc>
          <w:tcPr>
            <w:tcW w:w="3161"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revenue</w:t>
            </w:r>
          </w:p>
        </w:tc>
        <w:tc>
          <w:tcPr>
            <w:tcW w:w="915"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24.8</w:t>
            </w:r>
          </w:p>
        </w:tc>
        <w:tc>
          <w:tcPr>
            <w:tcW w:w="91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23.1</w:t>
            </w:r>
          </w:p>
        </w:tc>
        <w:tc>
          <w:tcPr>
            <w:tcW w:w="91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24.0</w:t>
            </w:r>
          </w:p>
        </w:tc>
        <w:tc>
          <w:tcPr>
            <w:tcW w:w="919"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24.8</w:t>
            </w:r>
          </w:p>
        </w:tc>
        <w:tc>
          <w:tcPr>
            <w:tcW w:w="91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25.4</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revenue from transactions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7 054.6</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7 580.7</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7 859.9</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8 110.2</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8 175.6</w:t>
            </w:r>
          </w:p>
        </w:tc>
      </w:tr>
      <w:tr w:rsidR="00203B64" w:rsidRPr="00CB50A4" w:rsidTr="008079E9">
        <w:trPr>
          <w:gridAfter w:val="1"/>
          <w:wAfter w:w="12" w:type="dxa"/>
        </w:trPr>
        <w:tc>
          <w:tcPr>
            <w:tcW w:w="7748" w:type="dxa"/>
            <w:gridSpan w:val="6"/>
            <w:tcBorders>
              <w:top w:val="nil"/>
              <w:left w:val="nil"/>
              <w:bottom w:val="nil"/>
              <w:right w:val="nil"/>
            </w:tcBorders>
            <w:shd w:val="solid" w:color="FFFFFF" w:fill="auto"/>
          </w:tcPr>
          <w:p w:rsidR="00203B64" w:rsidRPr="00CB50A4" w:rsidRDefault="00203B64" w:rsidP="00203B64">
            <w:pPr>
              <w:pStyle w:val="Tabletext"/>
              <w:rPr>
                <w:rFonts w:eastAsiaTheme="minorEastAsia"/>
                <w:b/>
                <w:bCs/>
                <w:lang w:eastAsia="en-AU"/>
              </w:rPr>
            </w:pPr>
            <w:r w:rsidRPr="00CB50A4">
              <w:rPr>
                <w:rFonts w:eastAsiaTheme="minorEastAsia"/>
                <w:b/>
                <w:bCs/>
                <w:lang w:eastAsia="en-AU"/>
              </w:rPr>
              <w:t>Expenses from transactions</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expenses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291.1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297.2</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304.0</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311.9</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319.3</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superannuation</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22.6</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23.7</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24.2</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24.2</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24.8</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Depreciation</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52.5</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54.8</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57.6</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55.1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56.3</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expense</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2 070.1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2 022.2</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1 910.8</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1 953.4</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1 924.2</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operating expenses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5 588.7</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5 871.1</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6 107.5</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6 417.0</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6 679.6</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property expenses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207.5</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238.1</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252.1</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236.3</w:t>
            </w:r>
          </w:p>
        </w:tc>
      </w:tr>
      <w:tr w:rsidR="00B03921" w:rsidRPr="00CB50A4" w:rsidTr="00203B64">
        <w:trPr>
          <w:gridAfter w:val="1"/>
          <w:wAfter w:w="12" w:type="dxa"/>
        </w:trPr>
        <w:tc>
          <w:tcPr>
            <w:tcW w:w="3161"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expenses from transactions</w:t>
            </w:r>
          </w:p>
        </w:tc>
        <w:tc>
          <w:tcPr>
            <w:tcW w:w="915"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8 026.2</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8 476.4</w:t>
            </w:r>
          </w:p>
        </w:tc>
        <w:tc>
          <w:tcPr>
            <w:tcW w:w="917"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8 642.3</w:t>
            </w:r>
          </w:p>
        </w:tc>
        <w:tc>
          <w:tcPr>
            <w:tcW w:w="919"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9 013.8</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9 240.6</w:t>
            </w:r>
          </w:p>
        </w:tc>
      </w:tr>
      <w:tr w:rsidR="00B03921" w:rsidRPr="00CB50A4" w:rsidTr="00203B64">
        <w:trPr>
          <w:gridAfter w:val="1"/>
          <w:wAfter w:w="12" w:type="dxa"/>
        </w:trPr>
        <w:tc>
          <w:tcPr>
            <w:tcW w:w="316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vertAlign w:val="superscript"/>
                <w:lang w:eastAsia="en-AU"/>
              </w:rPr>
            </w:pPr>
            <w:r w:rsidRPr="00CB50A4">
              <w:rPr>
                <w:rFonts w:eastAsiaTheme="minorEastAsia"/>
                <w:b/>
                <w:bCs/>
                <w:lang w:eastAsia="en-AU"/>
              </w:rPr>
              <w:t xml:space="preserve">Net result from transactions – </w:t>
            </w:r>
            <w:r w:rsidR="00203B64">
              <w:rPr>
                <w:rFonts w:eastAsiaTheme="minorEastAsia"/>
                <w:b/>
                <w:bCs/>
                <w:lang w:eastAsia="en-AU"/>
              </w:rPr>
              <w:br/>
            </w:r>
            <w:r w:rsidRPr="00CB50A4">
              <w:rPr>
                <w:rFonts w:eastAsiaTheme="minorEastAsia"/>
                <w:b/>
                <w:bCs/>
                <w:lang w:eastAsia="en-AU"/>
              </w:rPr>
              <w:t>net operating balance</w:t>
            </w:r>
            <w:r w:rsidRPr="00CB50A4">
              <w:rPr>
                <w:rFonts w:eastAsiaTheme="minorEastAsia"/>
                <w:b/>
                <w:bCs/>
                <w:vertAlign w:val="superscript"/>
                <w:lang w:eastAsia="en-AU"/>
              </w:rPr>
              <w:t>(a)</w:t>
            </w:r>
          </w:p>
        </w:tc>
        <w:tc>
          <w:tcPr>
            <w:tcW w:w="915"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(971.6)</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(895.7)</w:t>
            </w:r>
          </w:p>
        </w:tc>
        <w:tc>
          <w:tcPr>
            <w:tcW w:w="91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(782.4)</w:t>
            </w:r>
          </w:p>
        </w:tc>
        <w:tc>
          <w:tcPr>
            <w:tcW w:w="919"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(903.6)</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(1 065.0)</w:t>
            </w:r>
          </w:p>
        </w:tc>
      </w:tr>
      <w:tr w:rsidR="00203B64" w:rsidRPr="00CB50A4" w:rsidTr="008079E9">
        <w:trPr>
          <w:gridAfter w:val="1"/>
          <w:wAfter w:w="12" w:type="dxa"/>
        </w:trPr>
        <w:tc>
          <w:tcPr>
            <w:tcW w:w="7748" w:type="dxa"/>
            <w:gridSpan w:val="6"/>
            <w:tcBorders>
              <w:top w:val="single" w:sz="12" w:space="0" w:color="000000"/>
              <w:left w:val="nil"/>
              <w:bottom w:val="nil"/>
              <w:right w:val="nil"/>
            </w:tcBorders>
            <w:shd w:val="solid" w:color="FFFFFF" w:fill="auto"/>
          </w:tcPr>
          <w:p w:rsidR="00203B64" w:rsidRPr="00CB50A4" w:rsidRDefault="00203B64" w:rsidP="00203B64">
            <w:pPr>
              <w:pStyle w:val="Tabletext"/>
              <w:rPr>
                <w:rFonts w:eastAsiaTheme="minorEastAsia"/>
                <w:b/>
                <w:bCs/>
                <w:lang w:eastAsia="en-AU"/>
              </w:rPr>
            </w:pPr>
            <w:r w:rsidRPr="00CB50A4">
              <w:rPr>
                <w:rFonts w:eastAsiaTheme="minorEastAsia"/>
                <w:b/>
                <w:bCs/>
                <w:lang w:eastAsia="en-AU"/>
              </w:rPr>
              <w:t>Other economic flows included in net result</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Net gain/(loss) on disposal of </w:t>
            </w:r>
            <w:r>
              <w:rPr>
                <w:rFonts w:eastAsiaTheme="minorEastAsia"/>
                <w:lang w:eastAsia="en-AU"/>
              </w:rPr>
              <w:br/>
            </w:r>
            <w:r w:rsidRPr="00CB50A4">
              <w:rPr>
                <w:rFonts w:eastAsiaTheme="minorEastAsia"/>
                <w:lang w:eastAsia="en-AU"/>
              </w:rPr>
              <w:t>non-financial assets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gain/(loss) on financial assets or liabilities at fair value</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628.5</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787.7</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715.9</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853.6</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1 023.5</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gains/(losses) from other economic flows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(539.5)</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694.9</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722.2</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752.2</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782.5</w:t>
            </w:r>
          </w:p>
        </w:tc>
      </w:tr>
      <w:tr w:rsidR="00B03921" w:rsidRPr="00CB50A4" w:rsidTr="00203B64">
        <w:trPr>
          <w:gridAfter w:val="1"/>
          <w:wAfter w:w="12" w:type="dxa"/>
        </w:trPr>
        <w:tc>
          <w:tcPr>
            <w:tcW w:w="3161"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other economic flows included in net result</w:t>
            </w:r>
          </w:p>
        </w:tc>
        <w:tc>
          <w:tcPr>
            <w:tcW w:w="915"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89.0</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1 482.6</w:t>
            </w:r>
          </w:p>
        </w:tc>
        <w:tc>
          <w:tcPr>
            <w:tcW w:w="917"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1 438.1</w:t>
            </w:r>
          </w:p>
        </w:tc>
        <w:tc>
          <w:tcPr>
            <w:tcW w:w="919"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1 605.9</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1 806.0</w:t>
            </w:r>
          </w:p>
        </w:tc>
      </w:tr>
      <w:tr w:rsidR="00B03921" w:rsidRPr="00CB50A4" w:rsidTr="00203B64">
        <w:trPr>
          <w:gridAfter w:val="1"/>
          <w:wAfter w:w="12" w:type="dxa"/>
        </w:trPr>
        <w:tc>
          <w:tcPr>
            <w:tcW w:w="316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result</w:t>
            </w:r>
          </w:p>
        </w:tc>
        <w:tc>
          <w:tcPr>
            <w:tcW w:w="915"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Pr>
                <w:rFonts w:eastAsiaTheme="minorEastAsia"/>
                <w:b/>
                <w:bCs/>
                <w:lang w:eastAsia="en-AU"/>
              </w:rPr>
              <w:t>(882.6)</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586.9</w:t>
            </w:r>
          </w:p>
        </w:tc>
        <w:tc>
          <w:tcPr>
            <w:tcW w:w="91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655.7</w:t>
            </w:r>
          </w:p>
        </w:tc>
        <w:tc>
          <w:tcPr>
            <w:tcW w:w="919"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702.3</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741.0</w:t>
            </w:r>
          </w:p>
        </w:tc>
      </w:tr>
      <w:tr w:rsidR="00203B64" w:rsidRPr="00CB50A4" w:rsidTr="008079E9">
        <w:tc>
          <w:tcPr>
            <w:tcW w:w="7760" w:type="dxa"/>
            <w:gridSpan w:val="7"/>
            <w:tcBorders>
              <w:top w:val="nil"/>
              <w:left w:val="nil"/>
              <w:bottom w:val="nil"/>
              <w:right w:val="nil"/>
            </w:tcBorders>
            <w:shd w:val="solid" w:color="FFFFFF" w:fill="auto"/>
          </w:tcPr>
          <w:p w:rsidR="00203B64" w:rsidRPr="00CB50A4" w:rsidRDefault="00203B64" w:rsidP="00203B64">
            <w:pPr>
              <w:pStyle w:val="Tabletext"/>
              <w:rPr>
                <w:rFonts w:eastAsiaTheme="minorEastAsia"/>
                <w:b/>
                <w:bCs/>
                <w:lang w:eastAsia="en-AU"/>
              </w:rPr>
            </w:pPr>
            <w:r w:rsidRPr="00CB50A4">
              <w:rPr>
                <w:rFonts w:eastAsiaTheme="minorEastAsia"/>
                <w:b/>
                <w:bCs/>
                <w:lang w:eastAsia="en-AU"/>
              </w:rPr>
              <w:t>Other economic flows – other comprehensive income</w:t>
            </w:r>
          </w:p>
        </w:tc>
      </w:tr>
      <w:tr w:rsidR="00203B64" w:rsidRPr="00CB50A4" w:rsidTr="008079E9">
        <w:trPr>
          <w:gridAfter w:val="1"/>
          <w:wAfter w:w="12" w:type="dxa"/>
        </w:trPr>
        <w:tc>
          <w:tcPr>
            <w:tcW w:w="7748" w:type="dxa"/>
            <w:gridSpan w:val="6"/>
            <w:tcBorders>
              <w:top w:val="nil"/>
              <w:left w:val="nil"/>
              <w:bottom w:val="nil"/>
              <w:right w:val="nil"/>
            </w:tcBorders>
            <w:shd w:val="solid" w:color="FFFFFF" w:fill="auto"/>
          </w:tcPr>
          <w:p w:rsidR="00203B64" w:rsidRPr="00CB50A4" w:rsidRDefault="00203B64" w:rsidP="00203B64">
            <w:pPr>
              <w:pStyle w:val="Tabletext"/>
              <w:rPr>
                <w:rFonts w:eastAsiaTheme="minorEastAsia"/>
                <w:b/>
                <w:bCs/>
                <w:lang w:eastAsia="en-AU"/>
              </w:rPr>
            </w:pPr>
            <w:r w:rsidRPr="00CB50A4">
              <w:rPr>
                <w:rFonts w:eastAsiaTheme="minorEastAsia"/>
                <w:b/>
                <w:bCs/>
                <w:lang w:eastAsia="en-AU"/>
              </w:rPr>
              <w:t xml:space="preserve">Items that will not be reclassified to net result </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Changes in non-financial assets revaluation surplus</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r>
      <w:tr w:rsidR="00B03921" w:rsidRPr="00CB50A4" w:rsidTr="00203B64">
        <w:trPr>
          <w:gridAfter w:val="1"/>
          <w:wAfter w:w="12" w:type="dxa"/>
        </w:trPr>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movements in equity</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(266.7)</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(3.3)</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(5.9)</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(13.7)</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(8.9)</w:t>
            </w:r>
          </w:p>
        </w:tc>
      </w:tr>
      <w:tr w:rsidR="00B03921" w:rsidRPr="00CB50A4" w:rsidTr="00203B64">
        <w:trPr>
          <w:gridAfter w:val="1"/>
          <w:wAfter w:w="12" w:type="dxa"/>
        </w:trPr>
        <w:tc>
          <w:tcPr>
            <w:tcW w:w="3161" w:type="dxa"/>
            <w:tcBorders>
              <w:top w:val="single" w:sz="6" w:space="0" w:color="000000"/>
              <w:left w:val="nil"/>
              <w:bottom w:val="single" w:sz="6" w:space="0" w:color="000000"/>
              <w:right w:val="nil"/>
            </w:tcBorders>
            <w:shd w:val="solid" w:color="FFFFFF" w:fill="auto"/>
          </w:tcPr>
          <w:p w:rsidR="00B03921" w:rsidRPr="00CB50A4" w:rsidRDefault="00B03921" w:rsidP="00203B64">
            <w:pPr>
              <w:pStyle w:val="Tabletext"/>
              <w:rPr>
                <w:rFonts w:eastAsiaTheme="minorEastAsia"/>
                <w:b/>
                <w:bCs/>
                <w:lang w:eastAsia="en-AU"/>
              </w:rPr>
            </w:pPr>
            <w:r w:rsidRPr="00CB50A4">
              <w:rPr>
                <w:rFonts w:eastAsiaTheme="minorEastAsia"/>
                <w:b/>
                <w:bCs/>
                <w:lang w:eastAsia="en-AU"/>
              </w:rPr>
              <w:t>Total other economic flows – other comprehensive income</w:t>
            </w:r>
          </w:p>
        </w:tc>
        <w:tc>
          <w:tcPr>
            <w:tcW w:w="915"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(266.7)</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(3.3)</w:t>
            </w:r>
          </w:p>
        </w:tc>
        <w:tc>
          <w:tcPr>
            <w:tcW w:w="917"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(5.9)</w:t>
            </w:r>
          </w:p>
        </w:tc>
        <w:tc>
          <w:tcPr>
            <w:tcW w:w="919"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(13.7)</w:t>
            </w:r>
          </w:p>
        </w:tc>
        <w:tc>
          <w:tcPr>
            <w:tcW w:w="918"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(8.9)</w:t>
            </w:r>
          </w:p>
        </w:tc>
      </w:tr>
      <w:tr w:rsidR="00B03921" w:rsidRPr="00CB50A4" w:rsidTr="00203B64">
        <w:trPr>
          <w:gridAfter w:val="1"/>
          <w:wAfter w:w="12" w:type="dxa"/>
        </w:trPr>
        <w:tc>
          <w:tcPr>
            <w:tcW w:w="316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Comprehensive result – total change in net worth</w:t>
            </w:r>
          </w:p>
        </w:tc>
        <w:tc>
          <w:tcPr>
            <w:tcW w:w="915"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(1 149.3)</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583.6</w:t>
            </w:r>
          </w:p>
        </w:tc>
        <w:tc>
          <w:tcPr>
            <w:tcW w:w="91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649.8</w:t>
            </w:r>
          </w:p>
        </w:tc>
        <w:tc>
          <w:tcPr>
            <w:tcW w:w="919"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688.6</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732.1</w:t>
            </w:r>
          </w:p>
        </w:tc>
      </w:tr>
    </w:tbl>
    <w:p w:rsidR="00203B64" w:rsidRDefault="00203B64" w:rsidP="00203B64">
      <w:pPr>
        <w:pStyle w:val="Tableheadingcontinued"/>
      </w:pPr>
    </w:p>
    <w:p w:rsidR="00203B64" w:rsidRDefault="00203B64">
      <w:pPr>
        <w:spacing w:after="0"/>
        <w:rPr>
          <w:rFonts w:ascii="Calibri" w:hAnsi="Calibri"/>
          <w:b/>
        </w:rPr>
      </w:pPr>
      <w:r>
        <w:br w:type="page"/>
      </w:r>
    </w:p>
    <w:p w:rsidR="00203B64" w:rsidRDefault="00203B64" w:rsidP="00203B64">
      <w:pPr>
        <w:pStyle w:val="Tableheadingcontinued"/>
      </w:pPr>
      <w:r>
        <w:t>Table 2.13:</w:t>
      </w:r>
      <w:r>
        <w:tab/>
        <w:t xml:space="preserve">Public financial corporations sector comprehensive operating statement for the financial year ending 30 June </w:t>
      </w:r>
      <w:r w:rsidRPr="00203B64">
        <w:rPr>
          <w:i/>
        </w:rPr>
        <w:t>(continued)</w:t>
      </w:r>
    </w:p>
    <w:p w:rsidR="00203B64" w:rsidRDefault="00203B64" w:rsidP="00203B64">
      <w:pPr>
        <w:pStyle w:val="million"/>
      </w:pPr>
      <w:r>
        <w:t>($ million)</w:t>
      </w:r>
    </w:p>
    <w:tbl>
      <w:tblPr>
        <w:tblW w:w="7748" w:type="dxa"/>
        <w:tblInd w:w="28" w:type="dxa"/>
        <w:tblLayout w:type="fixed"/>
        <w:tblCellMar>
          <w:left w:w="45" w:type="dxa"/>
          <w:right w:w="45" w:type="dxa"/>
        </w:tblCellMar>
        <w:tblLook w:val="0000" w:firstRow="0" w:lastRow="0" w:firstColumn="0" w:lastColumn="0" w:noHBand="0" w:noVBand="0"/>
      </w:tblPr>
      <w:tblGrid>
        <w:gridCol w:w="3161"/>
        <w:gridCol w:w="915"/>
        <w:gridCol w:w="918"/>
        <w:gridCol w:w="917"/>
        <w:gridCol w:w="919"/>
        <w:gridCol w:w="918"/>
      </w:tblGrid>
      <w:tr w:rsidR="00203B64" w:rsidRPr="00CB50A4" w:rsidTr="00203B64">
        <w:trPr>
          <w:tblHeader/>
        </w:trPr>
        <w:tc>
          <w:tcPr>
            <w:tcW w:w="3161" w:type="dxa"/>
            <w:tcBorders>
              <w:top w:val="single" w:sz="6" w:space="0" w:color="auto"/>
              <w:left w:val="single" w:sz="6" w:space="0" w:color="auto"/>
              <w:bottom w:val="single" w:sz="6" w:space="0" w:color="auto"/>
              <w:right w:val="nil"/>
            </w:tcBorders>
            <w:shd w:val="clear" w:color="000000" w:fill="000000"/>
          </w:tcPr>
          <w:p w:rsidR="00203B64" w:rsidRPr="00CB50A4" w:rsidRDefault="00203B64" w:rsidP="008079E9">
            <w:pPr>
              <w:pStyle w:val="Tabletext"/>
              <w:rPr>
                <w:rFonts w:eastAsiaTheme="minorEastAsia"/>
                <w:i/>
                <w:lang w:eastAsia="en-AU"/>
              </w:rPr>
            </w:pPr>
            <w:r w:rsidRPr="00CB50A4">
              <w:rPr>
                <w:rFonts w:eastAsiaTheme="minorEastAsia"/>
                <w:i/>
                <w:lang w:eastAsia="en-AU"/>
              </w:rPr>
              <w:t xml:space="preserve"> </w:t>
            </w:r>
          </w:p>
        </w:tc>
        <w:tc>
          <w:tcPr>
            <w:tcW w:w="915" w:type="dxa"/>
            <w:tcBorders>
              <w:top w:val="single" w:sz="6" w:space="0" w:color="auto"/>
              <w:left w:val="nil"/>
              <w:bottom w:val="single" w:sz="6" w:space="0" w:color="auto"/>
              <w:right w:val="nil"/>
            </w:tcBorders>
            <w:shd w:val="clear" w:color="000000" w:fill="000000"/>
          </w:tcPr>
          <w:p w:rsidR="00203B64" w:rsidRPr="00CB50A4" w:rsidRDefault="00203B64" w:rsidP="008079E9">
            <w:pPr>
              <w:pStyle w:val="Tabletextheading"/>
              <w:rPr>
                <w:rFonts w:eastAsiaTheme="minorEastAsia"/>
                <w:color w:val="FFFFFF"/>
                <w:lang w:eastAsia="en-AU"/>
              </w:rPr>
            </w:pPr>
            <w:r w:rsidRPr="00CB50A4">
              <w:rPr>
                <w:rFonts w:eastAsiaTheme="minorEastAsia"/>
                <w:color w:val="FFFFFF"/>
                <w:lang w:eastAsia="en-AU"/>
              </w:rPr>
              <w:t>2014-15 revised</w:t>
            </w:r>
          </w:p>
        </w:tc>
        <w:tc>
          <w:tcPr>
            <w:tcW w:w="918" w:type="dxa"/>
            <w:tcBorders>
              <w:top w:val="single" w:sz="6" w:space="0" w:color="auto"/>
              <w:left w:val="nil"/>
              <w:bottom w:val="single" w:sz="6" w:space="0" w:color="auto"/>
              <w:right w:val="nil"/>
            </w:tcBorders>
            <w:shd w:val="clear" w:color="000000" w:fill="000000"/>
          </w:tcPr>
          <w:p w:rsidR="00203B64" w:rsidRPr="00CB50A4" w:rsidRDefault="00203B64" w:rsidP="008079E9">
            <w:pPr>
              <w:pStyle w:val="Tabletextheading"/>
              <w:rPr>
                <w:rFonts w:eastAsiaTheme="minorEastAsia"/>
                <w:color w:val="FFFFFF"/>
                <w:lang w:eastAsia="en-AU"/>
              </w:rPr>
            </w:pPr>
            <w:r w:rsidRPr="00CB50A4">
              <w:rPr>
                <w:rFonts w:eastAsiaTheme="minorEastAsia"/>
                <w:color w:val="FFFFFF"/>
                <w:lang w:eastAsia="en-AU"/>
              </w:rPr>
              <w:t>2015-16 budget</w:t>
            </w:r>
          </w:p>
        </w:tc>
        <w:tc>
          <w:tcPr>
            <w:tcW w:w="917" w:type="dxa"/>
            <w:tcBorders>
              <w:top w:val="single" w:sz="6" w:space="0" w:color="auto"/>
              <w:left w:val="nil"/>
              <w:bottom w:val="single" w:sz="6" w:space="0" w:color="auto"/>
              <w:right w:val="nil"/>
            </w:tcBorders>
            <w:shd w:val="clear" w:color="000000" w:fill="000000"/>
          </w:tcPr>
          <w:p w:rsidR="00203B64" w:rsidRPr="00CB50A4" w:rsidRDefault="00203B64" w:rsidP="008079E9">
            <w:pPr>
              <w:pStyle w:val="Tabletextheading"/>
              <w:rPr>
                <w:rFonts w:eastAsiaTheme="minorEastAsia"/>
                <w:color w:val="FFFFFF"/>
                <w:lang w:eastAsia="en-AU"/>
              </w:rPr>
            </w:pPr>
            <w:r w:rsidRPr="00CB50A4">
              <w:rPr>
                <w:rFonts w:eastAsiaTheme="minorEastAsia"/>
                <w:color w:val="FFFFFF"/>
                <w:lang w:eastAsia="en-AU"/>
              </w:rPr>
              <w:t>2016-17 estimate</w:t>
            </w:r>
          </w:p>
        </w:tc>
        <w:tc>
          <w:tcPr>
            <w:tcW w:w="919" w:type="dxa"/>
            <w:tcBorders>
              <w:top w:val="single" w:sz="6" w:space="0" w:color="auto"/>
              <w:left w:val="nil"/>
              <w:bottom w:val="single" w:sz="6" w:space="0" w:color="auto"/>
              <w:right w:val="nil"/>
            </w:tcBorders>
            <w:shd w:val="clear" w:color="000000" w:fill="000000"/>
          </w:tcPr>
          <w:p w:rsidR="00203B64" w:rsidRPr="00CB50A4" w:rsidRDefault="00203B64" w:rsidP="008079E9">
            <w:pPr>
              <w:pStyle w:val="Tabletextheading"/>
              <w:rPr>
                <w:rFonts w:eastAsiaTheme="minorEastAsia"/>
                <w:color w:val="FFFFFF"/>
                <w:lang w:eastAsia="en-AU"/>
              </w:rPr>
            </w:pPr>
            <w:r w:rsidRPr="00CB50A4">
              <w:rPr>
                <w:rFonts w:eastAsiaTheme="minorEastAsia"/>
                <w:color w:val="FFFFFF"/>
                <w:lang w:eastAsia="en-AU"/>
              </w:rPr>
              <w:t>2017-18 estimate</w:t>
            </w:r>
          </w:p>
        </w:tc>
        <w:tc>
          <w:tcPr>
            <w:tcW w:w="918" w:type="dxa"/>
            <w:tcBorders>
              <w:top w:val="single" w:sz="6" w:space="0" w:color="auto"/>
              <w:left w:val="nil"/>
              <w:bottom w:val="single" w:sz="6" w:space="0" w:color="auto"/>
              <w:right w:val="single" w:sz="6" w:space="0" w:color="auto"/>
            </w:tcBorders>
            <w:shd w:val="clear" w:color="000000" w:fill="000000"/>
          </w:tcPr>
          <w:p w:rsidR="00203B64" w:rsidRPr="00CB50A4" w:rsidRDefault="00203B64" w:rsidP="008079E9">
            <w:pPr>
              <w:pStyle w:val="Tabletextheading"/>
              <w:rPr>
                <w:rFonts w:eastAsiaTheme="minorEastAsia"/>
                <w:color w:val="FFFFFF"/>
                <w:lang w:eastAsia="en-AU"/>
              </w:rPr>
            </w:pPr>
            <w:r w:rsidRPr="00CB50A4">
              <w:rPr>
                <w:rFonts w:eastAsiaTheme="minorEastAsia"/>
                <w:color w:val="FFFFFF"/>
                <w:lang w:eastAsia="en-AU"/>
              </w:rPr>
              <w:t>2018-19 estimate</w:t>
            </w:r>
          </w:p>
        </w:tc>
      </w:tr>
      <w:tr w:rsidR="00203B64" w:rsidRPr="00CB50A4" w:rsidTr="00203B64">
        <w:tc>
          <w:tcPr>
            <w:tcW w:w="7748" w:type="dxa"/>
            <w:gridSpan w:val="6"/>
            <w:tcBorders>
              <w:top w:val="single" w:sz="12" w:space="0" w:color="000000"/>
              <w:left w:val="nil"/>
              <w:bottom w:val="nil"/>
              <w:right w:val="nil"/>
            </w:tcBorders>
            <w:shd w:val="solid" w:color="FFFFFF" w:fill="auto"/>
          </w:tcPr>
          <w:p w:rsidR="00203B64" w:rsidRPr="00CB50A4" w:rsidRDefault="00203B64" w:rsidP="00203B64">
            <w:pPr>
              <w:pStyle w:val="Tabletext"/>
              <w:ind w:left="187" w:hanging="187"/>
              <w:rPr>
                <w:rFonts w:eastAsiaTheme="minorEastAsia"/>
                <w:b/>
                <w:lang w:eastAsia="en-AU"/>
              </w:rPr>
            </w:pPr>
            <w:r w:rsidRPr="00CB50A4">
              <w:rPr>
                <w:rFonts w:eastAsiaTheme="minorEastAsia"/>
                <w:b/>
                <w:bCs/>
                <w:lang w:eastAsia="en-AU"/>
              </w:rPr>
              <w:t>KEY FISCAL AGGREGATES</w:t>
            </w:r>
          </w:p>
        </w:tc>
      </w:tr>
      <w:tr w:rsidR="00B03921" w:rsidRPr="00CB50A4" w:rsidTr="00203B64">
        <w:tc>
          <w:tcPr>
            <w:tcW w:w="3161"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operating balance</w:t>
            </w:r>
          </w:p>
        </w:tc>
        <w:tc>
          <w:tcPr>
            <w:tcW w:w="91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(971.6)</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(895.7)</w:t>
            </w:r>
          </w:p>
        </w:tc>
        <w:tc>
          <w:tcPr>
            <w:tcW w:w="91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(782.4)</w:t>
            </w:r>
          </w:p>
        </w:tc>
        <w:tc>
          <w:tcPr>
            <w:tcW w:w="919"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(903.6)</w:t>
            </w:r>
          </w:p>
        </w:tc>
        <w:tc>
          <w:tcPr>
            <w:tcW w:w="918"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(1 065.0)</w:t>
            </w:r>
          </w:p>
        </w:tc>
      </w:tr>
      <w:tr w:rsidR="00B03921" w:rsidRPr="00CB50A4" w:rsidTr="00203B64">
        <w:tc>
          <w:tcPr>
            <w:tcW w:w="3161"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Net acquisition of non-financial assets from transactions</w:t>
            </w:r>
          </w:p>
        </w:tc>
        <w:tc>
          <w:tcPr>
            <w:tcW w:w="915"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(10.8)</w:t>
            </w:r>
          </w:p>
        </w:tc>
        <w:tc>
          <w:tcPr>
            <w:tcW w:w="91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(8.3)</w:t>
            </w:r>
          </w:p>
        </w:tc>
        <w:tc>
          <w:tcPr>
            <w:tcW w:w="91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(4.6)</w:t>
            </w:r>
          </w:p>
        </w:tc>
        <w:tc>
          <w:tcPr>
            <w:tcW w:w="919"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w:t>
            </w:r>
          </w:p>
        </w:tc>
        <w:tc>
          <w:tcPr>
            <w:tcW w:w="918"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(14.9)</w:t>
            </w:r>
          </w:p>
        </w:tc>
      </w:tr>
      <w:tr w:rsidR="00B03921" w:rsidRPr="00CB50A4" w:rsidTr="00203B64">
        <w:tc>
          <w:tcPr>
            <w:tcW w:w="3161"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lending/(borrowing)</w:t>
            </w:r>
          </w:p>
        </w:tc>
        <w:tc>
          <w:tcPr>
            <w:tcW w:w="915"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(960.8)</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(887.4)</w:t>
            </w:r>
          </w:p>
        </w:tc>
        <w:tc>
          <w:tcPr>
            <w:tcW w:w="91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(777.8)</w:t>
            </w:r>
          </w:p>
        </w:tc>
        <w:tc>
          <w:tcPr>
            <w:tcW w:w="919"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(908.5)</w:t>
            </w:r>
          </w:p>
        </w:tc>
        <w:tc>
          <w:tcPr>
            <w:tcW w:w="918"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(1 050.1)</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(a)</w:t>
      </w:r>
      <w:r>
        <w:tab/>
        <w:t>Capital gains on the investment portfolios of the State</w:t>
      </w:r>
      <w:r w:rsidR="00BA5A16">
        <w:t>’</w:t>
      </w:r>
      <w:r>
        <w:t>s insurance agencies (</w:t>
      </w:r>
      <w:r w:rsidRPr="00AD293F">
        <w:t>WorkSafe Victori</w:t>
      </w:r>
      <w:r>
        <w:t>a, Transport Accident Commission and Victorian Managed Insurance Authority) are classified as other economic flows. As these capital gains are available to fund claims expenses, the net result provides a more meaningful reflection of the underlying operating performance of the PFC sector than the net result from transactions.</w:t>
      </w: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2.14:</w:t>
      </w:r>
      <w:r>
        <w:tab/>
        <w:t>Public financial corporations sector balance sheet as at 30 June</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2019 estimate</w:t>
            </w:r>
          </w:p>
        </w:tc>
      </w:tr>
      <w:tr w:rsidR="00A35FE2" w:rsidRPr="00CB50A4" w:rsidTr="008079E9">
        <w:tc>
          <w:tcPr>
            <w:tcW w:w="7760" w:type="dxa"/>
            <w:gridSpan w:val="6"/>
            <w:tcBorders>
              <w:top w:val="single" w:sz="6" w:space="0" w:color="auto"/>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 xml:space="preserve">Assets </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 xml:space="preserve">Financial assets </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Cash and deposits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5 171.7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5 219.3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5 561.5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4 601.9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4 939.1</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Advances paid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67.5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69.0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70.6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18.6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21.1</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Investments, loans and placements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29 470.6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31 589.8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31 922.0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33 665.2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35 591.0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 xml:space="preserve">Loans receivable from </w:t>
            </w:r>
            <w:r>
              <w:rPr>
                <w:rFonts w:eastAsiaTheme="minorEastAsia"/>
                <w:bCs/>
                <w:lang w:eastAsia="en-AU"/>
              </w:rPr>
              <w:br/>
            </w:r>
            <w:r w:rsidRPr="00CB50A4">
              <w:rPr>
                <w:rFonts w:eastAsiaTheme="minorEastAsia"/>
                <w:bCs/>
                <w:lang w:eastAsia="en-AU"/>
              </w:rPr>
              <w:t>non-financial public sector</w:t>
            </w:r>
            <w:r w:rsidRPr="00CB50A4">
              <w:rPr>
                <w:rFonts w:eastAsiaTheme="minorEastAsia"/>
                <w:bCs/>
                <w:vertAlign w:val="superscript"/>
                <w:lang w:eastAsia="en-AU"/>
              </w:rPr>
              <w:t>(a)</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36 433.5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31 591.9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34 438.2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35 000.1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36 537.8</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Receivables</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1 451.6</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1 471.3</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1 509.2</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1 555.1</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1 587.0</w:t>
            </w:r>
          </w:p>
        </w:tc>
      </w:tr>
      <w:tr w:rsidR="00B03921" w:rsidRPr="00CB50A4" w:rsidTr="00016914">
        <w:tc>
          <w:tcPr>
            <w:tcW w:w="2790" w:type="dxa"/>
            <w:tcBorders>
              <w:top w:val="single" w:sz="4" w:space="0" w:color="auto"/>
              <w:left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financial assets</w:t>
            </w:r>
          </w:p>
        </w:tc>
        <w:tc>
          <w:tcPr>
            <w:tcW w:w="994" w:type="dxa"/>
            <w:tcBorders>
              <w:top w:val="single" w:sz="4" w:space="0" w:color="auto"/>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72 594.8</w:t>
            </w:r>
          </w:p>
        </w:tc>
        <w:tc>
          <w:tcPr>
            <w:tcW w:w="994" w:type="dxa"/>
            <w:tcBorders>
              <w:top w:val="single" w:sz="4" w:space="0" w:color="auto"/>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69 941.2</w:t>
            </w:r>
          </w:p>
        </w:tc>
        <w:tc>
          <w:tcPr>
            <w:tcW w:w="994" w:type="dxa"/>
            <w:tcBorders>
              <w:top w:val="single" w:sz="4" w:space="0" w:color="auto"/>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73 501.5</w:t>
            </w:r>
          </w:p>
        </w:tc>
        <w:tc>
          <w:tcPr>
            <w:tcW w:w="994" w:type="dxa"/>
            <w:tcBorders>
              <w:top w:val="single" w:sz="4" w:space="0" w:color="auto"/>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74 840.9</w:t>
            </w:r>
          </w:p>
        </w:tc>
        <w:tc>
          <w:tcPr>
            <w:tcW w:w="994" w:type="dxa"/>
            <w:tcBorders>
              <w:top w:val="single" w:sz="4" w:space="0" w:color="auto"/>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78 676.1</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 xml:space="preserve">Non-financial assets </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Non-financial assets held for sale</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w:t>
            </w:r>
          </w:p>
        </w:tc>
      </w:tr>
      <w:tr w:rsidR="00B03921" w:rsidRPr="00CB50A4" w:rsidTr="00016914">
        <w:tc>
          <w:tcPr>
            <w:tcW w:w="2790" w:type="dxa"/>
            <w:tcBorders>
              <w:top w:val="nil"/>
              <w:left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Land, buildings, infrastructure, plant and equipment</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85.3</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81.3</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83.8</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87.8</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78.0</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Other non-financial assets</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1 150.5</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1 074.3</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966.0</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828.2</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820.0</w:t>
            </w:r>
          </w:p>
        </w:tc>
      </w:tr>
      <w:tr w:rsidR="00B03921" w:rsidRPr="00CB50A4" w:rsidTr="00016914">
        <w:tc>
          <w:tcPr>
            <w:tcW w:w="2790"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text"/>
              <w:rPr>
                <w:rFonts w:eastAsiaTheme="minorEastAsia"/>
                <w:b/>
                <w:bCs/>
                <w:lang w:eastAsia="en-AU"/>
              </w:rPr>
            </w:pPr>
            <w:r w:rsidRPr="0043683F">
              <w:rPr>
                <w:rFonts w:eastAsiaTheme="minorEastAsia"/>
                <w:b/>
                <w:bCs/>
                <w:lang w:eastAsia="en-AU"/>
              </w:rPr>
              <w:t>Total non-financial assets</w:t>
            </w:r>
          </w:p>
        </w:tc>
        <w:tc>
          <w:tcPr>
            <w:tcW w:w="994"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ofFigures"/>
              <w:rPr>
                <w:rFonts w:eastAsiaTheme="minorEastAsia"/>
                <w:b/>
                <w:bCs/>
                <w:lang w:eastAsia="en-AU"/>
              </w:rPr>
            </w:pPr>
            <w:r w:rsidRPr="0043683F">
              <w:rPr>
                <w:rFonts w:eastAsiaTheme="minorEastAsia"/>
                <w:b/>
                <w:bCs/>
                <w:lang w:eastAsia="en-AU"/>
              </w:rPr>
              <w:t>1 235.8</w:t>
            </w:r>
          </w:p>
        </w:tc>
        <w:tc>
          <w:tcPr>
            <w:tcW w:w="994"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ofFigures"/>
              <w:rPr>
                <w:rFonts w:eastAsiaTheme="minorEastAsia"/>
                <w:b/>
                <w:bCs/>
                <w:lang w:eastAsia="en-AU"/>
              </w:rPr>
            </w:pPr>
            <w:r w:rsidRPr="0043683F">
              <w:rPr>
                <w:rFonts w:eastAsiaTheme="minorEastAsia"/>
                <w:b/>
                <w:bCs/>
                <w:lang w:eastAsia="en-AU"/>
              </w:rPr>
              <w:t>1 155.6</w:t>
            </w:r>
          </w:p>
        </w:tc>
        <w:tc>
          <w:tcPr>
            <w:tcW w:w="994"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ofFigures"/>
              <w:rPr>
                <w:rFonts w:eastAsiaTheme="minorEastAsia"/>
                <w:b/>
                <w:bCs/>
                <w:lang w:eastAsia="en-AU"/>
              </w:rPr>
            </w:pPr>
            <w:r w:rsidRPr="0043683F">
              <w:rPr>
                <w:rFonts w:eastAsiaTheme="minorEastAsia"/>
                <w:b/>
                <w:bCs/>
                <w:lang w:eastAsia="en-AU"/>
              </w:rPr>
              <w:t>1 049.8</w:t>
            </w:r>
          </w:p>
        </w:tc>
        <w:tc>
          <w:tcPr>
            <w:tcW w:w="994"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ofFigures"/>
              <w:rPr>
                <w:rFonts w:eastAsiaTheme="minorEastAsia"/>
                <w:b/>
                <w:bCs/>
                <w:lang w:eastAsia="en-AU"/>
              </w:rPr>
            </w:pPr>
            <w:r w:rsidRPr="0043683F">
              <w:rPr>
                <w:rFonts w:eastAsiaTheme="minorEastAsia"/>
                <w:b/>
                <w:bCs/>
                <w:lang w:eastAsia="en-AU"/>
              </w:rPr>
              <w:t xml:space="preserve"> 916.0</w:t>
            </w:r>
          </w:p>
        </w:tc>
        <w:tc>
          <w:tcPr>
            <w:tcW w:w="994" w:type="dxa"/>
            <w:tcBorders>
              <w:top w:val="single" w:sz="4" w:space="0" w:color="auto"/>
              <w:left w:val="nil"/>
              <w:bottom w:val="single" w:sz="6" w:space="0" w:color="000000"/>
              <w:right w:val="nil"/>
            </w:tcBorders>
            <w:shd w:val="solid" w:color="FFFFFF" w:fill="auto"/>
          </w:tcPr>
          <w:p w:rsidR="00B03921" w:rsidRPr="0043683F" w:rsidRDefault="00B03921" w:rsidP="00016914">
            <w:pPr>
              <w:pStyle w:val="TableofFigures"/>
              <w:rPr>
                <w:rFonts w:eastAsiaTheme="minorEastAsia"/>
                <w:b/>
                <w:bCs/>
                <w:lang w:eastAsia="en-AU"/>
              </w:rPr>
            </w:pPr>
            <w:r w:rsidRPr="0043683F">
              <w:rPr>
                <w:rFonts w:eastAsiaTheme="minorEastAsia"/>
                <w:b/>
                <w:bCs/>
                <w:lang w:eastAsia="en-AU"/>
              </w:rPr>
              <w:t xml:space="preserve"> 898.0</w:t>
            </w:r>
          </w:p>
        </w:tc>
      </w:tr>
      <w:tr w:rsidR="00B03921" w:rsidRPr="00CB50A4" w:rsidTr="00016914">
        <w:tc>
          <w:tcPr>
            <w:tcW w:w="2790" w:type="dxa"/>
            <w:tcBorders>
              <w:top w:val="single" w:sz="6" w:space="0" w:color="000000"/>
              <w:left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assets</w:t>
            </w:r>
          </w:p>
        </w:tc>
        <w:tc>
          <w:tcPr>
            <w:tcW w:w="994" w:type="dxa"/>
            <w:tcBorders>
              <w:top w:val="single" w:sz="6" w:space="0" w:color="000000"/>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73 830.6</w:t>
            </w:r>
          </w:p>
        </w:tc>
        <w:tc>
          <w:tcPr>
            <w:tcW w:w="994" w:type="dxa"/>
            <w:tcBorders>
              <w:top w:val="single" w:sz="6" w:space="0" w:color="000000"/>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71 096.8</w:t>
            </w:r>
          </w:p>
        </w:tc>
        <w:tc>
          <w:tcPr>
            <w:tcW w:w="994" w:type="dxa"/>
            <w:tcBorders>
              <w:top w:val="single" w:sz="6" w:space="0" w:color="000000"/>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74 551.3</w:t>
            </w:r>
          </w:p>
        </w:tc>
        <w:tc>
          <w:tcPr>
            <w:tcW w:w="994" w:type="dxa"/>
            <w:tcBorders>
              <w:top w:val="single" w:sz="6" w:space="0" w:color="000000"/>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75 756.8</w:t>
            </w:r>
          </w:p>
        </w:tc>
        <w:tc>
          <w:tcPr>
            <w:tcW w:w="994" w:type="dxa"/>
            <w:tcBorders>
              <w:top w:val="single" w:sz="6" w:space="0" w:color="000000"/>
              <w:left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79 574.1</w:t>
            </w:r>
          </w:p>
        </w:tc>
      </w:tr>
      <w:tr w:rsidR="00A35FE2" w:rsidRPr="00CB50A4" w:rsidTr="008079E9">
        <w:tc>
          <w:tcPr>
            <w:tcW w:w="7760" w:type="dxa"/>
            <w:gridSpan w:val="6"/>
            <w:tcBorders>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Liabilities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Deposits held and advances received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5 550.3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5 530.1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5 371.5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5 575.4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5 890.6</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Payables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1 530.0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1 598.6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1 679.9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1 741.7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1 800.5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Borrowings</w:t>
            </w:r>
            <w:r w:rsidRPr="00CB50A4">
              <w:rPr>
                <w:rFonts w:eastAsiaTheme="minorEastAsia"/>
                <w:bCs/>
                <w:vertAlign w:val="superscript"/>
                <w:lang w:eastAsia="en-AU"/>
              </w:rPr>
              <w:t>(b)</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42 824.6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38 775.0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40 802.2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41 360.5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42 894.4</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Employee benefits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79.4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81.2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83.2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85.6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87.8</w:t>
            </w:r>
          </w:p>
        </w:tc>
      </w:tr>
      <w:tr w:rsidR="00B03921" w:rsidRPr="00CB50A4" w:rsidTr="00016914">
        <w:tc>
          <w:tcPr>
            <w:tcW w:w="2790" w:type="dxa"/>
            <w:tcBorders>
              <w:top w:val="nil"/>
              <w:left w:val="nil"/>
              <w:bottom w:val="single" w:sz="2" w:space="0" w:color="000000"/>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Other provisions</w:t>
            </w:r>
          </w:p>
        </w:tc>
        <w:tc>
          <w:tcPr>
            <w:tcW w:w="994" w:type="dxa"/>
            <w:tcBorders>
              <w:top w:val="nil"/>
              <w:left w:val="nil"/>
              <w:bottom w:val="single" w:sz="2" w:space="0" w:color="000000"/>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25 908.6</w:t>
            </w:r>
          </w:p>
        </w:tc>
        <w:tc>
          <w:tcPr>
            <w:tcW w:w="994" w:type="dxa"/>
            <w:tcBorders>
              <w:top w:val="nil"/>
              <w:left w:val="nil"/>
              <w:bottom w:val="single" w:sz="2" w:space="0" w:color="000000"/>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27 193.4</w:t>
            </w:r>
          </w:p>
        </w:tc>
        <w:tc>
          <w:tcPr>
            <w:tcW w:w="994" w:type="dxa"/>
            <w:tcBorders>
              <w:top w:val="nil"/>
              <w:left w:val="nil"/>
              <w:bottom w:val="single" w:sz="2" w:space="0" w:color="000000"/>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28 551.8</w:t>
            </w:r>
          </w:p>
        </w:tc>
        <w:tc>
          <w:tcPr>
            <w:tcW w:w="994" w:type="dxa"/>
            <w:tcBorders>
              <w:top w:val="nil"/>
              <w:left w:val="nil"/>
              <w:bottom w:val="single" w:sz="2" w:space="0" w:color="000000"/>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29 991.3</w:t>
            </w:r>
          </w:p>
        </w:tc>
        <w:tc>
          <w:tcPr>
            <w:tcW w:w="994" w:type="dxa"/>
            <w:tcBorders>
              <w:top w:val="nil"/>
              <w:left w:val="nil"/>
              <w:bottom w:val="single" w:sz="2" w:space="0" w:color="000000"/>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31 493.7</w:t>
            </w:r>
          </w:p>
        </w:tc>
      </w:tr>
      <w:tr w:rsidR="00B03921" w:rsidRPr="00CB50A4" w:rsidTr="00016914">
        <w:tc>
          <w:tcPr>
            <w:tcW w:w="2790"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liabilities</w:t>
            </w:r>
          </w:p>
        </w:tc>
        <w:tc>
          <w:tcPr>
            <w:tcW w:w="994"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75 892.8</w:t>
            </w:r>
          </w:p>
        </w:tc>
        <w:tc>
          <w:tcPr>
            <w:tcW w:w="994"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73 178.3</w:t>
            </w:r>
          </w:p>
        </w:tc>
        <w:tc>
          <w:tcPr>
            <w:tcW w:w="994"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76 488.5</w:t>
            </w:r>
          </w:p>
        </w:tc>
        <w:tc>
          <w:tcPr>
            <w:tcW w:w="994"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78 754.6</w:t>
            </w:r>
          </w:p>
        </w:tc>
        <w:tc>
          <w:tcPr>
            <w:tcW w:w="994" w:type="dxa"/>
            <w:tcBorders>
              <w:top w:val="single" w:sz="2" w:space="0" w:color="000000"/>
              <w:left w:val="nil"/>
              <w:bottom w:val="single" w:sz="4"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82 167.0</w:t>
            </w:r>
          </w:p>
        </w:tc>
      </w:tr>
      <w:tr w:rsidR="00B03921" w:rsidRPr="00CB50A4" w:rsidTr="00016914">
        <w:tc>
          <w:tcPr>
            <w:tcW w:w="2790"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assets</w:t>
            </w:r>
            <w:r>
              <w:rPr>
                <w:rFonts w:eastAsiaTheme="minorEastAsia"/>
                <w:b/>
                <w:bCs/>
                <w:vertAlign w:val="superscript"/>
                <w:lang w:eastAsia="en-AU"/>
              </w:rPr>
              <w:t>(b</w:t>
            </w:r>
            <w:r w:rsidRPr="00CB50A4">
              <w:rPr>
                <w:rFonts w:eastAsiaTheme="minorEastAsia"/>
                <w:b/>
                <w:bCs/>
                <w:vertAlign w:val="superscript"/>
                <w:lang w:eastAsia="en-AU"/>
              </w:rPr>
              <w:t>)</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(2 062.2)</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(2 081.5)</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(1 937.2)</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(2 997.7)</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(2 592.9)</w:t>
            </w:r>
          </w:p>
        </w:tc>
      </w:tr>
      <w:tr w:rsidR="00B03921" w:rsidRPr="00CB50A4" w:rsidTr="00016914">
        <w:tc>
          <w:tcPr>
            <w:tcW w:w="2790" w:type="dxa"/>
            <w:tcBorders>
              <w:top w:val="single" w:sz="12" w:space="0" w:color="auto"/>
              <w:left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Accumulated surplus/(deficit)</w:t>
            </w:r>
          </w:p>
        </w:tc>
        <w:tc>
          <w:tcPr>
            <w:tcW w:w="994" w:type="dxa"/>
            <w:tcBorders>
              <w:top w:val="single" w:sz="12" w:space="0" w:color="auto"/>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(2 312.7)</w:t>
            </w:r>
          </w:p>
        </w:tc>
        <w:tc>
          <w:tcPr>
            <w:tcW w:w="994" w:type="dxa"/>
            <w:tcBorders>
              <w:top w:val="single" w:sz="12" w:space="0" w:color="auto"/>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(2 349.5)</w:t>
            </w:r>
          </w:p>
        </w:tc>
        <w:tc>
          <w:tcPr>
            <w:tcW w:w="994" w:type="dxa"/>
            <w:tcBorders>
              <w:top w:val="single" w:sz="12" w:space="0" w:color="auto"/>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(2 222.0)</w:t>
            </w:r>
          </w:p>
        </w:tc>
        <w:tc>
          <w:tcPr>
            <w:tcW w:w="994" w:type="dxa"/>
            <w:tcBorders>
              <w:top w:val="single" w:sz="12" w:space="0" w:color="auto"/>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(2 064.1)</w:t>
            </w:r>
          </w:p>
        </w:tc>
        <w:tc>
          <w:tcPr>
            <w:tcW w:w="994" w:type="dxa"/>
            <w:tcBorders>
              <w:top w:val="single" w:sz="12" w:space="0" w:color="auto"/>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(1 675.9)</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Reserves</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250.5</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268.0</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284.8</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bCs/>
                <w:lang w:eastAsia="en-AU"/>
              </w:rPr>
              <w:t>(933.6)</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bCs/>
                <w:lang w:eastAsia="en-AU"/>
              </w:rPr>
              <w:t>(917.0)</w:t>
            </w:r>
          </w:p>
        </w:tc>
      </w:tr>
      <w:tr w:rsidR="00B03921" w:rsidRPr="00CB50A4" w:rsidTr="00016914">
        <w:tc>
          <w:tcPr>
            <w:tcW w:w="2790"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worth</w:t>
            </w:r>
            <w:r>
              <w:rPr>
                <w:rFonts w:eastAsiaTheme="minorEastAsia"/>
                <w:b/>
                <w:bCs/>
                <w:vertAlign w:val="superscript"/>
                <w:lang w:eastAsia="en-AU"/>
              </w:rPr>
              <w:t>(b</w:t>
            </w:r>
            <w:r w:rsidRPr="00CB50A4">
              <w:rPr>
                <w:rFonts w:eastAsiaTheme="minorEastAsia"/>
                <w:b/>
                <w:bCs/>
                <w:vertAlign w:val="superscript"/>
                <w:lang w:eastAsia="en-AU"/>
              </w:rPr>
              <w:t>)</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(2 062.2)</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(2 081.5)</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(1 937.2)</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(2 997.7)</w:t>
            </w:r>
          </w:p>
        </w:tc>
        <w:tc>
          <w:tcPr>
            <w:tcW w:w="994" w:type="dxa"/>
            <w:tcBorders>
              <w:top w:val="single" w:sz="4" w:space="0" w:color="auto"/>
              <w:left w:val="nil"/>
              <w:bottom w:val="single" w:sz="12" w:space="0" w:color="auto"/>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(2 592.9)</w:t>
            </w:r>
          </w:p>
        </w:tc>
      </w:tr>
      <w:tr w:rsidR="00A35FE2" w:rsidRPr="00CB50A4" w:rsidTr="008079E9">
        <w:tc>
          <w:tcPr>
            <w:tcW w:w="7760" w:type="dxa"/>
            <w:gridSpan w:val="6"/>
            <w:tcBorders>
              <w:top w:val="single" w:sz="12" w:space="0" w:color="auto"/>
              <w:left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 xml:space="preserve">FISCAL AGGREGATES </w:t>
            </w:r>
          </w:p>
        </w:tc>
      </w:tr>
      <w:tr w:rsidR="00B03921" w:rsidRPr="00CB50A4" w:rsidTr="00016914">
        <w:tc>
          <w:tcPr>
            <w:tcW w:w="2790" w:type="dxa"/>
            <w:tcBorders>
              <w:left w:val="nil"/>
              <w:bottom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Net financial worth</w:t>
            </w:r>
          </w:p>
        </w:tc>
        <w:tc>
          <w:tcPr>
            <w:tcW w:w="994" w:type="dxa"/>
            <w:tcBorders>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(3 297.9)</w:t>
            </w:r>
          </w:p>
        </w:tc>
        <w:tc>
          <w:tcPr>
            <w:tcW w:w="994" w:type="dxa"/>
            <w:tcBorders>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(3 237.1)</w:t>
            </w:r>
          </w:p>
        </w:tc>
        <w:tc>
          <w:tcPr>
            <w:tcW w:w="994" w:type="dxa"/>
            <w:tcBorders>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(2 987.0)</w:t>
            </w:r>
          </w:p>
        </w:tc>
        <w:tc>
          <w:tcPr>
            <w:tcW w:w="994" w:type="dxa"/>
            <w:tcBorders>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(3 913.7)</w:t>
            </w:r>
          </w:p>
        </w:tc>
        <w:tc>
          <w:tcPr>
            <w:tcW w:w="994" w:type="dxa"/>
            <w:tcBorders>
              <w:left w:val="nil"/>
              <w:bottom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(3 490.9)</w:t>
            </w:r>
          </w:p>
        </w:tc>
      </w:tr>
      <w:tr w:rsidR="00B03921" w:rsidRPr="00CB50A4" w:rsidTr="00016914">
        <w:tc>
          <w:tcPr>
            <w:tcW w:w="2790" w:type="dxa"/>
            <w:tcBorders>
              <w:top w:val="nil"/>
              <w:left w:val="nil"/>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Net financial liabilities</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3 297.9</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3 237.1</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2 987.0</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3 913.7</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3 490.9</w:t>
            </w:r>
          </w:p>
        </w:tc>
      </w:tr>
      <w:tr w:rsidR="00B03921" w:rsidRPr="00CB50A4" w:rsidTr="00016914">
        <w:tc>
          <w:tcPr>
            <w:tcW w:w="2790" w:type="dxa"/>
            <w:tcBorders>
              <w:top w:val="nil"/>
              <w:left w:val="nil"/>
              <w:bottom w:val="single" w:sz="12" w:space="0" w:color="auto"/>
              <w:right w:val="nil"/>
            </w:tcBorders>
            <w:shd w:val="solid" w:color="FFFFFF" w:fill="auto"/>
          </w:tcPr>
          <w:p w:rsidR="00B03921" w:rsidRPr="00CB50A4" w:rsidRDefault="00B03921" w:rsidP="00016914">
            <w:pPr>
              <w:pStyle w:val="Tabletext"/>
              <w:rPr>
                <w:rFonts w:eastAsiaTheme="minorEastAsia"/>
                <w:bCs/>
                <w:lang w:eastAsia="en-AU"/>
              </w:rPr>
            </w:pPr>
            <w:r w:rsidRPr="00CB50A4">
              <w:rPr>
                <w:rFonts w:eastAsiaTheme="minorEastAsia"/>
                <w:bCs/>
                <w:lang w:eastAsia="en-AU"/>
              </w:rPr>
              <w:t>Net debt</w:t>
            </w:r>
          </w:p>
        </w:tc>
        <w:tc>
          <w:tcPr>
            <w:tcW w:w="994" w:type="dxa"/>
            <w:tcBorders>
              <w:top w:val="nil"/>
              <w:left w:val="nil"/>
              <w:bottom w:val="single" w:sz="12"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(22 768.4)</w:t>
            </w:r>
          </w:p>
        </w:tc>
        <w:tc>
          <w:tcPr>
            <w:tcW w:w="994" w:type="dxa"/>
            <w:tcBorders>
              <w:top w:val="nil"/>
              <w:left w:val="nil"/>
              <w:bottom w:val="single" w:sz="12"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(24 164.8)</w:t>
            </w:r>
          </w:p>
        </w:tc>
        <w:tc>
          <w:tcPr>
            <w:tcW w:w="994" w:type="dxa"/>
            <w:tcBorders>
              <w:top w:val="nil"/>
              <w:left w:val="nil"/>
              <w:bottom w:val="single" w:sz="12"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(25 818.6)</w:t>
            </w:r>
          </w:p>
        </w:tc>
        <w:tc>
          <w:tcPr>
            <w:tcW w:w="994" w:type="dxa"/>
            <w:tcBorders>
              <w:top w:val="nil"/>
              <w:left w:val="nil"/>
              <w:bottom w:val="single" w:sz="12"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(26 349.8)</w:t>
            </w:r>
          </w:p>
        </w:tc>
        <w:tc>
          <w:tcPr>
            <w:tcW w:w="994" w:type="dxa"/>
            <w:tcBorders>
              <w:top w:val="nil"/>
              <w:left w:val="nil"/>
              <w:bottom w:val="single" w:sz="12" w:space="0" w:color="auto"/>
              <w:right w:val="nil"/>
            </w:tcBorders>
            <w:shd w:val="solid" w:color="FFFFFF" w:fill="auto"/>
          </w:tcPr>
          <w:p w:rsidR="00B03921" w:rsidRPr="00CB50A4" w:rsidRDefault="00B03921" w:rsidP="00016914">
            <w:pPr>
              <w:pStyle w:val="TableofFigures"/>
              <w:rPr>
                <w:rFonts w:eastAsiaTheme="minorEastAsia"/>
                <w:bCs/>
                <w:lang w:eastAsia="en-AU"/>
              </w:rPr>
            </w:pPr>
            <w:r w:rsidRPr="00CB50A4">
              <w:rPr>
                <w:rFonts w:eastAsiaTheme="minorEastAsia"/>
                <w:bCs/>
                <w:lang w:eastAsia="en-AU"/>
              </w:rPr>
              <w:t xml:space="preserve"> (28 304.0)</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Loans receivable from the non</w:t>
      </w:r>
      <w:r>
        <w:noBreakHyphen/>
        <w:t>financial public sector are measured at amortised cost.</w:t>
      </w:r>
    </w:p>
    <w:p w:rsidR="00B03921" w:rsidRDefault="00B03921" w:rsidP="00016914">
      <w:pPr>
        <w:pStyle w:val="Notes"/>
      </w:pPr>
      <w:r>
        <w:t>(b)</w:t>
      </w:r>
      <w:r>
        <w:tab/>
        <w:t>Treasury Corporation of Victoria</w:t>
      </w:r>
      <w:r w:rsidR="00BA5A16">
        <w:t>’</w:t>
      </w:r>
      <w:r>
        <w:t>s external loan liabilities are reported at mark</w:t>
      </w:r>
      <w:r>
        <w:noBreakHyphen/>
        <w:t>to</w:t>
      </w:r>
      <w:r>
        <w:noBreakHyphen/>
        <w:t>market while the corresponding assets that is lending to the non</w:t>
      </w:r>
      <w:r>
        <w:noBreakHyphen/>
        <w:t>financial public sector, are reported at historical value. This mismatch results in the negative net asset position of the sector.</w:t>
      </w:r>
    </w:p>
    <w:p w:rsidR="00B03921" w:rsidRDefault="00B03921">
      <w:pPr>
        <w:spacing w:after="0"/>
        <w:rPr>
          <w:rFonts w:ascii="Calibri" w:hAnsi="Calibri"/>
          <w:b/>
        </w:rPr>
      </w:pPr>
      <w:r>
        <w:br w:type="page"/>
      </w:r>
    </w:p>
    <w:p w:rsidR="00B03921" w:rsidRDefault="00B03921" w:rsidP="00016914">
      <w:pPr>
        <w:pStyle w:val="Tableheading"/>
        <w:rPr>
          <w:vertAlign w:val="superscript"/>
        </w:rPr>
      </w:pPr>
      <w:r>
        <w:t>Table 2.15:</w:t>
      </w:r>
      <w:r>
        <w:tab/>
        <w:t>Public financial corporations sector cash flow statement for the financial year ending 30 June</w:t>
      </w:r>
      <w:r w:rsidRPr="00800513">
        <w:rPr>
          <w:vertAlign w:val="superscript"/>
        </w:rPr>
        <w:t>(a)</w:t>
      </w:r>
    </w:p>
    <w:p w:rsidR="00B03921" w:rsidRPr="00CB50A4" w:rsidRDefault="00B03921" w:rsidP="00016914">
      <w:pPr>
        <w:pStyle w:val="million"/>
        <w:rPr>
          <w:rFonts w:ascii="Times New Roman" w:hAnsi="Times New Roman"/>
          <w:sz w:val="20"/>
          <w:lang w:eastAsia="en-AU"/>
        </w:rPr>
      </w:pPr>
      <w:r w:rsidRPr="00F401D4">
        <w:t>($ million)</w:t>
      </w:r>
    </w:p>
    <w:tbl>
      <w:tblPr>
        <w:tblW w:w="7763"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7"/>
      </w:tblGrid>
      <w:tr w:rsidR="00B03921" w:rsidRPr="00CB50A4" w:rsidTr="00A35FE2">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7"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A35FE2" w:rsidRPr="00CB50A4" w:rsidTr="008079E9">
        <w:tc>
          <w:tcPr>
            <w:tcW w:w="7763" w:type="dxa"/>
            <w:gridSpan w:val="6"/>
            <w:tcBorders>
              <w:top w:val="single" w:sz="6" w:space="0" w:color="auto"/>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Cash flows from operating activities</w:t>
            </w:r>
          </w:p>
        </w:tc>
      </w:tr>
      <w:tr w:rsidR="00A35FE2" w:rsidRPr="00CB50A4" w:rsidTr="008079E9">
        <w:tc>
          <w:tcPr>
            <w:tcW w:w="7763"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Receipts</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Grants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r w:rsidRPr="00CB50A4">
              <w:rPr>
                <w:rFonts w:eastAsiaTheme="minorEastAsia" w:cs="Calibri"/>
                <w:color w:val="000000"/>
                <w:lang w:eastAsia="en-AU"/>
              </w:rPr>
              <w: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Sales of goods and services</w:t>
            </w:r>
            <w:r w:rsidRPr="00CB50A4">
              <w:rPr>
                <w:rFonts w:eastAsiaTheme="minorEastAsia"/>
                <w:vertAlign w:val="superscript"/>
                <w:lang w:eastAsia="en-AU"/>
              </w:rPr>
              <w:t>(b)</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4 365.5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4 595.5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4 821.1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5 050.4</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5 275.5</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received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2 240.3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2 300.9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2 227.5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2 287.6</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2 270.0</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Dividends and income tax equivalent and rate equivalent receipts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703.0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991.6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1 136.8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1 110.4</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985.5</w:t>
            </w:r>
          </w:p>
        </w:tc>
      </w:tr>
      <w:tr w:rsidR="00B03921" w:rsidRPr="00CB50A4" w:rsidTr="00A35FE2">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receipts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74.9</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33.0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13.4</w:t>
            </w:r>
          </w:p>
        </w:tc>
        <w:tc>
          <w:tcPr>
            <w:tcW w:w="99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16.5</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receipts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7 383.7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7 921.0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8 201.6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8 461.7</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8 547.4</w:t>
            </w:r>
          </w:p>
        </w:tc>
      </w:tr>
      <w:tr w:rsidR="00A35FE2" w:rsidRPr="00CB50A4" w:rsidTr="008079E9">
        <w:tc>
          <w:tcPr>
            <w:tcW w:w="7763"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Payments</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Payments for employees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(299.5)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(295.3)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(302.0)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(309.5)</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(317.2)</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Superannuation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(22.6)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(23.7)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(24.2)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(24.2)</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(24.8)</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paid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(2 083.4)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(2 042.7)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(1 935.7)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(1 975.5)</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(1 951.4)</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Goods and services</w:t>
            </w:r>
            <w:r w:rsidRPr="00CB50A4">
              <w:rPr>
                <w:rFonts w:eastAsiaTheme="minorEastAsia"/>
                <w:vertAlign w:val="superscript"/>
                <w:lang w:eastAsia="en-AU"/>
              </w:rPr>
              <w:t>(b)</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(4 304.4)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(4 288.0)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(4 426.9)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(4 661.9)</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(4 847.9)</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payments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(66.5)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(124.3)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(124.2)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(109.9)</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(211.8)</w:t>
            </w:r>
          </w:p>
        </w:tc>
      </w:tr>
      <w:tr w:rsidR="00B03921" w:rsidRPr="00CB50A4" w:rsidTr="00A35FE2">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payments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(6 776.4)</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(6 774.1)</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(6 813.1)</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(7 081.1)</w:t>
            </w:r>
          </w:p>
        </w:tc>
        <w:tc>
          <w:tcPr>
            <w:tcW w:w="997"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(7 353.1)</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cash flows from operating activities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607.2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1 146.9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1 388.5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1 380.7</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1 194.3</w:t>
            </w:r>
          </w:p>
        </w:tc>
      </w:tr>
      <w:tr w:rsidR="00A35FE2" w:rsidRPr="00CB50A4" w:rsidTr="008079E9">
        <w:tc>
          <w:tcPr>
            <w:tcW w:w="7763"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Cash flows from investing activities</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Purchases of non-financial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(42.7)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(54.0)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(61.0)</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(42.3)</w:t>
            </w:r>
          </w:p>
        </w:tc>
      </w:tr>
      <w:tr w:rsidR="00B03921" w:rsidRPr="00CB50A4" w:rsidTr="00A35FE2">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Sales of non-financial assets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0.9</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0.9</w:t>
            </w:r>
          </w:p>
        </w:tc>
        <w:tc>
          <w:tcPr>
            <w:tcW w:w="99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0.9</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Cash flows from investments in non-financial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(46.6)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(60.1)</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(41.4)</w:t>
            </w:r>
          </w:p>
        </w:tc>
      </w:tr>
      <w:tr w:rsidR="00B03921" w:rsidRPr="00CB50A4" w:rsidTr="00A35FE2">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cash flows from investments in financial assets for policy and liquidity purposes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261.2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3 607.2</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(2 369.8)</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(1 306.0)</w:t>
            </w:r>
          </w:p>
        </w:tc>
        <w:tc>
          <w:tcPr>
            <w:tcW w:w="99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(2 349.5)</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cash flows from investing activities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219.5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3 560.6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(2 422.8)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(1 366.0)</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(2 390.9)</w:t>
            </w:r>
          </w:p>
        </w:tc>
      </w:tr>
      <w:tr w:rsidR="00A35FE2" w:rsidRPr="00CB50A4" w:rsidTr="008079E9">
        <w:tc>
          <w:tcPr>
            <w:tcW w:w="7763"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Cash flows from financing activities</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 xml:space="preserve">Advances received </w:t>
            </w:r>
            <w:r w:rsidRPr="00CB50A4">
              <w:rPr>
                <w:rFonts w:eastAsiaTheme="minorEastAsia" w:cs="Calibri"/>
                <w:color w:val="000000"/>
                <w:lang w:eastAsia="en-AU"/>
              </w:rPr>
              <w:t>(net)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(51.0)</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borrowings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(446.4)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(4</w:t>
            </w:r>
            <w:r w:rsidRPr="00CB50A4">
              <w:rPr>
                <w:rFonts w:eastAsiaTheme="minorEastAsia" w:cs="Calibri"/>
                <w:color w:val="000000"/>
                <w:lang w:eastAsia="en-AU"/>
              </w:rPr>
              <w:t xml:space="preserve"> 036.8)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2 040.7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570.9</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1 545.9</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Deposits received (net)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(389.9)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(23.0)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(161.6)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254.9</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310.2</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financing (net)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(523.4)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(602.9)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(505.6)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(1 749.1)</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(327.3)</w:t>
            </w:r>
          </w:p>
        </w:tc>
      </w:tr>
      <w:tr w:rsidR="00B03921" w:rsidRPr="00CB50A4" w:rsidTr="00A35FE2">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cash flows from financing activities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(1</w:t>
            </w:r>
            <w:r w:rsidRPr="00CB50A4">
              <w:rPr>
                <w:rFonts w:eastAsiaTheme="minorEastAsia" w:cs="Calibri"/>
                <w:b/>
                <w:bCs/>
                <w:color w:val="000000"/>
                <w:lang w:eastAsia="en-AU"/>
              </w:rPr>
              <w:t xml:space="preserve"> 346.5)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(4 659.9)</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1 376.6</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(974.3)</w:t>
            </w:r>
          </w:p>
        </w:tc>
        <w:tc>
          <w:tcPr>
            <w:tcW w:w="997"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1 533.8</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increase/(decrease) in cash and cash equivalents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(519.7)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47.6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342.3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(959.6)</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337.3</w:t>
            </w:r>
          </w:p>
        </w:tc>
      </w:tr>
      <w:tr w:rsidR="00B03921" w:rsidRPr="00CB50A4" w:rsidTr="00A35FE2">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Cash and cash equivalents at beginning of reporting period</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5 691.4</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5 171.7</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5 219.3</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5 561.5</w:t>
            </w:r>
          </w:p>
        </w:tc>
        <w:tc>
          <w:tcPr>
            <w:tcW w:w="99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4 601.9</w:t>
            </w:r>
          </w:p>
        </w:tc>
      </w:tr>
      <w:tr w:rsidR="00B03921" w:rsidRPr="00CB50A4" w:rsidTr="00A35FE2">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cs="Calibri"/>
                <w:b/>
                <w:bCs/>
                <w:color w:val="000000"/>
                <w:vertAlign w:val="superscript"/>
                <w:lang w:eastAsia="en-AU"/>
              </w:rPr>
            </w:pPr>
            <w:r w:rsidRPr="00CB50A4">
              <w:rPr>
                <w:rFonts w:eastAsiaTheme="minorEastAsia"/>
                <w:b/>
                <w:bCs/>
                <w:lang w:eastAsia="en-AU"/>
              </w:rPr>
              <w:t>Cash and cash equivalents at end of reporting period</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5 171.7</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5 219.3</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5 561.5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4 601.9</w:t>
            </w:r>
          </w:p>
        </w:tc>
        <w:tc>
          <w:tcPr>
            <w:tcW w:w="99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4 939.1</w:t>
            </w:r>
          </w:p>
        </w:tc>
      </w:tr>
    </w:tbl>
    <w:p w:rsidR="00A35FE2" w:rsidRDefault="00A35FE2" w:rsidP="00A35FE2">
      <w:pPr>
        <w:pStyle w:val="Tableheadingcontinued"/>
      </w:pPr>
      <w:r>
        <w:t>Table 2.15:</w:t>
      </w:r>
      <w:r>
        <w:tab/>
        <w:t>Public financial corporations sector cash flow statement for the financial year ending 30 June</w:t>
      </w:r>
      <w:r w:rsidRPr="00A35FE2">
        <w:rPr>
          <w:vertAlign w:val="superscript"/>
        </w:rPr>
        <w:t>(a)</w:t>
      </w:r>
      <w:r>
        <w:t xml:space="preserve"> </w:t>
      </w:r>
      <w:r w:rsidRPr="00A35FE2">
        <w:rPr>
          <w:i/>
        </w:rPr>
        <w:t>(continued)</w:t>
      </w:r>
    </w:p>
    <w:p w:rsidR="00A35FE2" w:rsidRDefault="00A35FE2" w:rsidP="00A35FE2">
      <w:pPr>
        <w:pStyle w:val="million"/>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7"/>
      </w:tblGrid>
      <w:tr w:rsidR="00A35FE2" w:rsidRPr="00CB50A4" w:rsidTr="008079E9">
        <w:trPr>
          <w:tblHeader/>
        </w:trPr>
        <w:tc>
          <w:tcPr>
            <w:tcW w:w="2790" w:type="dxa"/>
            <w:tcBorders>
              <w:top w:val="single" w:sz="6" w:space="0" w:color="auto"/>
              <w:left w:val="single" w:sz="6" w:space="0" w:color="auto"/>
              <w:bottom w:val="single" w:sz="6" w:space="0" w:color="auto"/>
              <w:right w:val="nil"/>
            </w:tcBorders>
            <w:shd w:val="clear" w:color="000000" w:fill="000000"/>
          </w:tcPr>
          <w:p w:rsidR="00A35FE2" w:rsidRPr="00CB50A4" w:rsidRDefault="00A35FE2" w:rsidP="008079E9">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2017-18 estimate</w:t>
            </w:r>
          </w:p>
        </w:tc>
        <w:tc>
          <w:tcPr>
            <w:tcW w:w="997" w:type="dxa"/>
            <w:tcBorders>
              <w:top w:val="single" w:sz="6" w:space="0" w:color="auto"/>
              <w:left w:val="nil"/>
              <w:bottom w:val="single" w:sz="6" w:space="0" w:color="auto"/>
              <w:right w:val="single" w:sz="6" w:space="0" w:color="auto"/>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2018-19 estimate</w:t>
            </w:r>
          </w:p>
        </w:tc>
      </w:tr>
      <w:tr w:rsidR="00A35FE2" w:rsidRPr="00CB50A4" w:rsidTr="008079E9">
        <w:tc>
          <w:tcPr>
            <w:tcW w:w="7763" w:type="dxa"/>
            <w:gridSpan w:val="6"/>
            <w:tcBorders>
              <w:top w:val="single" w:sz="12" w:space="0" w:color="000000"/>
              <w:left w:val="nil"/>
              <w:bottom w:val="nil"/>
              <w:right w:val="nil"/>
            </w:tcBorders>
            <w:shd w:val="solid" w:color="FFFFFF" w:fill="auto"/>
          </w:tcPr>
          <w:p w:rsidR="00A35FE2" w:rsidRPr="00CB50A4" w:rsidRDefault="00A35FE2" w:rsidP="00A35FE2">
            <w:pPr>
              <w:pStyle w:val="Tabletext"/>
              <w:ind w:left="181" w:hanging="181"/>
              <w:rPr>
                <w:rFonts w:eastAsiaTheme="minorEastAsia"/>
                <w:b/>
                <w:lang w:eastAsia="en-AU"/>
              </w:rPr>
            </w:pPr>
            <w:r w:rsidRPr="00CB50A4">
              <w:rPr>
                <w:rFonts w:eastAsiaTheme="minorEastAsia"/>
                <w:b/>
                <w:bCs/>
                <w:lang w:eastAsia="en-AU"/>
              </w:rPr>
              <w:t>FISCAL AGGREGATES</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cash flows from operating activities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607.2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1 146.9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1 388.5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1 380.7</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1 194.3</w:t>
            </w:r>
          </w:p>
        </w:tc>
      </w:tr>
      <w:tr w:rsidR="00B03921" w:rsidRPr="00CB50A4" w:rsidTr="00A35FE2">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(562.5)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(619.5)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(522.2)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(530.7)</w:t>
            </w:r>
          </w:p>
        </w:tc>
        <w:tc>
          <w:tcPr>
            <w:tcW w:w="997"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(343.9)</w:t>
            </w:r>
          </w:p>
        </w:tc>
      </w:tr>
      <w:tr w:rsidR="00B03921" w:rsidRPr="00CB50A4" w:rsidTr="00A35FE2">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cash flows from investments in non-financial assets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(41.6)</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(46.6)</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(53.0)</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(60.1)</w:t>
            </w:r>
          </w:p>
        </w:tc>
        <w:tc>
          <w:tcPr>
            <w:tcW w:w="997"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(41.4)</w:t>
            </w:r>
          </w:p>
        </w:tc>
      </w:tr>
      <w:tr w:rsidR="00B03921" w:rsidRPr="00CB50A4" w:rsidTr="00A35FE2">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vertAlign w:val="superscript"/>
                <w:lang w:eastAsia="en-AU"/>
              </w:rPr>
            </w:pPr>
            <w:r w:rsidRPr="00CB50A4">
              <w:rPr>
                <w:rFonts w:eastAsiaTheme="minorEastAsia"/>
                <w:b/>
                <w:bCs/>
                <w:lang w:eastAsia="en-AU"/>
              </w:rPr>
              <w:t>Cash surplus/(deficit)</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3.1</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480.8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813.3</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789.9</w:t>
            </w:r>
          </w:p>
        </w:tc>
        <w:tc>
          <w:tcPr>
            <w:tcW w:w="997"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809.0</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Inclusive of goods and services tax.</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2.16:</w:t>
      </w:r>
      <w:r>
        <w:tab/>
        <w:t>Public financial corporations sector statement of changes in equity for the financial year ending 30 June</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553"/>
        <w:gridCol w:w="1701"/>
        <w:gridCol w:w="1506"/>
      </w:tblGrid>
      <w:tr w:rsidR="00B03921" w:rsidRPr="00CB50A4" w:rsidTr="00016914">
        <w:trPr>
          <w:tblHeader/>
        </w:trPr>
        <w:tc>
          <w:tcPr>
            <w:tcW w:w="4553"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1701"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Accumulated surplus/(deficit)</w:t>
            </w:r>
          </w:p>
        </w:tc>
        <w:tc>
          <w:tcPr>
            <w:tcW w:w="1506"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Contribution</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by owners</w:t>
            </w:r>
          </w:p>
        </w:tc>
      </w:tr>
      <w:tr w:rsidR="00A35FE2" w:rsidRPr="00CB50A4" w:rsidTr="008079E9">
        <w:tc>
          <w:tcPr>
            <w:tcW w:w="7760" w:type="dxa"/>
            <w:gridSpan w:val="3"/>
            <w:tcBorders>
              <w:top w:val="single" w:sz="6" w:space="0" w:color="auto"/>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2014-15 Revised</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2014</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(749.2)</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254.3</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(882.6)</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Dividends paid </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(562.5)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(118.4)</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(38.1)</w:t>
            </w:r>
          </w:p>
        </w:tc>
      </w:tr>
      <w:tr w:rsidR="00B03921" w:rsidRPr="00CB50A4" w:rsidTr="00016914">
        <w:tc>
          <w:tcPr>
            <w:tcW w:w="455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701"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(2 312.7)</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216.2</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2015-16 Estimate</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2015</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(2 312.7)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216.2</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586.9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(619.5)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(4.2)</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455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701"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(2 349.5)</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232.8</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2016-17 Estimate</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2016</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(2 349.5)</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232.8</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655.7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(522.2)</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(6.1)</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455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701"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(2 222.0)</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249.4</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2017-18 Estimate</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2017</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(2 222.0)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249.4</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702.3</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(530.7)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(13.7)</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 xml:space="preserve">(1 </w:t>
            </w:r>
            <w:r w:rsidRPr="00CB50A4">
              <w:rPr>
                <w:rFonts w:eastAsiaTheme="minorEastAsia" w:cs="Calibri"/>
                <w:color w:val="000000"/>
                <w:sz w:val="18"/>
                <w:lang w:eastAsia="en-AU"/>
              </w:rPr>
              <w:t>218.4)</w:t>
            </w:r>
          </w:p>
        </w:tc>
      </w:tr>
      <w:tr w:rsidR="00B03921" w:rsidRPr="00CB50A4" w:rsidTr="00016914">
        <w:tc>
          <w:tcPr>
            <w:tcW w:w="455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701"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(2 064.1)</w:t>
            </w:r>
          </w:p>
        </w:tc>
        <w:tc>
          <w:tcPr>
            <w:tcW w:w="1506"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cs="Calibri"/>
                <w:b/>
                <w:bCs/>
                <w:color w:val="000000"/>
                <w:sz w:val="18"/>
                <w:lang w:eastAsia="en-AU"/>
              </w:rPr>
            </w:pPr>
            <w:r>
              <w:rPr>
                <w:rFonts w:eastAsiaTheme="minorEastAsia"/>
                <w:b/>
                <w:bCs/>
                <w:lang w:eastAsia="en-AU"/>
              </w:rPr>
              <w:t>(969.0)</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2018-19 Estimate</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2018</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(2 064.1)</w:t>
            </w:r>
          </w:p>
        </w:tc>
        <w:tc>
          <w:tcPr>
            <w:tcW w:w="1506"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(969.0)</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701"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741.0</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Dividends paid</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(343.9)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701"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(8.9)</w:t>
            </w:r>
          </w:p>
        </w:tc>
        <w:tc>
          <w:tcPr>
            <w:tcW w:w="1506"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553" w:type="dxa"/>
            <w:tcBorders>
              <w:top w:val="nil"/>
              <w:left w:val="nil"/>
              <w:bottom w:val="single" w:sz="6" w:space="0" w:color="auto"/>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Transactions with owners in their capacity as owners</w:t>
            </w:r>
          </w:p>
        </w:tc>
        <w:tc>
          <w:tcPr>
            <w:tcW w:w="1701"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1506" w:type="dxa"/>
            <w:tcBorders>
              <w:top w:val="nil"/>
              <w:left w:val="nil"/>
              <w:bottom w:val="single" w:sz="6" w:space="0" w:color="auto"/>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4553"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701"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(1 675.9)</w:t>
            </w:r>
          </w:p>
        </w:tc>
        <w:tc>
          <w:tcPr>
            <w:tcW w:w="150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cs="Calibri"/>
                <w:b/>
                <w:bCs/>
                <w:color w:val="000000"/>
                <w:sz w:val="18"/>
                <w:lang w:eastAsia="en-AU"/>
              </w:rPr>
            </w:pPr>
            <w:r>
              <w:rPr>
                <w:rFonts w:eastAsiaTheme="minorEastAsia"/>
                <w:b/>
                <w:bCs/>
                <w:lang w:eastAsia="en-AU"/>
              </w:rPr>
              <w:t>(952.4)</w:t>
            </w:r>
          </w:p>
        </w:tc>
      </w:tr>
    </w:tbl>
    <w:p w:rsidR="00B03921" w:rsidRDefault="00B03921" w:rsidP="00016914">
      <w:pPr>
        <w:pStyle w:val="million"/>
      </w:pPr>
    </w:p>
    <w:p w:rsidR="00B03921" w:rsidRDefault="00B03921" w:rsidP="00016914">
      <w:pPr>
        <w:pStyle w:val="BodyText"/>
      </w:pPr>
    </w:p>
    <w:p w:rsidR="00B03921" w:rsidRDefault="00B03921">
      <w:pPr>
        <w:spacing w:after="0"/>
      </w:pPr>
      <w:r>
        <w:br w:type="page"/>
      </w:r>
    </w:p>
    <w:p w:rsidR="00B03921" w:rsidRDefault="00B03921" w:rsidP="00016914">
      <w:pPr>
        <w:pStyle w:val="Tableheading"/>
      </w:pPr>
      <w:r>
        <w:br/>
      </w:r>
    </w:p>
    <w:p w:rsidR="00B03921" w:rsidRDefault="00B03921">
      <w:pPr>
        <w:spacing w:after="0"/>
        <w:rPr>
          <w:rFonts w:ascii="Times New Roman" w:hAnsi="Times New Roman"/>
          <w:sz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711"/>
        <w:gridCol w:w="2462"/>
        <w:gridCol w:w="2587"/>
      </w:tblGrid>
      <w:tr w:rsidR="00B03921" w:rsidRPr="00CB50A4" w:rsidTr="00016914">
        <w:trPr>
          <w:tblHeader/>
        </w:trPr>
        <w:tc>
          <w:tcPr>
            <w:tcW w:w="2711"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heading"/>
              <w:rPr>
                <w:rFonts w:eastAsiaTheme="minorEastAsia"/>
                <w:lang w:eastAsia="en-AU"/>
              </w:rPr>
            </w:pPr>
            <w:r w:rsidRPr="00CB50A4">
              <w:rPr>
                <w:rFonts w:eastAsiaTheme="minorEastAsia"/>
                <w:lang w:eastAsia="en-AU"/>
              </w:rPr>
              <w:t>Land, buildings, infrastructure,</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plant and equipment</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revaluation surplus</w:t>
            </w:r>
          </w:p>
        </w:tc>
        <w:tc>
          <w:tcPr>
            <w:tcW w:w="2462"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Other</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 reserves</w:t>
            </w:r>
          </w:p>
        </w:tc>
        <w:tc>
          <w:tcPr>
            <w:tcW w:w="2587"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Total</w:t>
            </w:r>
          </w:p>
        </w:tc>
      </w:tr>
      <w:tr w:rsidR="00A35FE2" w:rsidRPr="00CB50A4" w:rsidTr="008079E9">
        <w:tc>
          <w:tcPr>
            <w:tcW w:w="7760" w:type="dxa"/>
            <w:gridSpan w:val="3"/>
            <w:tcBorders>
              <w:top w:val="single" w:sz="6" w:space="0" w:color="auto"/>
              <w:left w:val="nil"/>
              <w:bottom w:val="nil"/>
              <w:right w:val="nil"/>
            </w:tcBorders>
          </w:tcPr>
          <w:p w:rsidR="00A35FE2" w:rsidRPr="00CB50A4" w:rsidRDefault="00A35FE2" w:rsidP="00A35FE2">
            <w:pPr>
              <w:pStyle w:val="TableofFigures"/>
              <w:jc w:val="left"/>
              <w:rPr>
                <w:rFonts w:eastAsiaTheme="minorEastAsia"/>
                <w:b/>
                <w:bCs/>
                <w:lang w:eastAsia="en-AU"/>
              </w:rPr>
            </w:pPr>
            <w:r w:rsidRPr="00CB50A4">
              <w:rPr>
                <w:rFonts w:eastAsiaTheme="minorEastAsia"/>
                <w:b/>
                <w:bCs/>
                <w:lang w:eastAsia="en-AU"/>
              </w:rPr>
              <w:t xml:space="preserve"> </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2.1</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180.6</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(312.3)</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(882.6)</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(562.5)</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(148.3)</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(266.7)</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(38.1)</w:t>
            </w:r>
          </w:p>
        </w:tc>
      </w:tr>
      <w:tr w:rsidR="00B03921" w:rsidRPr="00CB50A4" w:rsidTr="00016914">
        <w:tc>
          <w:tcPr>
            <w:tcW w:w="2711"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 xml:space="preserve"> 2.1</w:t>
            </w:r>
          </w:p>
        </w:tc>
        <w:tc>
          <w:tcPr>
            <w:tcW w:w="2462"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32.2</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(2 062.2)</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2.1</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32.2</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(2 062.2)</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586.9</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(619.5)</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0.9</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(3.3)</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2711"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 xml:space="preserve"> 2.1</w:t>
            </w:r>
          </w:p>
        </w:tc>
        <w:tc>
          <w:tcPr>
            <w:tcW w:w="2462"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33.2</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(2 081.5)</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2.1</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33.2</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(2 081.5)</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655.7</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(522.2)</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0.2</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(5.9)</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2711"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 xml:space="preserve"> 2.1</w:t>
            </w:r>
          </w:p>
        </w:tc>
        <w:tc>
          <w:tcPr>
            <w:tcW w:w="2462"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33.3</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(1 937.2)</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2.1</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33.3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(1 937.2)</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702.3</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(530.7)</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(13.7)</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 xml:space="preserve">(1 </w:t>
            </w:r>
            <w:r w:rsidRPr="00CB50A4">
              <w:rPr>
                <w:rFonts w:eastAsiaTheme="minorEastAsia" w:cs="Calibri"/>
                <w:color w:val="000000"/>
                <w:sz w:val="18"/>
                <w:lang w:eastAsia="en-AU"/>
              </w:rPr>
              <w:t>218.4)</w:t>
            </w:r>
          </w:p>
        </w:tc>
      </w:tr>
      <w:tr w:rsidR="00B03921" w:rsidRPr="00CB50A4" w:rsidTr="00016914">
        <w:tc>
          <w:tcPr>
            <w:tcW w:w="2711"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 xml:space="preserve"> 2.1</w:t>
            </w:r>
          </w:p>
        </w:tc>
        <w:tc>
          <w:tcPr>
            <w:tcW w:w="2462"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33.3</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(2 997.7)</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2.1</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33.3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(2 997.7)</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741.0</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(343.9)</w:t>
            </w:r>
          </w:p>
        </w:tc>
      </w:tr>
      <w:tr w:rsidR="00B03921" w:rsidRPr="00CB50A4" w:rsidTr="00016914">
        <w:tc>
          <w:tcPr>
            <w:tcW w:w="2711"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(8.9)</w:t>
            </w:r>
          </w:p>
        </w:tc>
      </w:tr>
      <w:tr w:rsidR="00B03921" w:rsidRPr="00CB50A4" w:rsidTr="00016914">
        <w:tc>
          <w:tcPr>
            <w:tcW w:w="2711" w:type="dxa"/>
            <w:tcBorders>
              <w:top w:val="nil"/>
              <w:left w:val="nil"/>
              <w:bottom w:val="single" w:sz="6" w:space="0" w:color="auto"/>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462"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16.6</w:t>
            </w:r>
          </w:p>
        </w:tc>
      </w:tr>
      <w:tr w:rsidR="00B03921" w:rsidRPr="00CB50A4" w:rsidTr="00016914">
        <w:tc>
          <w:tcPr>
            <w:tcW w:w="2711"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 xml:space="preserve"> 2.1</w:t>
            </w:r>
          </w:p>
        </w:tc>
        <w:tc>
          <w:tcPr>
            <w:tcW w:w="2462"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33.3</w:t>
            </w:r>
          </w:p>
        </w:tc>
        <w:tc>
          <w:tcPr>
            <w:tcW w:w="258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(2 592.9)</w:t>
            </w:r>
          </w:p>
        </w:tc>
      </w:tr>
    </w:tbl>
    <w:p w:rsidR="00B03921" w:rsidRDefault="00B03921">
      <w:pPr>
        <w:spacing w:after="0"/>
      </w:pPr>
    </w:p>
    <w:p w:rsidR="00B03921" w:rsidRDefault="00B03921">
      <w:pPr>
        <w:spacing w:after="0"/>
        <w:rPr>
          <w:rFonts w:ascii="Calibri" w:hAnsi="Calibri"/>
          <w:b/>
        </w:rPr>
      </w:pPr>
      <w:r>
        <w:br w:type="page"/>
      </w:r>
    </w:p>
    <w:p w:rsidR="00B03921" w:rsidRDefault="00B03921" w:rsidP="00016914">
      <w:pPr>
        <w:pStyle w:val="Tableheading"/>
      </w:pPr>
      <w:r>
        <w:t>Table 2.17:</w:t>
      </w:r>
      <w:r>
        <w:tab/>
        <w:t>Derivation of public financial corporations sector GFS cash surplus/(deficit)</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Cash surplus/(deficit)</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3.1</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480.8</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813.3</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789.9</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809.0</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lang w:eastAsia="en-AU"/>
              </w:rPr>
            </w:pPr>
            <w:r w:rsidRPr="00CB50A4">
              <w:rPr>
                <w:rFonts w:eastAsiaTheme="minorEastAsia"/>
                <w:lang w:eastAsia="en-AU"/>
              </w:rPr>
              <w:t>Convergence differences:</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Acquisitions under finance leases and similar arrangements</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Pr>
                <w:rFonts w:eastAsiaTheme="minorEastAsia"/>
                <w:lang w:eastAsia="en-AU"/>
              </w:rPr>
              <w:t>..</w:t>
            </w:r>
          </w:p>
        </w:tc>
      </w:tr>
      <w:tr w:rsidR="00B03921" w:rsidRPr="00CB50A4" w:rsidTr="00016914">
        <w:tc>
          <w:tcPr>
            <w:tcW w:w="2790"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vertAlign w:val="superscript"/>
                <w:lang w:eastAsia="en-AU"/>
              </w:rPr>
            </w:pPr>
            <w:r w:rsidRPr="00CB50A4">
              <w:rPr>
                <w:rFonts w:eastAsiaTheme="minorEastAsia"/>
                <w:b/>
                <w:bCs/>
                <w:lang w:eastAsia="en-AU"/>
              </w:rPr>
              <w:t>GFS cash surplus/(deficit)</w:t>
            </w:r>
            <w:r w:rsidRPr="00CB50A4">
              <w:rPr>
                <w:rFonts w:eastAsiaTheme="minorEastAsia"/>
                <w:b/>
                <w:bCs/>
                <w:vertAlign w:val="superscript"/>
                <w:lang w:eastAsia="en-AU"/>
              </w:rPr>
              <w:t>(a)</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3.1</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480.8</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813.3</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789.9</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809.0</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2D172A" w:rsidRDefault="00B03921" w:rsidP="00016914">
      <w:pPr>
        <w:pStyle w:val="Notes"/>
      </w:pPr>
      <w:r>
        <w:t>(a)</w:t>
      </w:r>
      <w:r>
        <w:tab/>
        <w:t>Determined in accordance with the ABS GFS manual.</w:t>
      </w:r>
    </w:p>
    <w:p w:rsidR="00B03921" w:rsidRDefault="00B03921" w:rsidP="00016914">
      <w:pPr>
        <w:pStyle w:val="BodyText"/>
      </w:pPr>
    </w:p>
    <w:p w:rsidR="00B03921" w:rsidRDefault="00B03921" w:rsidP="00016914">
      <w:pPr>
        <w:pStyle w:val="BodyText"/>
      </w:pPr>
    </w:p>
    <w:p w:rsidR="00B03921" w:rsidRDefault="00B03921" w:rsidP="00016914">
      <w:pPr>
        <w:pStyle w:val="Tableheading"/>
      </w:pPr>
      <w:r>
        <w:t>Table 2.18:</w:t>
      </w:r>
      <w:r>
        <w:tab/>
        <w:t>Net acquisition of non</w:t>
      </w:r>
      <w:r>
        <w:noBreakHyphen/>
        <w:t>financial assets – public financial corporations sector</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Purchases of non-financial assets less sales of non</w:t>
            </w:r>
            <w:r>
              <w:rPr>
                <w:rFonts w:eastAsiaTheme="minorEastAsia"/>
                <w:lang w:eastAsia="en-AU"/>
              </w:rPr>
              <w:noBreakHyphen/>
            </w:r>
            <w:r w:rsidRPr="00CB50A4">
              <w:rPr>
                <w:rFonts w:eastAsiaTheme="minorEastAsia" w:cs="Calibri"/>
                <w:color w:val="000000"/>
                <w:lang w:eastAsia="en-AU"/>
              </w:rPr>
              <w:t>financial assets</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41.6</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46.6</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53.0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60.1</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41.4</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depreciation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(52.5)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(54.8)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(57.6)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(56.3)</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Plus: other movements in </w:t>
            </w:r>
            <w:r>
              <w:rPr>
                <w:rFonts w:eastAsiaTheme="minorEastAsia"/>
                <w:lang w:eastAsia="en-AU"/>
              </w:rPr>
              <w:br/>
            </w:r>
            <w:r w:rsidRPr="00CB50A4">
              <w:rPr>
                <w:rFonts w:eastAsiaTheme="minorEastAsia"/>
                <w:lang w:eastAsia="en-AU"/>
              </w:rPr>
              <w:t>non-financial assets</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 xml:space="preserve">Total net acquisition of </w:t>
            </w:r>
            <w:r>
              <w:rPr>
                <w:rFonts w:eastAsiaTheme="minorEastAsia"/>
                <w:b/>
                <w:bCs/>
                <w:lang w:eastAsia="en-AU"/>
              </w:rPr>
              <w:br/>
            </w:r>
            <w:r w:rsidRPr="00CB50A4">
              <w:rPr>
                <w:rFonts w:eastAsiaTheme="minorEastAsia"/>
                <w:b/>
                <w:bCs/>
                <w:lang w:eastAsia="en-AU"/>
              </w:rPr>
              <w:t>non-financial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(10.8)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(8.3)</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(4.6)</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(14.9)</w:t>
            </w:r>
          </w:p>
        </w:tc>
      </w:tr>
    </w:tbl>
    <w:p w:rsidR="00B03921" w:rsidRDefault="00B03921" w:rsidP="00016914">
      <w:pPr>
        <w:pStyle w:val="Source"/>
      </w:pPr>
      <w:r>
        <w:t>Source: Department of Treasury and Finance</w:t>
      </w: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2.19:</w:t>
      </w:r>
      <w:r>
        <w:tab/>
        <w:t>State of Victoria operating statement for the financial year ending 30 June</w:t>
      </w:r>
      <w:r w:rsidRPr="00A14B57">
        <w:rPr>
          <w:vertAlign w:val="superscript"/>
        </w:rPr>
        <w:t>(a)</w:t>
      </w:r>
    </w:p>
    <w:p w:rsidR="00B03921" w:rsidRPr="00CB50A4" w:rsidRDefault="00B03921" w:rsidP="00016914">
      <w:pPr>
        <w:pStyle w:val="million"/>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2786"/>
        <w:gridCol w:w="993"/>
        <w:gridCol w:w="993"/>
        <w:gridCol w:w="993"/>
        <w:gridCol w:w="993"/>
        <w:gridCol w:w="996"/>
        <w:gridCol w:w="9"/>
      </w:tblGrid>
      <w:tr w:rsidR="00B03921" w:rsidRPr="00CB50A4" w:rsidTr="00A35FE2">
        <w:trPr>
          <w:tblHeader/>
        </w:trPr>
        <w:tc>
          <w:tcPr>
            <w:tcW w:w="2786"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3"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3"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budget</w:t>
            </w:r>
          </w:p>
        </w:tc>
        <w:tc>
          <w:tcPr>
            <w:tcW w:w="993"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3"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1005" w:type="dxa"/>
            <w:gridSpan w:val="2"/>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A35FE2" w:rsidRPr="00CB50A4" w:rsidTr="008079E9">
        <w:tc>
          <w:tcPr>
            <w:tcW w:w="7763" w:type="dxa"/>
            <w:gridSpan w:val="7"/>
            <w:tcBorders>
              <w:top w:val="single" w:sz="6" w:space="0" w:color="auto"/>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Revenue from transactions</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Taxation revenue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17 847.2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18 580.5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19 552.3</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20 133.3</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21 049.4</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revenue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739.9</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833.9</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884.3</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925.0</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931.8</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Dividends and income tax equivalent and rate equivalent revenue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779.3</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1 079.0</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1 234.6</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1 215.9</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1 100.6</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Sales of goods and services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13 855.6</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14 137.2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14 251.7</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14 748.2</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15 290.7</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Grants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24 470.1</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25 434.8</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25 941.2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27 366.4</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28 464.8</w:t>
            </w:r>
          </w:p>
        </w:tc>
      </w:tr>
      <w:tr w:rsidR="00B03921" w:rsidRPr="00CB50A4" w:rsidTr="00A35FE2">
        <w:tc>
          <w:tcPr>
            <w:tcW w:w="2786"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revenue</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2 810.9</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2 614.8</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2 710.3</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2 710.8</w:t>
            </w:r>
          </w:p>
        </w:tc>
        <w:tc>
          <w:tcPr>
            <w:tcW w:w="1005" w:type="dxa"/>
            <w:gridSpan w:val="2"/>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2 783.8</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revenue from transactions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60 502.9</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62 680.2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64 574.4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67 099.6</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69 621.1</w:t>
            </w:r>
          </w:p>
        </w:tc>
      </w:tr>
      <w:tr w:rsidR="00A35FE2" w:rsidRPr="00CB50A4" w:rsidTr="008079E9">
        <w:tc>
          <w:tcPr>
            <w:tcW w:w="7763" w:type="dxa"/>
            <w:gridSpan w:val="7"/>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Expenses from transactions</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expenses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19 476.4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20 899.8</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21 576.5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22 527.9</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23 409.6</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superannuation interest expense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1 038.0</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886.5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859.5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831.5</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798.2</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superannuation</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1 974.6</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2 215.5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2 222.9</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2 240.9</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2 268.2</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Depreciation</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4 527.4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4 761.4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5 013.6</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5 193.0</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5 567.1</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Interest expense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2 865.7</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2 840.9</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2 828.5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2 886.6</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2 850.7</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Grants and other transfers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5 574.4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5 822.4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6 169.4</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6 503.0</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6 805.6</w:t>
            </w:r>
          </w:p>
        </w:tc>
      </w:tr>
      <w:tr w:rsidR="00B03921" w:rsidRPr="00CB50A4" w:rsidTr="00A35FE2">
        <w:tc>
          <w:tcPr>
            <w:tcW w:w="2786"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operating expenses</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26 404.9</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26 225.5</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26 378.6</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27 416.2</w:t>
            </w:r>
          </w:p>
        </w:tc>
        <w:tc>
          <w:tcPr>
            <w:tcW w:w="1005" w:type="dxa"/>
            <w:gridSpan w:val="2"/>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28 141.5</w:t>
            </w:r>
          </w:p>
        </w:tc>
      </w:tr>
      <w:tr w:rsidR="00B03921" w:rsidRPr="00CB50A4" w:rsidTr="00A35FE2">
        <w:tc>
          <w:tcPr>
            <w:tcW w:w="2786"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expenses from transactions</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61 861.4</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63 652.0</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65 049.0</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67 599.2</w:t>
            </w:r>
          </w:p>
        </w:tc>
        <w:tc>
          <w:tcPr>
            <w:tcW w:w="1005" w:type="dxa"/>
            <w:gridSpan w:val="2"/>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69 840.9</w:t>
            </w:r>
          </w:p>
        </w:tc>
      </w:tr>
      <w:tr w:rsidR="00B03921" w:rsidRPr="00CB50A4" w:rsidTr="00A35FE2">
        <w:tc>
          <w:tcPr>
            <w:tcW w:w="2786" w:type="dxa"/>
            <w:tcBorders>
              <w:top w:val="single" w:sz="12" w:space="0" w:color="000000"/>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result from transactions – net operating balance</w:t>
            </w:r>
          </w:p>
        </w:tc>
        <w:tc>
          <w:tcPr>
            <w:tcW w:w="993"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(1 358.5)</w:t>
            </w:r>
          </w:p>
        </w:tc>
        <w:tc>
          <w:tcPr>
            <w:tcW w:w="993"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(971.8)</w:t>
            </w:r>
          </w:p>
        </w:tc>
        <w:tc>
          <w:tcPr>
            <w:tcW w:w="993"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(474.6)</w:t>
            </w:r>
          </w:p>
        </w:tc>
        <w:tc>
          <w:tcPr>
            <w:tcW w:w="993"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(499.6)</w:t>
            </w:r>
          </w:p>
        </w:tc>
        <w:tc>
          <w:tcPr>
            <w:tcW w:w="1005" w:type="dxa"/>
            <w:gridSpan w:val="2"/>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(219.8)</w:t>
            </w:r>
          </w:p>
        </w:tc>
      </w:tr>
      <w:tr w:rsidR="00B03921" w:rsidRPr="00CB50A4" w:rsidTr="00A35FE2">
        <w:tc>
          <w:tcPr>
            <w:tcW w:w="2786" w:type="dxa"/>
            <w:tcBorders>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other economic flows included in net result</w:t>
            </w:r>
          </w:p>
        </w:tc>
        <w:tc>
          <w:tcPr>
            <w:tcW w:w="993"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(254.1)</w:t>
            </w:r>
          </w:p>
        </w:tc>
        <w:tc>
          <w:tcPr>
            <w:tcW w:w="993"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5 313.9</w:t>
            </w:r>
          </w:p>
        </w:tc>
        <w:tc>
          <w:tcPr>
            <w:tcW w:w="993"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1 164.9</w:t>
            </w:r>
          </w:p>
        </w:tc>
        <w:tc>
          <w:tcPr>
            <w:tcW w:w="993" w:type="dxa"/>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1 364.0</w:t>
            </w:r>
          </w:p>
        </w:tc>
        <w:tc>
          <w:tcPr>
            <w:tcW w:w="1005" w:type="dxa"/>
            <w:gridSpan w:val="2"/>
            <w:tcBorders>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1 514.4</w:t>
            </w:r>
          </w:p>
        </w:tc>
      </w:tr>
      <w:tr w:rsidR="00B03921" w:rsidRPr="00CB50A4" w:rsidTr="00A35FE2">
        <w:tc>
          <w:tcPr>
            <w:tcW w:w="2786"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result</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(1 612.5)</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4 342.1</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690.3</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864.4</w:t>
            </w:r>
          </w:p>
        </w:tc>
        <w:tc>
          <w:tcPr>
            <w:tcW w:w="1005" w:type="dxa"/>
            <w:gridSpan w:val="2"/>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1 294.6</w:t>
            </w:r>
          </w:p>
        </w:tc>
      </w:tr>
      <w:tr w:rsidR="00A35FE2" w:rsidRPr="00CB50A4" w:rsidTr="008079E9">
        <w:trPr>
          <w:gridAfter w:val="1"/>
          <w:wAfter w:w="9" w:type="dxa"/>
        </w:trPr>
        <w:tc>
          <w:tcPr>
            <w:tcW w:w="7754"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Other economic flows – other comprehensive income</w:t>
            </w:r>
          </w:p>
        </w:tc>
      </w:tr>
      <w:tr w:rsidR="00A35FE2" w:rsidRPr="00CB50A4" w:rsidTr="008079E9">
        <w:trPr>
          <w:gridAfter w:val="1"/>
          <w:wAfter w:w="9" w:type="dxa"/>
        </w:trPr>
        <w:tc>
          <w:tcPr>
            <w:tcW w:w="7754"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Items that will not be reclassified to net result</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Changes in non-financial assets revaluation surplus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8 533.3</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2 165.1</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510.7</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9 493.6</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414.6</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Remeasurement of superannuation defined benefit plans</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(4 283.1)</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958.2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990.8</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1 023.0</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1 058.6</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movements in equity</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74.2</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487.1</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93.0</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(17.7)</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1.8</w:t>
            </w:r>
          </w:p>
        </w:tc>
      </w:tr>
      <w:tr w:rsidR="00A35FE2" w:rsidRPr="00CB50A4" w:rsidTr="008079E9">
        <w:tc>
          <w:tcPr>
            <w:tcW w:w="7763" w:type="dxa"/>
            <w:gridSpan w:val="7"/>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Items that may be reclassified subsequently to net result</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gain/(loss) on financial assets at fair value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(3.1)</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28.5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3.7</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2.4</w:t>
            </w:r>
          </w:p>
        </w:tc>
        <w:tc>
          <w:tcPr>
            <w:tcW w:w="1005" w:type="dxa"/>
            <w:gridSpan w:val="2"/>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0.4</w:t>
            </w:r>
          </w:p>
        </w:tc>
      </w:tr>
      <w:tr w:rsidR="00B03921" w:rsidRPr="00CB50A4" w:rsidTr="00A35FE2">
        <w:tc>
          <w:tcPr>
            <w:tcW w:w="2786"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other economic flows – other comprehensive income</w:t>
            </w:r>
          </w:p>
        </w:tc>
        <w:tc>
          <w:tcPr>
            <w:tcW w:w="993"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4 321.3</w:t>
            </w:r>
          </w:p>
        </w:tc>
        <w:tc>
          <w:tcPr>
            <w:tcW w:w="993"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3 638.8</w:t>
            </w:r>
          </w:p>
        </w:tc>
        <w:tc>
          <w:tcPr>
            <w:tcW w:w="993"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1 598.1</w:t>
            </w:r>
          </w:p>
        </w:tc>
        <w:tc>
          <w:tcPr>
            <w:tcW w:w="993"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10 501.3</w:t>
            </w:r>
          </w:p>
        </w:tc>
        <w:tc>
          <w:tcPr>
            <w:tcW w:w="1005" w:type="dxa"/>
            <w:gridSpan w:val="2"/>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1 475.3</w:t>
            </w:r>
          </w:p>
        </w:tc>
      </w:tr>
      <w:tr w:rsidR="00B03921" w:rsidRPr="00CB50A4" w:rsidTr="00A35FE2">
        <w:tc>
          <w:tcPr>
            <w:tcW w:w="2786"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Comprehensive result – total change in net worth</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2 708.8</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7 980.9</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2 288.4</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11 365.6</w:t>
            </w:r>
          </w:p>
        </w:tc>
        <w:tc>
          <w:tcPr>
            <w:tcW w:w="1005" w:type="dxa"/>
            <w:gridSpan w:val="2"/>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2 769.9</w:t>
            </w:r>
          </w:p>
        </w:tc>
      </w:tr>
    </w:tbl>
    <w:p w:rsidR="00A35FE2" w:rsidRDefault="00A35FE2" w:rsidP="00A35FE2">
      <w:pPr>
        <w:pStyle w:val="Tableheadingcontinued"/>
      </w:pPr>
      <w:r>
        <w:t>Table 2.19:</w:t>
      </w:r>
      <w:r>
        <w:tab/>
        <w:t>State of Victoria operating statement for the financial year ending 30 June</w:t>
      </w:r>
      <w:r w:rsidRPr="00A35FE2">
        <w:rPr>
          <w:vertAlign w:val="superscript"/>
        </w:rPr>
        <w:t>(a)</w:t>
      </w:r>
      <w:r>
        <w:t xml:space="preserve"> </w:t>
      </w:r>
      <w:r w:rsidRPr="00A35FE2">
        <w:rPr>
          <w:i/>
        </w:rPr>
        <w:t>(continued)</w:t>
      </w:r>
    </w:p>
    <w:p w:rsidR="00A35FE2" w:rsidRDefault="00A35FE2" w:rsidP="00A35FE2">
      <w:pPr>
        <w:pStyle w:val="million"/>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2786"/>
        <w:gridCol w:w="993"/>
        <w:gridCol w:w="993"/>
        <w:gridCol w:w="993"/>
        <w:gridCol w:w="993"/>
        <w:gridCol w:w="1005"/>
      </w:tblGrid>
      <w:tr w:rsidR="00A35FE2" w:rsidRPr="00CB50A4" w:rsidTr="008079E9">
        <w:trPr>
          <w:tblHeader/>
        </w:trPr>
        <w:tc>
          <w:tcPr>
            <w:tcW w:w="2786" w:type="dxa"/>
            <w:tcBorders>
              <w:top w:val="single" w:sz="6" w:space="0" w:color="auto"/>
              <w:left w:val="single" w:sz="6" w:space="0" w:color="auto"/>
              <w:bottom w:val="single" w:sz="6" w:space="0" w:color="auto"/>
              <w:right w:val="nil"/>
            </w:tcBorders>
            <w:shd w:val="clear" w:color="000000" w:fill="000000"/>
          </w:tcPr>
          <w:p w:rsidR="00A35FE2" w:rsidRPr="00CB50A4" w:rsidRDefault="00A35FE2" w:rsidP="008079E9">
            <w:pPr>
              <w:pStyle w:val="Tabletext"/>
              <w:rPr>
                <w:rFonts w:eastAsiaTheme="minorEastAsia"/>
                <w:lang w:eastAsia="en-AU"/>
              </w:rPr>
            </w:pPr>
            <w:r w:rsidRPr="00CB50A4">
              <w:rPr>
                <w:rFonts w:eastAsiaTheme="minorEastAsia"/>
                <w:lang w:eastAsia="en-AU"/>
              </w:rPr>
              <w:t xml:space="preserve"> </w:t>
            </w:r>
          </w:p>
        </w:tc>
        <w:tc>
          <w:tcPr>
            <w:tcW w:w="993"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2014-15 revised</w:t>
            </w:r>
          </w:p>
        </w:tc>
        <w:tc>
          <w:tcPr>
            <w:tcW w:w="993"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2015-16 budget</w:t>
            </w:r>
          </w:p>
        </w:tc>
        <w:tc>
          <w:tcPr>
            <w:tcW w:w="993"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2016-17 estimate</w:t>
            </w:r>
          </w:p>
        </w:tc>
        <w:tc>
          <w:tcPr>
            <w:tcW w:w="993" w:type="dxa"/>
            <w:tcBorders>
              <w:top w:val="single" w:sz="6" w:space="0" w:color="auto"/>
              <w:left w:val="nil"/>
              <w:bottom w:val="single" w:sz="6" w:space="0" w:color="auto"/>
              <w:right w:val="nil"/>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2017-18 estimate</w:t>
            </w:r>
          </w:p>
        </w:tc>
        <w:tc>
          <w:tcPr>
            <w:tcW w:w="1005" w:type="dxa"/>
            <w:tcBorders>
              <w:top w:val="single" w:sz="6" w:space="0" w:color="auto"/>
              <w:left w:val="nil"/>
              <w:bottom w:val="single" w:sz="6" w:space="0" w:color="auto"/>
              <w:right w:val="single" w:sz="6" w:space="0" w:color="auto"/>
            </w:tcBorders>
            <w:shd w:val="clear" w:color="000000" w:fill="000000"/>
          </w:tcPr>
          <w:p w:rsidR="00A35FE2" w:rsidRPr="00CB50A4" w:rsidRDefault="00A35FE2" w:rsidP="008079E9">
            <w:pPr>
              <w:pStyle w:val="Tabletextheading"/>
              <w:rPr>
                <w:rFonts w:eastAsiaTheme="minorEastAsia"/>
                <w:color w:val="FFFFFF"/>
                <w:lang w:eastAsia="en-AU"/>
              </w:rPr>
            </w:pPr>
            <w:r w:rsidRPr="00CB50A4">
              <w:rPr>
                <w:rFonts w:eastAsiaTheme="minorEastAsia"/>
                <w:color w:val="FFFFFF"/>
                <w:lang w:eastAsia="en-AU"/>
              </w:rPr>
              <w:t>2018-19 estimate</w:t>
            </w:r>
          </w:p>
        </w:tc>
      </w:tr>
      <w:tr w:rsidR="00A35FE2" w:rsidRPr="00CB50A4" w:rsidTr="008079E9">
        <w:tc>
          <w:tcPr>
            <w:tcW w:w="7763" w:type="dxa"/>
            <w:gridSpan w:val="6"/>
            <w:tcBorders>
              <w:top w:val="single" w:sz="12" w:space="0" w:color="000000"/>
              <w:left w:val="nil"/>
              <w:bottom w:val="nil"/>
              <w:right w:val="nil"/>
            </w:tcBorders>
            <w:shd w:val="solid" w:color="FFFFFF" w:fill="auto"/>
          </w:tcPr>
          <w:p w:rsidR="00A35FE2" w:rsidRPr="00CB50A4" w:rsidRDefault="00A35FE2" w:rsidP="00A35FE2">
            <w:pPr>
              <w:pStyle w:val="Tabletext"/>
              <w:ind w:left="181" w:hanging="181"/>
              <w:rPr>
                <w:rFonts w:eastAsiaTheme="minorEastAsia"/>
                <w:b/>
                <w:lang w:eastAsia="en-AU"/>
              </w:rPr>
            </w:pPr>
            <w:r w:rsidRPr="00CB50A4">
              <w:rPr>
                <w:rFonts w:eastAsiaTheme="minorEastAsia"/>
                <w:b/>
                <w:bCs/>
                <w:lang w:eastAsia="en-AU"/>
              </w:rPr>
              <w:t>KEY FISCAL AGGREGATES</w:t>
            </w:r>
          </w:p>
        </w:tc>
      </w:tr>
      <w:tr w:rsidR="00B03921" w:rsidRPr="00CB50A4" w:rsidTr="00A35FE2">
        <w:tc>
          <w:tcPr>
            <w:tcW w:w="2786"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operating balance</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(1 358.5)</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(971.8)</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(474.6)</w:t>
            </w:r>
          </w:p>
        </w:tc>
        <w:tc>
          <w:tcPr>
            <w:tcW w:w="993"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(499.6)</w:t>
            </w:r>
          </w:p>
        </w:tc>
        <w:tc>
          <w:tcPr>
            <w:tcW w:w="1005"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(219.8)</w:t>
            </w:r>
          </w:p>
        </w:tc>
      </w:tr>
      <w:tr w:rsidR="00B03921" w:rsidRPr="00CB50A4" w:rsidTr="00A35FE2">
        <w:tc>
          <w:tcPr>
            <w:tcW w:w="2786"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Less: Net acquisition of </w:t>
            </w:r>
            <w:r>
              <w:rPr>
                <w:rFonts w:eastAsiaTheme="minorEastAsia"/>
                <w:lang w:eastAsia="en-AU"/>
              </w:rPr>
              <w:br/>
            </w:r>
            <w:r w:rsidRPr="00CB50A4">
              <w:rPr>
                <w:rFonts w:eastAsiaTheme="minorEastAsia"/>
                <w:lang w:eastAsia="en-AU"/>
              </w:rPr>
              <w:t>non-financial assets from transactions</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1 769.5</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(4 049.6)</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3 045.3</w:t>
            </w:r>
          </w:p>
        </w:tc>
        <w:tc>
          <w:tcPr>
            <w:tcW w:w="993"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2 481.9</w:t>
            </w:r>
          </w:p>
        </w:tc>
        <w:tc>
          <w:tcPr>
            <w:tcW w:w="1005"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1 472.6</w:t>
            </w:r>
          </w:p>
        </w:tc>
      </w:tr>
      <w:tr w:rsidR="00B03921" w:rsidRPr="00CB50A4" w:rsidTr="00A35FE2">
        <w:tc>
          <w:tcPr>
            <w:tcW w:w="2786"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lending/(borrowing)</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(3 127.9)</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3 077.8</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(3 519.9)</w:t>
            </w:r>
          </w:p>
        </w:tc>
        <w:tc>
          <w:tcPr>
            <w:tcW w:w="993"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(2 981.5)</w:t>
            </w:r>
          </w:p>
        </w:tc>
        <w:tc>
          <w:tcPr>
            <w:tcW w:w="1005"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(1 692.5)</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(a)</w:t>
      </w:r>
      <w:r>
        <w:tab/>
        <w:t xml:space="preserve">Certain line items have been aggregated in the table above due to commercial sensitivities of balances. </w:t>
      </w:r>
    </w:p>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2.20:</w:t>
      </w:r>
      <w:r>
        <w:tab/>
        <w:t>State of Victoria balance sheet as at 30 June</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2019 estimate</w:t>
            </w:r>
          </w:p>
        </w:tc>
      </w:tr>
      <w:tr w:rsidR="00A35FE2" w:rsidRPr="00CB50A4" w:rsidTr="008079E9">
        <w:tc>
          <w:tcPr>
            <w:tcW w:w="7760" w:type="dxa"/>
            <w:gridSpan w:val="6"/>
            <w:tcBorders>
              <w:top w:val="single" w:sz="6" w:space="0" w:color="auto"/>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Assets</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Financial assets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Cash and deposits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8 264.8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8 588.3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9 305.5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8 622.4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9 235.0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Receivables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6 529.0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6 337.5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6 569.8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6 727.6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6 879.3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Advances paid, investments, loans and placements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32 016.2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34 159.4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34 541.8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36 288.9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38 283.4</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Investments accounted for using equity method</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1 555.1</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48 365.2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50 640.3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51 972.3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53 193.9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55 952.9</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Non-financial assets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Inventories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758.5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749.6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715.0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721.0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769.2</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Non-financial assets held for sale</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129.2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128.5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Land, buildings, infrastructure, plant and equipment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208 784.0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211 620.2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215 390.6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227 573.5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229 580.3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non-financial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2 506.2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2 419.2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2 382.1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2 250.3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2 157.5</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non-financial assets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212 177.9</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214 917.5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218 616.2</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230 673.3</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232 635.5</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assets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260 543.1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265 557.8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270 588.4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283 867.3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288 588.3</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Liabilities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Deposits held and advances received</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1 970.5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1 972.1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1 972.9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1 922.0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1 926.6</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Payables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8 039.1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7 821.6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7 868.7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7 843.5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7 693.3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Borrowings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51 655.9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49 033.9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51 253.3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52 138.1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53 479.9</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Employee benefits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5 953.8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6 202.2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6 455.1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6 708.6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6 961.3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Superannuation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30 801.5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29 843.9</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28 703.5</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28 091.2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27 058.9</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Other provisions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27 376.4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27 957.3</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29 319.8</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30 783.1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32 317.6</w:t>
            </w:r>
          </w:p>
        </w:tc>
      </w:tr>
      <w:tr w:rsidR="00B03921" w:rsidRPr="00CB50A4" w:rsidTr="00016914">
        <w:tc>
          <w:tcPr>
            <w:tcW w:w="2790"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liabilities</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125 797.3</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122 831.0</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125 573.3</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127 486.5</w:t>
            </w:r>
          </w:p>
        </w:tc>
        <w:tc>
          <w:tcPr>
            <w:tcW w:w="994" w:type="dxa"/>
            <w:tcBorders>
              <w:top w:val="single" w:sz="6" w:space="0" w:color="000000"/>
              <w:left w:val="nil"/>
              <w:bottom w:val="single" w:sz="6"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129 437.6</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134 745.8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142 726.7</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145 015.1</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156 380.8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159 150.7</w:t>
            </w:r>
          </w:p>
        </w:tc>
      </w:tr>
      <w:tr w:rsidR="00B03921" w:rsidRPr="00CB50A4" w:rsidTr="00016914">
        <w:tc>
          <w:tcPr>
            <w:tcW w:w="2790" w:type="dxa"/>
            <w:tcBorders>
              <w:top w:val="single" w:sz="12" w:space="0" w:color="000000"/>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Accumulated surplus/(deficit)</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39 625.6</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45 363.6</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47 085.0</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48 896.1</w:t>
            </w:r>
          </w:p>
        </w:tc>
        <w:tc>
          <w:tcPr>
            <w:tcW w:w="994" w:type="dxa"/>
            <w:tcBorders>
              <w:top w:val="single" w:sz="12" w:space="0" w:color="000000"/>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51 195.0</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Reserves</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95 070.2</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97 313.1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97 880.1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107 434.7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107 905.7</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Non-controlling interest</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Net worth</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134 745.8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142 726.7</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145 015.1</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156 380.8</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159 150.7</w:t>
            </w:r>
          </w:p>
        </w:tc>
      </w:tr>
      <w:tr w:rsidR="00A35FE2" w:rsidRPr="00CB50A4" w:rsidTr="008079E9">
        <w:tc>
          <w:tcPr>
            <w:tcW w:w="7760" w:type="dxa"/>
            <w:gridSpan w:val="6"/>
            <w:tcBorders>
              <w:top w:val="single" w:sz="12" w:space="0" w:color="000000"/>
              <w:left w:val="nil"/>
              <w:bottom w:val="nil"/>
              <w:right w:val="nil"/>
            </w:tcBorders>
            <w:shd w:val="solid" w:color="FFFFFF" w:fill="auto"/>
          </w:tcPr>
          <w:p w:rsidR="00A35FE2" w:rsidRPr="00CB50A4" w:rsidRDefault="00A35FE2" w:rsidP="00A35FE2">
            <w:pPr>
              <w:pStyle w:val="Tabletext"/>
              <w:rPr>
                <w:rFonts w:eastAsiaTheme="minorEastAsia"/>
                <w:b/>
                <w:lang w:eastAsia="en-AU"/>
              </w:rPr>
            </w:pPr>
            <w:r w:rsidRPr="00CB50A4">
              <w:rPr>
                <w:rFonts w:eastAsiaTheme="minorEastAsia"/>
                <w:b/>
                <w:bCs/>
                <w:lang w:eastAsia="en-AU"/>
              </w:rPr>
              <w:t>FISCAL AGGREGATES</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worth</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(77 432.1)</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(72 190.7)</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(73 601.0)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(74 292.6)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(73 484.8)</w:t>
            </w:r>
          </w:p>
        </w:tc>
      </w:tr>
      <w:tr w:rsidR="00B03921" w:rsidRPr="00CB50A4" w:rsidTr="00016914">
        <w:tc>
          <w:tcPr>
            <w:tcW w:w="2790" w:type="dxa"/>
            <w:tcBorders>
              <w:top w:val="nil"/>
              <w:left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financial liabilities</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77 432.1</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72 190.7</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73 601.0</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74 292.6</w:t>
            </w:r>
          </w:p>
        </w:tc>
        <w:tc>
          <w:tcPr>
            <w:tcW w:w="994" w:type="dxa"/>
            <w:tcBorders>
              <w:top w:val="nil"/>
              <w:left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73 484.8</w:t>
            </w:r>
          </w:p>
        </w:tc>
      </w:tr>
      <w:tr w:rsidR="00B03921" w:rsidRPr="00CB50A4" w:rsidTr="00016914">
        <w:tc>
          <w:tcPr>
            <w:tcW w:w="2790" w:type="dxa"/>
            <w:tcBorders>
              <w:top w:val="nil"/>
              <w:left w:val="nil"/>
              <w:bottom w:val="single" w:sz="12" w:space="0" w:color="000000"/>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Net debt</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13 345.4</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8 258.3</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9 378.8</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9 148.9</w:t>
            </w:r>
          </w:p>
        </w:tc>
        <w:tc>
          <w:tcPr>
            <w:tcW w:w="994" w:type="dxa"/>
            <w:tcBorders>
              <w:top w:val="nil"/>
              <w:left w:val="nil"/>
              <w:bottom w:val="single" w:sz="12"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7 888.1</w:t>
            </w:r>
          </w:p>
        </w:tc>
      </w:tr>
    </w:tbl>
    <w:p w:rsidR="00B03921" w:rsidRDefault="00B03921" w:rsidP="00016914">
      <w:pPr>
        <w:pStyle w:val="Source"/>
      </w:pPr>
      <w:r>
        <w:t>Source: Department of Treasury and Finance</w:t>
      </w:r>
    </w:p>
    <w:p w:rsidR="00B03921" w:rsidRDefault="00B03921" w:rsidP="00016914">
      <w:pPr>
        <w:pStyle w:val="Notes"/>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2.21:</w:t>
      </w:r>
      <w:r>
        <w:tab/>
        <w:t>State of Victoria cash flow statement for the financial year ending</w:t>
      </w:r>
      <w:r w:rsidRPr="00A14B57">
        <w:rPr>
          <w:vertAlign w:val="superscript"/>
        </w:rPr>
        <w:t>(a)</w:t>
      </w:r>
    </w:p>
    <w:p w:rsidR="00B03921" w:rsidRPr="00CB50A4" w:rsidRDefault="00B03921" w:rsidP="00016914">
      <w:pPr>
        <w:pStyle w:val="million"/>
        <w:rPr>
          <w:rFonts w:ascii="Times New Roman" w:hAnsi="Times New Roman"/>
          <w:sz w:val="20"/>
          <w:lang w:eastAsia="en-AU"/>
        </w:rPr>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2920"/>
        <w:gridCol w:w="968"/>
        <w:gridCol w:w="968"/>
        <w:gridCol w:w="968"/>
        <w:gridCol w:w="968"/>
        <w:gridCol w:w="971"/>
      </w:tblGrid>
      <w:tr w:rsidR="00B03921" w:rsidRPr="00FA4471" w:rsidTr="00A35FE2">
        <w:trPr>
          <w:tblHeader/>
        </w:trPr>
        <w:tc>
          <w:tcPr>
            <w:tcW w:w="2920" w:type="dxa"/>
            <w:tcBorders>
              <w:top w:val="single" w:sz="6" w:space="0" w:color="000000"/>
              <w:left w:val="single" w:sz="6" w:space="0" w:color="000000"/>
              <w:bottom w:val="single" w:sz="6" w:space="0" w:color="000000"/>
              <w:right w:val="nil"/>
            </w:tcBorders>
            <w:shd w:val="clear" w:color="000000" w:fill="000000"/>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 xml:space="preserve"> </w:t>
            </w:r>
          </w:p>
        </w:tc>
        <w:tc>
          <w:tcPr>
            <w:tcW w:w="968" w:type="dxa"/>
            <w:tcBorders>
              <w:top w:val="single" w:sz="6" w:space="0" w:color="000000"/>
              <w:left w:val="nil"/>
              <w:bottom w:val="single" w:sz="6" w:space="0" w:color="000000"/>
              <w:right w:val="nil"/>
            </w:tcBorders>
            <w:shd w:val="clear" w:color="000000" w:fill="000000"/>
          </w:tcPr>
          <w:p w:rsidR="00B03921" w:rsidRPr="00FA4471" w:rsidRDefault="00B03921" w:rsidP="00016914">
            <w:pPr>
              <w:pStyle w:val="Tabletextheading"/>
              <w:rPr>
                <w:rFonts w:eastAsiaTheme="minorEastAsia"/>
                <w:color w:val="FFFFFF"/>
                <w:sz w:val="19"/>
                <w:lang w:eastAsia="en-AU"/>
              </w:rPr>
            </w:pPr>
            <w:r w:rsidRPr="00FA4471">
              <w:rPr>
                <w:rFonts w:eastAsiaTheme="minorEastAsia"/>
                <w:color w:val="FFFFFF"/>
                <w:sz w:val="19"/>
                <w:lang w:eastAsia="en-AU"/>
              </w:rPr>
              <w:t>2014-15 revised</w:t>
            </w:r>
          </w:p>
        </w:tc>
        <w:tc>
          <w:tcPr>
            <w:tcW w:w="968" w:type="dxa"/>
            <w:tcBorders>
              <w:top w:val="single" w:sz="6" w:space="0" w:color="000000"/>
              <w:left w:val="nil"/>
              <w:bottom w:val="single" w:sz="6" w:space="0" w:color="000000"/>
              <w:right w:val="nil"/>
            </w:tcBorders>
            <w:shd w:val="clear" w:color="000000" w:fill="000000"/>
          </w:tcPr>
          <w:p w:rsidR="00B03921" w:rsidRPr="00FA4471" w:rsidRDefault="00B03921" w:rsidP="00016914">
            <w:pPr>
              <w:pStyle w:val="Tabletextheading"/>
              <w:rPr>
                <w:rFonts w:eastAsiaTheme="minorEastAsia"/>
                <w:color w:val="FFFFFF"/>
                <w:sz w:val="19"/>
                <w:lang w:eastAsia="en-AU"/>
              </w:rPr>
            </w:pPr>
            <w:r w:rsidRPr="00FA4471">
              <w:rPr>
                <w:rFonts w:eastAsiaTheme="minorEastAsia"/>
                <w:color w:val="FFFFFF"/>
                <w:sz w:val="19"/>
                <w:lang w:eastAsia="en-AU"/>
              </w:rPr>
              <w:t>2015-16 estimate</w:t>
            </w:r>
          </w:p>
        </w:tc>
        <w:tc>
          <w:tcPr>
            <w:tcW w:w="968" w:type="dxa"/>
            <w:tcBorders>
              <w:top w:val="single" w:sz="6" w:space="0" w:color="000000"/>
              <w:left w:val="nil"/>
              <w:bottom w:val="single" w:sz="6" w:space="0" w:color="000000"/>
              <w:right w:val="nil"/>
            </w:tcBorders>
            <w:shd w:val="clear" w:color="000000" w:fill="000000"/>
          </w:tcPr>
          <w:p w:rsidR="00B03921" w:rsidRPr="00FA4471" w:rsidRDefault="00B03921" w:rsidP="00016914">
            <w:pPr>
              <w:pStyle w:val="Tabletextheading"/>
              <w:rPr>
                <w:rFonts w:eastAsiaTheme="minorEastAsia"/>
                <w:color w:val="FFFFFF"/>
                <w:sz w:val="19"/>
                <w:lang w:eastAsia="en-AU"/>
              </w:rPr>
            </w:pPr>
            <w:r w:rsidRPr="00FA4471">
              <w:rPr>
                <w:rFonts w:eastAsiaTheme="minorEastAsia"/>
                <w:color w:val="FFFFFF"/>
                <w:sz w:val="19"/>
                <w:lang w:eastAsia="en-AU"/>
              </w:rPr>
              <w:t>2016-17 estimate</w:t>
            </w:r>
          </w:p>
        </w:tc>
        <w:tc>
          <w:tcPr>
            <w:tcW w:w="968" w:type="dxa"/>
            <w:tcBorders>
              <w:top w:val="single" w:sz="6" w:space="0" w:color="000000"/>
              <w:left w:val="nil"/>
              <w:bottom w:val="single" w:sz="6" w:space="0" w:color="000000"/>
              <w:right w:val="nil"/>
            </w:tcBorders>
            <w:shd w:val="clear" w:color="000000" w:fill="000000"/>
          </w:tcPr>
          <w:p w:rsidR="00B03921" w:rsidRPr="00FA4471" w:rsidRDefault="00B03921" w:rsidP="00016914">
            <w:pPr>
              <w:pStyle w:val="Tabletextheading"/>
              <w:rPr>
                <w:rFonts w:eastAsiaTheme="minorEastAsia"/>
                <w:color w:val="FFFFFF"/>
                <w:sz w:val="19"/>
                <w:lang w:eastAsia="en-AU"/>
              </w:rPr>
            </w:pPr>
            <w:r w:rsidRPr="00FA4471">
              <w:rPr>
                <w:rFonts w:eastAsiaTheme="minorEastAsia"/>
                <w:color w:val="FFFFFF"/>
                <w:sz w:val="19"/>
                <w:lang w:eastAsia="en-AU"/>
              </w:rPr>
              <w:t>2017-18 estimate</w:t>
            </w:r>
          </w:p>
        </w:tc>
        <w:tc>
          <w:tcPr>
            <w:tcW w:w="971" w:type="dxa"/>
            <w:tcBorders>
              <w:top w:val="single" w:sz="6" w:space="0" w:color="000000"/>
              <w:left w:val="nil"/>
              <w:bottom w:val="single" w:sz="6" w:space="0" w:color="000000"/>
              <w:right w:val="single" w:sz="6" w:space="0" w:color="000000"/>
            </w:tcBorders>
            <w:shd w:val="clear" w:color="000000" w:fill="000000"/>
          </w:tcPr>
          <w:p w:rsidR="00B03921" w:rsidRPr="00FA4471" w:rsidRDefault="00B03921" w:rsidP="00016914">
            <w:pPr>
              <w:pStyle w:val="Tabletextheading"/>
              <w:rPr>
                <w:rFonts w:eastAsiaTheme="minorEastAsia"/>
                <w:color w:val="FFFFFF"/>
                <w:sz w:val="19"/>
                <w:lang w:eastAsia="en-AU"/>
              </w:rPr>
            </w:pPr>
            <w:r w:rsidRPr="00FA4471">
              <w:rPr>
                <w:rFonts w:eastAsiaTheme="minorEastAsia"/>
                <w:color w:val="FFFFFF"/>
                <w:sz w:val="19"/>
                <w:lang w:eastAsia="en-AU"/>
              </w:rPr>
              <w:t>2018-19 estimate</w:t>
            </w:r>
          </w:p>
        </w:tc>
      </w:tr>
      <w:tr w:rsidR="00A35FE2" w:rsidRPr="00FA4471" w:rsidTr="008079E9">
        <w:tc>
          <w:tcPr>
            <w:tcW w:w="7763" w:type="dxa"/>
            <w:gridSpan w:val="6"/>
            <w:tcBorders>
              <w:top w:val="single" w:sz="6" w:space="0" w:color="000000"/>
              <w:left w:val="nil"/>
              <w:bottom w:val="nil"/>
              <w:right w:val="nil"/>
            </w:tcBorders>
            <w:shd w:val="solid" w:color="FFFFFF" w:fill="auto"/>
          </w:tcPr>
          <w:p w:rsidR="00A35FE2" w:rsidRPr="00FA4471" w:rsidRDefault="00A35FE2" w:rsidP="00A35FE2">
            <w:pPr>
              <w:pStyle w:val="Tabletext"/>
              <w:rPr>
                <w:rFonts w:eastAsiaTheme="minorEastAsia"/>
                <w:b/>
                <w:bCs/>
                <w:sz w:val="19"/>
                <w:lang w:eastAsia="en-AU"/>
              </w:rPr>
            </w:pPr>
            <w:r w:rsidRPr="00FA4471">
              <w:rPr>
                <w:rFonts w:eastAsiaTheme="minorEastAsia"/>
                <w:b/>
                <w:bCs/>
                <w:sz w:val="19"/>
                <w:lang w:eastAsia="en-AU"/>
              </w:rPr>
              <w:t>Cash flows from operating activities</w:t>
            </w:r>
          </w:p>
        </w:tc>
      </w:tr>
      <w:tr w:rsidR="00A35FE2" w:rsidRPr="00FA4471" w:rsidTr="008079E9">
        <w:tc>
          <w:tcPr>
            <w:tcW w:w="7763" w:type="dxa"/>
            <w:gridSpan w:val="6"/>
            <w:tcBorders>
              <w:top w:val="nil"/>
              <w:left w:val="nil"/>
              <w:bottom w:val="nil"/>
              <w:right w:val="nil"/>
            </w:tcBorders>
            <w:shd w:val="solid" w:color="FFFFFF" w:fill="auto"/>
          </w:tcPr>
          <w:p w:rsidR="00A35FE2" w:rsidRPr="00FA4471" w:rsidRDefault="00A35FE2" w:rsidP="00A35FE2">
            <w:pPr>
              <w:pStyle w:val="Tabletext"/>
              <w:rPr>
                <w:rFonts w:eastAsiaTheme="minorEastAsia"/>
                <w:b/>
                <w:bCs/>
                <w:sz w:val="19"/>
                <w:lang w:eastAsia="en-AU"/>
              </w:rPr>
            </w:pPr>
            <w:r w:rsidRPr="00FA4471">
              <w:rPr>
                <w:rFonts w:eastAsiaTheme="minorEastAsia"/>
                <w:b/>
                <w:bCs/>
                <w:sz w:val="19"/>
                <w:lang w:eastAsia="en-AU"/>
              </w:rPr>
              <w:t>Receipts</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Taxes received</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18 032.7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18 563.3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19 483.8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19 985.2</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20 902.7</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Grants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24 433.8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25 525.1</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25 941.2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27 366.4</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28 464.8</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vertAlign w:val="superscript"/>
                <w:lang w:eastAsia="en-AU"/>
              </w:rPr>
            </w:pPr>
            <w:r w:rsidRPr="00FA4471">
              <w:rPr>
                <w:rFonts w:eastAsiaTheme="minorEastAsia"/>
                <w:sz w:val="19"/>
                <w:lang w:eastAsia="en-AU"/>
              </w:rPr>
              <w:t>Sales of goods and services</w:t>
            </w:r>
            <w:r w:rsidRPr="00FA4471">
              <w:rPr>
                <w:rFonts w:eastAsiaTheme="minorEastAsia"/>
                <w:sz w:val="19"/>
                <w:vertAlign w:val="superscript"/>
                <w:lang w:eastAsia="en-AU"/>
              </w:rPr>
              <w:t>(b)</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15 508.5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15 914.1</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16 104.3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16 592.0</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17 032.2</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Interest received</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638.6</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734.8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786.9</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810.5</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817.5</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Dividends and income tax equivalent and rate equivalent receipts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778.9</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1 079.0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1 234.5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1 215.8</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1 100.5</w:t>
            </w:r>
          </w:p>
        </w:tc>
      </w:tr>
      <w:tr w:rsidR="00B03921" w:rsidRPr="00FA4471" w:rsidTr="00A35FE2">
        <w:tc>
          <w:tcPr>
            <w:tcW w:w="2920" w:type="dxa"/>
            <w:tcBorders>
              <w:top w:val="nil"/>
              <w:left w:val="nil"/>
              <w:bottom w:val="single" w:sz="6" w:space="0" w:color="000000"/>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Other receipts</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2 342.6</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2 062.1</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1 880.3</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2 050.3</w:t>
            </w:r>
          </w:p>
        </w:tc>
        <w:tc>
          <w:tcPr>
            <w:tcW w:w="971"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2 096.5</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b/>
                <w:bCs/>
                <w:sz w:val="19"/>
                <w:lang w:eastAsia="en-AU"/>
              </w:rPr>
            </w:pPr>
            <w:r w:rsidRPr="00FA4471">
              <w:rPr>
                <w:rFonts w:eastAsiaTheme="minorEastAsia"/>
                <w:b/>
                <w:bCs/>
                <w:sz w:val="19"/>
                <w:lang w:eastAsia="en-AU"/>
              </w:rPr>
              <w:t>Total receipts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61 735.1</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63 878.4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65 431.0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68 020.1</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70 414.2</w:t>
            </w:r>
          </w:p>
        </w:tc>
      </w:tr>
      <w:tr w:rsidR="00A35FE2" w:rsidRPr="00FA4471" w:rsidTr="008079E9">
        <w:tc>
          <w:tcPr>
            <w:tcW w:w="7763" w:type="dxa"/>
            <w:gridSpan w:val="6"/>
            <w:tcBorders>
              <w:top w:val="nil"/>
              <w:left w:val="nil"/>
              <w:bottom w:val="nil"/>
              <w:right w:val="nil"/>
            </w:tcBorders>
            <w:shd w:val="solid" w:color="FFFFFF" w:fill="auto"/>
          </w:tcPr>
          <w:p w:rsidR="00A35FE2" w:rsidRPr="00FA4471" w:rsidRDefault="00A35FE2" w:rsidP="00A35FE2">
            <w:pPr>
              <w:pStyle w:val="Tabletext"/>
              <w:rPr>
                <w:rFonts w:eastAsiaTheme="minorEastAsia"/>
                <w:b/>
                <w:bCs/>
                <w:sz w:val="19"/>
                <w:lang w:eastAsia="en-AU"/>
              </w:rPr>
            </w:pPr>
            <w:r w:rsidRPr="00FA4471">
              <w:rPr>
                <w:rFonts w:eastAsiaTheme="minorEastAsia"/>
                <w:b/>
                <w:bCs/>
                <w:sz w:val="19"/>
                <w:lang w:eastAsia="en-AU"/>
              </w:rPr>
              <w:t>Payments</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Payments for employees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(19 267.4)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(20 651.3)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(21 323.5)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(22 274.4)</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(23 156.7)</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Superannuation</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(2 795.4)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(3 101.4)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(3 232.0)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(2 661.6)</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(3 040.2)</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Interest paid</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(2 828.2)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(2 830.7)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(2 820.0)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(2 863.3)</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(2 829.5)</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Grants and subsidies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(5 513.0)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(5 836.7)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(6 201.6)</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(6 433.0)</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(6 734.8)</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vertAlign w:val="superscript"/>
                <w:lang w:eastAsia="en-AU"/>
              </w:rPr>
            </w:pPr>
            <w:r w:rsidRPr="00FA4471">
              <w:rPr>
                <w:rFonts w:eastAsiaTheme="minorEastAsia"/>
                <w:sz w:val="19"/>
                <w:lang w:eastAsia="en-AU"/>
              </w:rPr>
              <w:t>Goods and services</w:t>
            </w:r>
            <w:r w:rsidRPr="00FA4471">
              <w:rPr>
                <w:rFonts w:eastAsiaTheme="minorEastAsia"/>
                <w:sz w:val="19"/>
                <w:vertAlign w:val="superscript"/>
                <w:lang w:eastAsia="en-AU"/>
              </w:rPr>
              <w:t>(b)</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(25 172.2)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(25 290.6)</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(25 234.8)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(26 248.4)</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(26 837.6)</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Other payments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(619.7)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(765.0)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(696.0)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(727.4)</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(744.5)</w:t>
            </w:r>
          </w:p>
        </w:tc>
      </w:tr>
      <w:tr w:rsidR="00B03921" w:rsidRPr="00FA4471" w:rsidTr="00A35FE2">
        <w:tc>
          <w:tcPr>
            <w:tcW w:w="2920"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text"/>
              <w:rPr>
                <w:rFonts w:eastAsiaTheme="minorEastAsia"/>
                <w:b/>
                <w:bCs/>
                <w:sz w:val="19"/>
                <w:lang w:eastAsia="en-AU"/>
              </w:rPr>
            </w:pPr>
            <w:r w:rsidRPr="00FA4471">
              <w:rPr>
                <w:rFonts w:eastAsiaTheme="minorEastAsia"/>
                <w:b/>
                <w:bCs/>
                <w:sz w:val="19"/>
                <w:lang w:eastAsia="en-AU"/>
              </w:rPr>
              <w:t>Total payments</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(56 195.9)</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(58 475.8)</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(59 507.9)</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(61 208.1)</w:t>
            </w:r>
          </w:p>
        </w:tc>
        <w:tc>
          <w:tcPr>
            <w:tcW w:w="971"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(63 343.3)</w:t>
            </w:r>
          </w:p>
        </w:tc>
      </w:tr>
      <w:tr w:rsidR="00B03921" w:rsidRPr="00FA4471" w:rsidTr="00A35FE2">
        <w:tc>
          <w:tcPr>
            <w:tcW w:w="2920" w:type="dxa"/>
            <w:tcBorders>
              <w:top w:val="nil"/>
              <w:left w:val="nil"/>
              <w:right w:val="nil"/>
            </w:tcBorders>
            <w:shd w:val="solid" w:color="FFFFFF" w:fill="auto"/>
          </w:tcPr>
          <w:p w:rsidR="00B03921" w:rsidRPr="00FA4471" w:rsidRDefault="00B03921" w:rsidP="00016914">
            <w:pPr>
              <w:pStyle w:val="Tabletext"/>
              <w:rPr>
                <w:rFonts w:eastAsiaTheme="minorEastAsia"/>
                <w:b/>
                <w:bCs/>
                <w:sz w:val="19"/>
                <w:lang w:eastAsia="en-AU"/>
              </w:rPr>
            </w:pPr>
            <w:r w:rsidRPr="00FA4471">
              <w:rPr>
                <w:rFonts w:eastAsiaTheme="minorEastAsia"/>
                <w:b/>
                <w:bCs/>
                <w:sz w:val="19"/>
                <w:lang w:eastAsia="en-AU"/>
              </w:rPr>
              <w:t>Net cash flows from operating activities</w:t>
            </w:r>
          </w:p>
        </w:tc>
        <w:tc>
          <w:tcPr>
            <w:tcW w:w="968" w:type="dxa"/>
            <w:tcBorders>
              <w:top w:val="nil"/>
              <w:left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5 539.2</w:t>
            </w:r>
          </w:p>
        </w:tc>
        <w:tc>
          <w:tcPr>
            <w:tcW w:w="968" w:type="dxa"/>
            <w:tcBorders>
              <w:top w:val="nil"/>
              <w:left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5 402.7</w:t>
            </w:r>
          </w:p>
        </w:tc>
        <w:tc>
          <w:tcPr>
            <w:tcW w:w="968" w:type="dxa"/>
            <w:tcBorders>
              <w:top w:val="nil"/>
              <w:left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5 923.0</w:t>
            </w:r>
          </w:p>
        </w:tc>
        <w:tc>
          <w:tcPr>
            <w:tcW w:w="968" w:type="dxa"/>
            <w:tcBorders>
              <w:top w:val="nil"/>
              <w:left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6 812.0</w:t>
            </w:r>
          </w:p>
        </w:tc>
        <w:tc>
          <w:tcPr>
            <w:tcW w:w="971" w:type="dxa"/>
            <w:tcBorders>
              <w:top w:val="nil"/>
              <w:left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7 070.9</w:t>
            </w:r>
          </w:p>
        </w:tc>
      </w:tr>
      <w:tr w:rsidR="00A35FE2" w:rsidRPr="00FA4471" w:rsidTr="008079E9">
        <w:tc>
          <w:tcPr>
            <w:tcW w:w="7763" w:type="dxa"/>
            <w:gridSpan w:val="6"/>
            <w:tcBorders>
              <w:top w:val="nil"/>
              <w:left w:val="nil"/>
              <w:right w:val="nil"/>
            </w:tcBorders>
            <w:shd w:val="solid" w:color="FFFFFF" w:fill="auto"/>
          </w:tcPr>
          <w:p w:rsidR="00A35FE2" w:rsidRPr="00FA4471" w:rsidRDefault="00A35FE2" w:rsidP="00A35FE2">
            <w:pPr>
              <w:pStyle w:val="Tabletext"/>
              <w:rPr>
                <w:rFonts w:eastAsiaTheme="minorEastAsia"/>
                <w:b/>
                <w:bCs/>
                <w:sz w:val="19"/>
                <w:lang w:eastAsia="en-AU"/>
              </w:rPr>
            </w:pPr>
            <w:r w:rsidRPr="00FA4471">
              <w:rPr>
                <w:rFonts w:eastAsiaTheme="minorEastAsia"/>
                <w:b/>
                <w:bCs/>
                <w:sz w:val="19"/>
                <w:lang w:eastAsia="en-AU"/>
              </w:rPr>
              <w:t>Cash flows from investing activities</w:t>
            </w:r>
          </w:p>
        </w:tc>
      </w:tr>
      <w:tr w:rsidR="00B03921" w:rsidRPr="00FA4471" w:rsidTr="00A35FE2">
        <w:tc>
          <w:tcPr>
            <w:tcW w:w="2920" w:type="dxa"/>
            <w:tcBorders>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cash flows from investments in non-financial assets</w:t>
            </w:r>
          </w:p>
        </w:tc>
        <w:tc>
          <w:tcPr>
            <w:tcW w:w="968" w:type="dxa"/>
            <w:tcBorders>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(6 156.5)</w:t>
            </w:r>
          </w:p>
        </w:tc>
        <w:tc>
          <w:tcPr>
            <w:tcW w:w="968" w:type="dxa"/>
            <w:tcBorders>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459.1</w:t>
            </w:r>
          </w:p>
        </w:tc>
        <w:tc>
          <w:tcPr>
            <w:tcW w:w="968" w:type="dxa"/>
            <w:tcBorders>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(7 517.0)</w:t>
            </w:r>
          </w:p>
        </w:tc>
        <w:tc>
          <w:tcPr>
            <w:tcW w:w="968" w:type="dxa"/>
            <w:tcBorders>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(6 888.2)</w:t>
            </w:r>
          </w:p>
        </w:tc>
        <w:tc>
          <w:tcPr>
            <w:tcW w:w="971" w:type="dxa"/>
            <w:tcBorders>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(6 901.3)</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cash flows from investments in financial assets for policy purposes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1 803.7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(40.5)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55.2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5.0</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(45.6)</w:t>
            </w:r>
          </w:p>
        </w:tc>
      </w:tr>
      <w:tr w:rsidR="00B03921" w:rsidRPr="00FA4471" w:rsidTr="00A35FE2">
        <w:tc>
          <w:tcPr>
            <w:tcW w:w="2920" w:type="dxa"/>
            <w:tcBorders>
              <w:top w:val="nil"/>
              <w:left w:val="nil"/>
              <w:bottom w:val="single" w:sz="6" w:space="0" w:color="000000"/>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cash flows from investment in financial assets for liquidity management purposes</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(275.6)</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 xml:space="preserve"> (1 219.1)</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444.7</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(798.9)</w:t>
            </w:r>
          </w:p>
        </w:tc>
        <w:tc>
          <w:tcPr>
            <w:tcW w:w="971"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(864.0)</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b/>
                <w:bCs/>
                <w:sz w:val="19"/>
                <w:lang w:eastAsia="en-AU"/>
              </w:rPr>
            </w:pPr>
            <w:r w:rsidRPr="00FA4471">
              <w:rPr>
                <w:rFonts w:eastAsiaTheme="minorEastAsia"/>
                <w:b/>
                <w:bCs/>
                <w:sz w:val="19"/>
                <w:lang w:eastAsia="en-AU"/>
              </w:rPr>
              <w:t>Net cash flows from investing activities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(4 628.4)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(800.5)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(7 017.1)</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(7 682.1)</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(7 810.9)</w:t>
            </w:r>
          </w:p>
        </w:tc>
      </w:tr>
      <w:tr w:rsidR="00A35FE2" w:rsidRPr="00FA4471" w:rsidTr="008079E9">
        <w:tc>
          <w:tcPr>
            <w:tcW w:w="7763" w:type="dxa"/>
            <w:gridSpan w:val="6"/>
            <w:tcBorders>
              <w:top w:val="nil"/>
              <w:left w:val="nil"/>
              <w:bottom w:val="nil"/>
              <w:right w:val="nil"/>
            </w:tcBorders>
            <w:shd w:val="solid" w:color="FFFFFF" w:fill="auto"/>
          </w:tcPr>
          <w:p w:rsidR="00A35FE2" w:rsidRPr="00FA4471" w:rsidRDefault="00A35FE2" w:rsidP="00A35FE2">
            <w:pPr>
              <w:pStyle w:val="Tabletext"/>
              <w:rPr>
                <w:rFonts w:eastAsiaTheme="minorEastAsia"/>
                <w:b/>
                <w:bCs/>
                <w:sz w:val="19"/>
                <w:lang w:eastAsia="en-AU"/>
              </w:rPr>
            </w:pPr>
            <w:r w:rsidRPr="00FA4471">
              <w:rPr>
                <w:rFonts w:eastAsiaTheme="minorEastAsia"/>
                <w:b/>
                <w:bCs/>
                <w:sz w:val="19"/>
                <w:lang w:eastAsia="en-AU"/>
              </w:rPr>
              <w:t>Cash flows from financing activities</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Advances received (net)</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18.8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1.3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1.4</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(53.0)</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2.5</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borrowings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(745.8)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(4 280.3)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sz w:val="19"/>
                <w:lang w:eastAsia="en-AU"/>
              </w:rPr>
            </w:pPr>
            <w:r w:rsidRPr="00FA4471">
              <w:rPr>
                <w:rFonts w:eastAsiaTheme="minorEastAsia"/>
                <w:sz w:val="19"/>
                <w:lang w:eastAsia="en-AU"/>
              </w:rPr>
              <w:t>1 810.5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230.8</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1 341.1</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Deposits received (net)</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(118.9)</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0.3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(0.6)</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2.1</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2.1</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Other financing (net)</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 xml:space="preserve"> ..</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color w:val="000000"/>
                <w:sz w:val="19"/>
                <w:lang w:eastAsia="en-AU"/>
              </w:rPr>
            </w:pPr>
            <w:r w:rsidRPr="00FA4471">
              <w:rPr>
                <w:rFonts w:eastAsiaTheme="minorEastAsia"/>
                <w:sz w:val="19"/>
                <w:lang w:eastAsia="en-AU"/>
              </w:rPr>
              <w:t xml:space="preserve"> ..</w:t>
            </w:r>
          </w:p>
        </w:tc>
      </w:tr>
      <w:tr w:rsidR="00B03921" w:rsidRPr="00FA4471" w:rsidTr="00A35FE2">
        <w:tc>
          <w:tcPr>
            <w:tcW w:w="2920"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text"/>
              <w:rPr>
                <w:rFonts w:eastAsiaTheme="minorEastAsia"/>
                <w:b/>
                <w:bCs/>
                <w:sz w:val="19"/>
                <w:lang w:eastAsia="en-AU"/>
              </w:rPr>
            </w:pPr>
            <w:r w:rsidRPr="00FA4471">
              <w:rPr>
                <w:rFonts w:eastAsiaTheme="minorEastAsia"/>
                <w:b/>
                <w:bCs/>
                <w:sz w:val="19"/>
                <w:lang w:eastAsia="en-AU"/>
              </w:rPr>
              <w:t>Net cash flows from financing activities</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(845.9)</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(4 278.7)</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b/>
                <w:bCs/>
                <w:sz w:val="19"/>
                <w:lang w:eastAsia="en-AU"/>
              </w:rPr>
            </w:pPr>
            <w:r w:rsidRPr="00FA4471">
              <w:rPr>
                <w:rFonts w:eastAsiaTheme="minorEastAsia"/>
                <w:b/>
                <w:bCs/>
                <w:sz w:val="19"/>
                <w:lang w:eastAsia="en-AU"/>
              </w:rPr>
              <w:t>1 811.3</w:t>
            </w:r>
          </w:p>
        </w:tc>
        <w:tc>
          <w:tcPr>
            <w:tcW w:w="968"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179.9</w:t>
            </w:r>
          </w:p>
        </w:tc>
        <w:tc>
          <w:tcPr>
            <w:tcW w:w="971" w:type="dxa"/>
            <w:tcBorders>
              <w:top w:val="single" w:sz="6" w:space="0" w:color="000000"/>
              <w:left w:val="nil"/>
              <w:bottom w:val="single" w:sz="6" w:space="0" w:color="000000"/>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1 345.7</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ind w:left="181" w:hanging="181"/>
              <w:rPr>
                <w:rFonts w:eastAsiaTheme="minorEastAsia"/>
                <w:b/>
                <w:bCs/>
                <w:sz w:val="19"/>
                <w:lang w:eastAsia="en-AU"/>
              </w:rPr>
            </w:pPr>
            <w:r w:rsidRPr="00FA4471">
              <w:rPr>
                <w:rFonts w:eastAsiaTheme="minorEastAsia"/>
                <w:b/>
                <w:bCs/>
                <w:sz w:val="19"/>
                <w:lang w:eastAsia="en-AU"/>
              </w:rPr>
              <w:t>Net increase/(decrease) in cash and cash equivalents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64.9</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323.5</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717.2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(690.2)</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605.7</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Cash and cash equivalents at beginning of reporting period</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8 199.9</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8 264.8</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8 588.3</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9 305.5</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8 615.3</w:t>
            </w:r>
          </w:p>
        </w:tc>
      </w:tr>
      <w:tr w:rsidR="00B03921" w:rsidRPr="00FA4471" w:rsidTr="00A35FE2">
        <w:tc>
          <w:tcPr>
            <w:tcW w:w="2920"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text"/>
              <w:rPr>
                <w:rFonts w:eastAsiaTheme="minorEastAsia"/>
                <w:b/>
                <w:bCs/>
                <w:sz w:val="19"/>
                <w:vertAlign w:val="superscript"/>
                <w:lang w:eastAsia="en-AU"/>
              </w:rPr>
            </w:pPr>
            <w:r w:rsidRPr="00FA4471">
              <w:rPr>
                <w:rFonts w:eastAsiaTheme="minorEastAsia"/>
                <w:b/>
                <w:bCs/>
                <w:sz w:val="19"/>
                <w:lang w:eastAsia="en-AU"/>
              </w:rPr>
              <w:t>Cash and cash equivalents at end of reporting period</w:t>
            </w:r>
            <w:r w:rsidRPr="00FA4471">
              <w:rPr>
                <w:rFonts w:eastAsiaTheme="minorEastAsia"/>
                <w:b/>
                <w:bCs/>
                <w:sz w:val="19"/>
                <w:vertAlign w:val="superscript"/>
                <w:lang w:eastAsia="en-AU"/>
              </w:rPr>
              <w:t>(c)</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8 264.8</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8 588.3</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9 305.5</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8 615.3</w:t>
            </w:r>
          </w:p>
        </w:tc>
        <w:tc>
          <w:tcPr>
            <w:tcW w:w="971"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9 221.0</w:t>
            </w:r>
          </w:p>
        </w:tc>
      </w:tr>
    </w:tbl>
    <w:p w:rsidR="00A35FE2" w:rsidRDefault="00A35FE2" w:rsidP="00A35FE2">
      <w:pPr>
        <w:pStyle w:val="Tableheadingcontinued"/>
      </w:pPr>
      <w:r>
        <w:t>Table 2.21:</w:t>
      </w:r>
      <w:r>
        <w:tab/>
        <w:t>State of Victoria cash flow statement for the financial year ending</w:t>
      </w:r>
      <w:r w:rsidRPr="00E718A1">
        <w:rPr>
          <w:vertAlign w:val="superscript"/>
        </w:rPr>
        <w:t>(a)</w:t>
      </w:r>
      <w:r>
        <w:t xml:space="preserve"> </w:t>
      </w:r>
      <w:r w:rsidRPr="00A35FE2">
        <w:rPr>
          <w:i/>
        </w:rPr>
        <w:t>(continued)</w:t>
      </w:r>
    </w:p>
    <w:p w:rsidR="00A35FE2" w:rsidRDefault="00A35FE2" w:rsidP="00A35FE2">
      <w:pPr>
        <w:pStyle w:val="million"/>
      </w:pPr>
      <w:r>
        <w:t>($ million)</w:t>
      </w:r>
    </w:p>
    <w:tbl>
      <w:tblPr>
        <w:tblW w:w="7763" w:type="dxa"/>
        <w:tblInd w:w="28" w:type="dxa"/>
        <w:tblLayout w:type="fixed"/>
        <w:tblCellMar>
          <w:left w:w="45" w:type="dxa"/>
          <w:right w:w="45" w:type="dxa"/>
        </w:tblCellMar>
        <w:tblLook w:val="0000" w:firstRow="0" w:lastRow="0" w:firstColumn="0" w:lastColumn="0" w:noHBand="0" w:noVBand="0"/>
      </w:tblPr>
      <w:tblGrid>
        <w:gridCol w:w="2920"/>
        <w:gridCol w:w="968"/>
        <w:gridCol w:w="968"/>
        <w:gridCol w:w="968"/>
        <w:gridCol w:w="968"/>
        <w:gridCol w:w="971"/>
      </w:tblGrid>
      <w:tr w:rsidR="00A35FE2" w:rsidRPr="00FA4471" w:rsidTr="008079E9">
        <w:trPr>
          <w:tblHeader/>
        </w:trPr>
        <w:tc>
          <w:tcPr>
            <w:tcW w:w="2920" w:type="dxa"/>
            <w:tcBorders>
              <w:top w:val="single" w:sz="6" w:space="0" w:color="000000"/>
              <w:left w:val="single" w:sz="6" w:space="0" w:color="000000"/>
              <w:bottom w:val="single" w:sz="6" w:space="0" w:color="000000"/>
              <w:right w:val="nil"/>
            </w:tcBorders>
            <w:shd w:val="clear" w:color="000000" w:fill="000000"/>
          </w:tcPr>
          <w:p w:rsidR="00A35FE2" w:rsidRPr="00FA4471" w:rsidRDefault="00A35FE2" w:rsidP="008079E9">
            <w:pPr>
              <w:pStyle w:val="Tabletext"/>
              <w:rPr>
                <w:rFonts w:eastAsiaTheme="minorEastAsia"/>
                <w:sz w:val="19"/>
                <w:lang w:eastAsia="en-AU"/>
              </w:rPr>
            </w:pPr>
            <w:r w:rsidRPr="00FA4471">
              <w:rPr>
                <w:rFonts w:eastAsiaTheme="minorEastAsia"/>
                <w:sz w:val="19"/>
                <w:lang w:eastAsia="en-AU"/>
              </w:rPr>
              <w:t xml:space="preserve"> </w:t>
            </w:r>
          </w:p>
        </w:tc>
        <w:tc>
          <w:tcPr>
            <w:tcW w:w="968" w:type="dxa"/>
            <w:tcBorders>
              <w:top w:val="single" w:sz="6" w:space="0" w:color="000000"/>
              <w:left w:val="nil"/>
              <w:bottom w:val="single" w:sz="6" w:space="0" w:color="000000"/>
              <w:right w:val="nil"/>
            </w:tcBorders>
            <w:shd w:val="clear" w:color="000000" w:fill="000000"/>
          </w:tcPr>
          <w:p w:rsidR="00A35FE2" w:rsidRPr="00FA4471" w:rsidRDefault="00A35FE2" w:rsidP="008079E9">
            <w:pPr>
              <w:pStyle w:val="Tabletextheading"/>
              <w:rPr>
                <w:rFonts w:eastAsiaTheme="minorEastAsia"/>
                <w:color w:val="FFFFFF"/>
                <w:sz w:val="19"/>
                <w:lang w:eastAsia="en-AU"/>
              </w:rPr>
            </w:pPr>
            <w:r w:rsidRPr="00FA4471">
              <w:rPr>
                <w:rFonts w:eastAsiaTheme="minorEastAsia"/>
                <w:color w:val="FFFFFF"/>
                <w:sz w:val="19"/>
                <w:lang w:eastAsia="en-AU"/>
              </w:rPr>
              <w:t>2014-15 revised</w:t>
            </w:r>
          </w:p>
        </w:tc>
        <w:tc>
          <w:tcPr>
            <w:tcW w:w="968" w:type="dxa"/>
            <w:tcBorders>
              <w:top w:val="single" w:sz="6" w:space="0" w:color="000000"/>
              <w:left w:val="nil"/>
              <w:bottom w:val="single" w:sz="6" w:space="0" w:color="000000"/>
              <w:right w:val="nil"/>
            </w:tcBorders>
            <w:shd w:val="clear" w:color="000000" w:fill="000000"/>
          </w:tcPr>
          <w:p w:rsidR="00A35FE2" w:rsidRPr="00FA4471" w:rsidRDefault="00A35FE2" w:rsidP="008079E9">
            <w:pPr>
              <w:pStyle w:val="Tabletextheading"/>
              <w:rPr>
                <w:rFonts w:eastAsiaTheme="minorEastAsia"/>
                <w:color w:val="FFFFFF"/>
                <w:sz w:val="19"/>
                <w:lang w:eastAsia="en-AU"/>
              </w:rPr>
            </w:pPr>
            <w:r w:rsidRPr="00FA4471">
              <w:rPr>
                <w:rFonts w:eastAsiaTheme="minorEastAsia"/>
                <w:color w:val="FFFFFF"/>
                <w:sz w:val="19"/>
                <w:lang w:eastAsia="en-AU"/>
              </w:rPr>
              <w:t>2015-16 estimate</w:t>
            </w:r>
          </w:p>
        </w:tc>
        <w:tc>
          <w:tcPr>
            <w:tcW w:w="968" w:type="dxa"/>
            <w:tcBorders>
              <w:top w:val="single" w:sz="6" w:space="0" w:color="000000"/>
              <w:left w:val="nil"/>
              <w:bottom w:val="single" w:sz="6" w:space="0" w:color="000000"/>
              <w:right w:val="nil"/>
            </w:tcBorders>
            <w:shd w:val="clear" w:color="000000" w:fill="000000"/>
          </w:tcPr>
          <w:p w:rsidR="00A35FE2" w:rsidRPr="00FA4471" w:rsidRDefault="00A35FE2" w:rsidP="008079E9">
            <w:pPr>
              <w:pStyle w:val="Tabletextheading"/>
              <w:rPr>
                <w:rFonts w:eastAsiaTheme="minorEastAsia"/>
                <w:color w:val="FFFFFF"/>
                <w:sz w:val="19"/>
                <w:lang w:eastAsia="en-AU"/>
              </w:rPr>
            </w:pPr>
            <w:r w:rsidRPr="00FA4471">
              <w:rPr>
                <w:rFonts w:eastAsiaTheme="minorEastAsia"/>
                <w:color w:val="FFFFFF"/>
                <w:sz w:val="19"/>
                <w:lang w:eastAsia="en-AU"/>
              </w:rPr>
              <w:t>2016-17 estimate</w:t>
            </w:r>
          </w:p>
        </w:tc>
        <w:tc>
          <w:tcPr>
            <w:tcW w:w="968" w:type="dxa"/>
            <w:tcBorders>
              <w:top w:val="single" w:sz="6" w:space="0" w:color="000000"/>
              <w:left w:val="nil"/>
              <w:bottom w:val="single" w:sz="6" w:space="0" w:color="000000"/>
              <w:right w:val="nil"/>
            </w:tcBorders>
            <w:shd w:val="clear" w:color="000000" w:fill="000000"/>
          </w:tcPr>
          <w:p w:rsidR="00A35FE2" w:rsidRPr="00FA4471" w:rsidRDefault="00A35FE2" w:rsidP="008079E9">
            <w:pPr>
              <w:pStyle w:val="Tabletextheading"/>
              <w:rPr>
                <w:rFonts w:eastAsiaTheme="minorEastAsia"/>
                <w:color w:val="FFFFFF"/>
                <w:sz w:val="19"/>
                <w:lang w:eastAsia="en-AU"/>
              </w:rPr>
            </w:pPr>
            <w:r w:rsidRPr="00FA4471">
              <w:rPr>
                <w:rFonts w:eastAsiaTheme="minorEastAsia"/>
                <w:color w:val="FFFFFF"/>
                <w:sz w:val="19"/>
                <w:lang w:eastAsia="en-AU"/>
              </w:rPr>
              <w:t>2017-18 estimate</w:t>
            </w:r>
          </w:p>
        </w:tc>
        <w:tc>
          <w:tcPr>
            <w:tcW w:w="971" w:type="dxa"/>
            <w:tcBorders>
              <w:top w:val="single" w:sz="6" w:space="0" w:color="000000"/>
              <w:left w:val="nil"/>
              <w:bottom w:val="single" w:sz="6" w:space="0" w:color="000000"/>
              <w:right w:val="single" w:sz="6" w:space="0" w:color="000000"/>
            </w:tcBorders>
            <w:shd w:val="clear" w:color="000000" w:fill="000000"/>
          </w:tcPr>
          <w:p w:rsidR="00A35FE2" w:rsidRPr="00FA4471" w:rsidRDefault="00A35FE2" w:rsidP="008079E9">
            <w:pPr>
              <w:pStyle w:val="Tabletextheading"/>
              <w:rPr>
                <w:rFonts w:eastAsiaTheme="minorEastAsia"/>
                <w:color w:val="FFFFFF"/>
                <w:sz w:val="19"/>
                <w:lang w:eastAsia="en-AU"/>
              </w:rPr>
            </w:pPr>
            <w:r w:rsidRPr="00FA4471">
              <w:rPr>
                <w:rFonts w:eastAsiaTheme="minorEastAsia"/>
                <w:color w:val="FFFFFF"/>
                <w:sz w:val="19"/>
                <w:lang w:eastAsia="en-AU"/>
              </w:rPr>
              <w:t>2018-19 estimate</w:t>
            </w:r>
          </w:p>
        </w:tc>
      </w:tr>
      <w:tr w:rsidR="00A35FE2" w:rsidRPr="00FA4471" w:rsidTr="008079E9">
        <w:tc>
          <w:tcPr>
            <w:tcW w:w="7763" w:type="dxa"/>
            <w:gridSpan w:val="6"/>
            <w:tcBorders>
              <w:top w:val="single" w:sz="12" w:space="0" w:color="000000"/>
              <w:left w:val="nil"/>
              <w:bottom w:val="nil"/>
              <w:right w:val="nil"/>
            </w:tcBorders>
            <w:shd w:val="solid" w:color="FFFFFF" w:fill="auto"/>
          </w:tcPr>
          <w:p w:rsidR="00A35FE2" w:rsidRPr="00FA4471" w:rsidRDefault="00A35FE2" w:rsidP="00A35FE2">
            <w:pPr>
              <w:pStyle w:val="Tabletext"/>
              <w:rPr>
                <w:rFonts w:eastAsiaTheme="minorEastAsia"/>
                <w:b/>
                <w:sz w:val="19"/>
                <w:lang w:eastAsia="en-AU"/>
              </w:rPr>
            </w:pPr>
            <w:r w:rsidRPr="00FA4471">
              <w:rPr>
                <w:rFonts w:eastAsiaTheme="minorEastAsia"/>
                <w:b/>
                <w:bCs/>
                <w:sz w:val="19"/>
                <w:lang w:eastAsia="en-AU"/>
              </w:rPr>
              <w:t>FISCAL AGGREGATES</w:t>
            </w:r>
          </w:p>
        </w:tc>
      </w:tr>
      <w:tr w:rsidR="00B03921" w:rsidRPr="00FA4471" w:rsidTr="00A35FE2">
        <w:tc>
          <w:tcPr>
            <w:tcW w:w="2920" w:type="dxa"/>
            <w:tcBorders>
              <w:top w:val="nil"/>
              <w:left w:val="nil"/>
              <w:bottom w:val="nil"/>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cash flows from operating activities</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5 539.2</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5 402.7</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5 923.0</w:t>
            </w:r>
          </w:p>
        </w:tc>
        <w:tc>
          <w:tcPr>
            <w:tcW w:w="968"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6 812.0</w:t>
            </w:r>
          </w:p>
        </w:tc>
        <w:tc>
          <w:tcPr>
            <w:tcW w:w="971" w:type="dxa"/>
            <w:tcBorders>
              <w:top w:val="nil"/>
              <w:left w:val="nil"/>
              <w:bottom w:val="nil"/>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7 070.9</w:t>
            </w:r>
          </w:p>
        </w:tc>
      </w:tr>
      <w:tr w:rsidR="00B03921" w:rsidRPr="00FA4471" w:rsidTr="00A35FE2">
        <w:tc>
          <w:tcPr>
            <w:tcW w:w="2920" w:type="dxa"/>
            <w:tcBorders>
              <w:top w:val="nil"/>
              <w:left w:val="nil"/>
              <w:bottom w:val="single" w:sz="6" w:space="0" w:color="000000"/>
              <w:right w:val="nil"/>
            </w:tcBorders>
            <w:shd w:val="solid" w:color="FFFFFF" w:fill="auto"/>
          </w:tcPr>
          <w:p w:rsidR="00B03921" w:rsidRPr="00FA4471" w:rsidRDefault="00B03921" w:rsidP="00016914">
            <w:pPr>
              <w:pStyle w:val="Tabletext"/>
              <w:rPr>
                <w:rFonts w:eastAsiaTheme="minorEastAsia"/>
                <w:sz w:val="19"/>
                <w:lang w:eastAsia="en-AU"/>
              </w:rPr>
            </w:pPr>
            <w:r w:rsidRPr="00FA4471">
              <w:rPr>
                <w:rFonts w:eastAsiaTheme="minorEastAsia"/>
                <w:sz w:val="19"/>
                <w:lang w:eastAsia="en-AU"/>
              </w:rPr>
              <w:t>Net cash flows from investments in non-financial assets</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(6 156.5)</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459.1</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(7 517.0)</w:t>
            </w:r>
          </w:p>
        </w:tc>
        <w:tc>
          <w:tcPr>
            <w:tcW w:w="968"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(6 888.2)</w:t>
            </w:r>
          </w:p>
        </w:tc>
        <w:tc>
          <w:tcPr>
            <w:tcW w:w="971" w:type="dxa"/>
            <w:tcBorders>
              <w:top w:val="nil"/>
              <w:left w:val="nil"/>
              <w:bottom w:val="single" w:sz="6" w:space="0" w:color="000000"/>
              <w:right w:val="nil"/>
            </w:tcBorders>
            <w:shd w:val="solid" w:color="FFFFFF" w:fill="auto"/>
          </w:tcPr>
          <w:p w:rsidR="00B03921" w:rsidRPr="00FA4471" w:rsidRDefault="00B03921" w:rsidP="00016914">
            <w:pPr>
              <w:pStyle w:val="TableofFigures"/>
              <w:rPr>
                <w:rFonts w:eastAsiaTheme="minorEastAsia"/>
                <w:sz w:val="19"/>
                <w:lang w:eastAsia="en-AU"/>
              </w:rPr>
            </w:pPr>
            <w:r w:rsidRPr="00FA4471">
              <w:rPr>
                <w:rFonts w:eastAsiaTheme="minorEastAsia"/>
                <w:sz w:val="19"/>
                <w:lang w:eastAsia="en-AU"/>
              </w:rPr>
              <w:t xml:space="preserve"> (6 901.3)</w:t>
            </w:r>
          </w:p>
        </w:tc>
      </w:tr>
      <w:tr w:rsidR="00B03921" w:rsidRPr="00FA4471" w:rsidTr="00A35FE2">
        <w:tc>
          <w:tcPr>
            <w:tcW w:w="2920"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text"/>
              <w:rPr>
                <w:rFonts w:eastAsiaTheme="minorEastAsia"/>
                <w:b/>
                <w:bCs/>
                <w:sz w:val="19"/>
                <w:vertAlign w:val="superscript"/>
                <w:lang w:eastAsia="en-AU"/>
              </w:rPr>
            </w:pPr>
            <w:r w:rsidRPr="00FA4471">
              <w:rPr>
                <w:rFonts w:eastAsiaTheme="minorEastAsia"/>
                <w:b/>
                <w:bCs/>
                <w:sz w:val="19"/>
                <w:lang w:eastAsia="en-AU"/>
              </w:rPr>
              <w:t>Cash surplus/(deficit)</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(617.3)</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5 861.7</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cs="Calibri"/>
                <w:b/>
                <w:bCs/>
                <w:sz w:val="19"/>
                <w:lang w:eastAsia="en-AU"/>
              </w:rPr>
            </w:pPr>
            <w:r w:rsidRPr="00FA4471">
              <w:rPr>
                <w:rFonts w:eastAsiaTheme="minorEastAsia"/>
                <w:b/>
                <w:bCs/>
                <w:sz w:val="19"/>
                <w:lang w:eastAsia="en-AU"/>
              </w:rPr>
              <w:t xml:space="preserve"> (1 </w:t>
            </w:r>
            <w:r w:rsidRPr="00FA4471">
              <w:rPr>
                <w:rFonts w:eastAsiaTheme="minorEastAsia" w:cs="Calibri"/>
                <w:b/>
                <w:bCs/>
                <w:sz w:val="19"/>
                <w:lang w:eastAsia="en-AU"/>
              </w:rPr>
              <w:t>594.0)</w:t>
            </w:r>
          </w:p>
        </w:tc>
        <w:tc>
          <w:tcPr>
            <w:tcW w:w="968"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cs="Calibri"/>
                <w:b/>
                <w:bCs/>
                <w:color w:val="000000"/>
                <w:sz w:val="19"/>
                <w:lang w:eastAsia="en-AU"/>
              </w:rPr>
            </w:pPr>
            <w:r w:rsidRPr="00FA4471">
              <w:rPr>
                <w:rFonts w:eastAsiaTheme="minorEastAsia"/>
                <w:b/>
                <w:bCs/>
                <w:sz w:val="19"/>
                <w:lang w:eastAsia="en-AU"/>
              </w:rPr>
              <w:t>(76.2)</w:t>
            </w:r>
          </w:p>
        </w:tc>
        <w:tc>
          <w:tcPr>
            <w:tcW w:w="971" w:type="dxa"/>
            <w:tcBorders>
              <w:top w:val="single" w:sz="6" w:space="0" w:color="000000"/>
              <w:left w:val="nil"/>
              <w:bottom w:val="single" w:sz="12" w:space="0" w:color="000000"/>
              <w:right w:val="nil"/>
            </w:tcBorders>
            <w:shd w:val="solid" w:color="FFFFFF" w:fill="auto"/>
          </w:tcPr>
          <w:p w:rsidR="00B03921" w:rsidRPr="00FA4471" w:rsidRDefault="00B03921" w:rsidP="00016914">
            <w:pPr>
              <w:pStyle w:val="TableofFigures"/>
              <w:rPr>
                <w:rFonts w:eastAsiaTheme="minorEastAsia"/>
                <w:b/>
                <w:bCs/>
                <w:sz w:val="19"/>
                <w:lang w:eastAsia="en-AU"/>
              </w:rPr>
            </w:pPr>
            <w:r w:rsidRPr="00FA4471">
              <w:rPr>
                <w:rFonts w:eastAsiaTheme="minorEastAsia"/>
                <w:b/>
                <w:bCs/>
                <w:sz w:val="19"/>
                <w:lang w:eastAsia="en-AU"/>
              </w:rPr>
              <w:t xml:space="preserve"> 169.7</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Inclusive of goods and services tax.</w:t>
      </w:r>
    </w:p>
    <w:p w:rsidR="00B03921" w:rsidRDefault="00B03921" w:rsidP="00016914">
      <w:pPr>
        <w:pStyle w:val="Notes"/>
      </w:pPr>
      <w:r>
        <w:t>(c)</w:t>
      </w:r>
      <w:r>
        <w:tab/>
        <w:t>Cash and cash equivalents at the end of the reporting period does not equal cash and deposits on the balance sheet. This is due to the overdraft being included on the cash flow statement.</w:t>
      </w:r>
    </w:p>
    <w:p w:rsidR="00B03921" w:rsidRDefault="00B03921" w:rsidP="00016914">
      <w:pPr>
        <w:pStyle w:val="Notes"/>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2.22:</w:t>
      </w:r>
      <w:r>
        <w:tab/>
        <w:t>State of Victoria statement of changes in equity for the financial year ending 30 June</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493"/>
        <w:gridCol w:w="1620"/>
        <w:gridCol w:w="1647"/>
      </w:tblGrid>
      <w:tr w:rsidR="00B03921" w:rsidRPr="00CB50A4" w:rsidTr="00016914">
        <w:trPr>
          <w:tblHeader/>
        </w:trPr>
        <w:tc>
          <w:tcPr>
            <w:tcW w:w="4493"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1620"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Accumulated surplus/(deficit)</w:t>
            </w:r>
          </w:p>
        </w:tc>
        <w:tc>
          <w:tcPr>
            <w:tcW w:w="1647"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s="Calibri"/>
                <w:iCs/>
                <w:color w:val="FFFFFF"/>
                <w:lang w:eastAsia="en-AU"/>
              </w:rPr>
            </w:pPr>
            <w:r w:rsidRPr="00CB50A4">
              <w:rPr>
                <w:rFonts w:eastAsiaTheme="minorEastAsia"/>
                <w:color w:val="FFFFFF"/>
                <w:lang w:eastAsia="en-AU"/>
              </w:rPr>
              <w:t xml:space="preserve">Non-controlling </w:t>
            </w:r>
          </w:p>
          <w:p w:rsidR="00B03921" w:rsidRPr="00CB50A4" w:rsidRDefault="00B03921" w:rsidP="00016914">
            <w:pPr>
              <w:pStyle w:val="Tabletextheading"/>
              <w:rPr>
                <w:rFonts w:eastAsiaTheme="minorEastAsia" w:cs="Calibri"/>
                <w:iCs/>
                <w:color w:val="FFFFFF"/>
                <w:lang w:eastAsia="en-AU"/>
              </w:rPr>
            </w:pPr>
            <w:r w:rsidRPr="00CB50A4">
              <w:rPr>
                <w:rFonts w:eastAsiaTheme="minorEastAsia"/>
                <w:color w:val="FFFFFF"/>
                <w:lang w:eastAsia="en-AU"/>
              </w:rPr>
              <w:t>interest</w:t>
            </w:r>
          </w:p>
        </w:tc>
      </w:tr>
      <w:tr w:rsidR="00A35FE2" w:rsidRPr="00CB50A4" w:rsidTr="008079E9">
        <w:tc>
          <w:tcPr>
            <w:tcW w:w="7760" w:type="dxa"/>
            <w:gridSpan w:val="3"/>
            <w:tcBorders>
              <w:top w:val="single" w:sz="6" w:space="0" w:color="auto"/>
              <w:left w:val="nil"/>
              <w:bottom w:val="nil"/>
              <w:right w:val="nil"/>
            </w:tcBorders>
          </w:tcPr>
          <w:p w:rsidR="00A35FE2" w:rsidRPr="00CB50A4" w:rsidRDefault="00A35FE2" w:rsidP="00A35FE2">
            <w:pPr>
              <w:pStyle w:val="Tabletext"/>
              <w:rPr>
                <w:rFonts w:eastAsiaTheme="minorEastAsia" w:cs="Calibri"/>
                <w:b/>
                <w:bCs/>
                <w:color w:val="000000"/>
                <w:lang w:eastAsia="en-AU"/>
              </w:rPr>
            </w:pPr>
            <w:r w:rsidRPr="00CB50A4">
              <w:rPr>
                <w:rFonts w:eastAsiaTheme="minorEastAsia"/>
                <w:b/>
                <w:bCs/>
                <w:lang w:eastAsia="en-AU"/>
              </w:rPr>
              <w:t>2014-15 Revised</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2014</w:t>
            </w:r>
            <w:r w:rsidRPr="000C3287">
              <w:rPr>
                <w:rFonts w:eastAsiaTheme="minorEastAsia"/>
                <w:vertAlign w:val="superscript"/>
                <w:lang w:eastAsia="en-AU"/>
              </w:rPr>
              <w:t>(a)</w:t>
            </w:r>
          </w:p>
        </w:tc>
        <w:tc>
          <w:tcPr>
            <w:tcW w:w="1620"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45 331.7</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(1 612.6</w:t>
            </w:r>
            <w:r w:rsidRPr="00CB50A4">
              <w:rPr>
                <w:rFonts w:eastAsiaTheme="minorEastAsia" w:cs="Calibri"/>
                <w:color w:val="000000"/>
                <w:sz w:val="18"/>
                <w:lang w:eastAsia="en-AU"/>
              </w:rPr>
              <w:t>)</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(4 093.5</w:t>
            </w:r>
            <w:r w:rsidRPr="00CB50A4">
              <w:rPr>
                <w:rFonts w:eastAsiaTheme="minorEastAsia" w:cs="Calibri"/>
                <w:color w:val="000000"/>
                <w:sz w:val="18"/>
                <w:lang w:eastAsia="en-AU"/>
              </w:rPr>
              <w:t>)</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20"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39 625.6</w:t>
            </w:r>
          </w:p>
        </w:tc>
        <w:tc>
          <w:tcPr>
            <w:tcW w:w="164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2015-16 Estimate</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 xml:space="preserve">Balance at </w:t>
            </w:r>
            <w:r w:rsidRPr="00CB50A4">
              <w:rPr>
                <w:rFonts w:eastAsiaTheme="minorEastAsia" w:cs="Calibri"/>
                <w:color w:val="000000"/>
                <w:lang w:eastAsia="en-AU"/>
              </w:rPr>
              <w:t>1 July 2015</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39</w:t>
            </w:r>
            <w:r w:rsidRPr="00CB50A4">
              <w:rPr>
                <w:rFonts w:eastAsiaTheme="minorEastAsia" w:cs="Calibri"/>
                <w:color w:val="000000"/>
                <w:lang w:eastAsia="en-AU"/>
              </w:rPr>
              <w:t xml:space="preserve"> 625.6</w:t>
            </w:r>
          </w:p>
        </w:tc>
        <w:tc>
          <w:tcPr>
            <w:tcW w:w="164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50.0</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4 342.1</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 xml:space="preserve">Other comprehensive </w:t>
            </w:r>
            <w:r w:rsidRPr="00CB50A4">
              <w:rPr>
                <w:rFonts w:eastAsiaTheme="minorEastAsia" w:cs="Calibri"/>
                <w:color w:val="000000"/>
                <w:lang w:eastAsia="en-AU"/>
              </w:rPr>
              <w:t>income for the year</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1 395.9</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Total equity at end of period</w:t>
            </w:r>
          </w:p>
        </w:tc>
        <w:tc>
          <w:tcPr>
            <w:tcW w:w="1620"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45 363.6</w:t>
            </w:r>
          </w:p>
        </w:tc>
        <w:tc>
          <w:tcPr>
            <w:tcW w:w="164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2016-17 Estimate</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2016</w:t>
            </w:r>
          </w:p>
        </w:tc>
        <w:tc>
          <w:tcPr>
            <w:tcW w:w="1620"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45 363.6</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690.3</w:t>
            </w:r>
          </w:p>
        </w:tc>
        <w:tc>
          <w:tcPr>
            <w:tcW w:w="164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 xml:space="preserve">Other comprehensive income for the </w:t>
            </w:r>
            <w:r w:rsidRPr="00CB50A4">
              <w:rPr>
                <w:rFonts w:eastAsiaTheme="minorEastAsia" w:cs="Calibri"/>
                <w:color w:val="000000"/>
                <w:lang w:eastAsia="en-AU"/>
              </w:rPr>
              <w:t>year</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1 031.1</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cs="Calibri"/>
                <w:b/>
                <w:bCs/>
                <w:color w:val="000000"/>
                <w:lang w:eastAsia="en-AU"/>
              </w:rPr>
            </w:pPr>
            <w:r w:rsidRPr="00CB50A4">
              <w:rPr>
                <w:rFonts w:eastAsiaTheme="minorEastAsia"/>
                <w:b/>
                <w:bCs/>
                <w:lang w:eastAsia="en-AU"/>
              </w:rPr>
              <w:t xml:space="preserve">Total equity </w:t>
            </w:r>
            <w:r w:rsidRPr="00CB50A4">
              <w:rPr>
                <w:rFonts w:eastAsiaTheme="minorEastAsia" w:cs="Calibri"/>
                <w:b/>
                <w:bCs/>
                <w:color w:val="000000"/>
                <w:lang w:eastAsia="en-AU"/>
              </w:rPr>
              <w:t>at end of period</w:t>
            </w:r>
          </w:p>
        </w:tc>
        <w:tc>
          <w:tcPr>
            <w:tcW w:w="1620"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47 085.0</w:t>
            </w:r>
          </w:p>
        </w:tc>
        <w:tc>
          <w:tcPr>
            <w:tcW w:w="164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2017-18 Estimate</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2017</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47 085.0</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20"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864.4</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 xml:space="preserve">Other comprehensive </w:t>
            </w:r>
            <w:r w:rsidRPr="00CB50A4">
              <w:rPr>
                <w:rFonts w:eastAsiaTheme="minorEastAsia" w:cs="Calibri"/>
                <w:color w:val="000000"/>
                <w:lang w:eastAsia="en-AU"/>
              </w:rPr>
              <w:t>income for the year</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946.7</w:t>
            </w:r>
          </w:p>
        </w:tc>
        <w:tc>
          <w:tcPr>
            <w:tcW w:w="1647"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w:t>
            </w:r>
          </w:p>
        </w:tc>
      </w:tr>
      <w:tr w:rsidR="00B03921" w:rsidRPr="00CB50A4" w:rsidTr="00016914">
        <w:tc>
          <w:tcPr>
            <w:tcW w:w="4493" w:type="dxa"/>
            <w:tcBorders>
              <w:top w:val="single" w:sz="6" w:space="0" w:color="auto"/>
              <w:left w:val="nil"/>
              <w:bottom w:val="single" w:sz="12" w:space="0" w:color="auto"/>
              <w:right w:val="nil"/>
            </w:tcBorders>
          </w:tcPr>
          <w:p w:rsidR="00B03921" w:rsidRPr="00CB50A4" w:rsidRDefault="00B03921" w:rsidP="00016914">
            <w:pPr>
              <w:pStyle w:val="Tabletext"/>
              <w:rPr>
                <w:rFonts w:eastAsiaTheme="minorEastAsia" w:cs="Calibri"/>
                <w:b/>
                <w:bCs/>
                <w:color w:val="000000"/>
                <w:lang w:eastAsia="en-AU"/>
              </w:rPr>
            </w:pPr>
            <w:r w:rsidRPr="00CB50A4">
              <w:rPr>
                <w:rFonts w:eastAsiaTheme="minorEastAsia"/>
                <w:b/>
                <w:bCs/>
                <w:lang w:eastAsia="en-AU"/>
              </w:rPr>
              <w:t xml:space="preserve">Total equity at end of </w:t>
            </w:r>
            <w:r w:rsidRPr="00CB50A4">
              <w:rPr>
                <w:rFonts w:eastAsiaTheme="minorEastAsia" w:cs="Calibri"/>
                <w:b/>
                <w:bCs/>
                <w:color w:val="000000"/>
                <w:lang w:eastAsia="en-AU"/>
              </w:rPr>
              <w:t>period</w:t>
            </w:r>
          </w:p>
        </w:tc>
        <w:tc>
          <w:tcPr>
            <w:tcW w:w="1620"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48 896.1</w:t>
            </w:r>
          </w:p>
        </w:tc>
        <w:tc>
          <w:tcPr>
            <w:tcW w:w="164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50.0</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r w:rsidRPr="00CB50A4">
              <w:rPr>
                <w:rFonts w:eastAsiaTheme="minorEastAsia"/>
                <w:b/>
                <w:bCs/>
                <w:lang w:eastAsia="en-AU"/>
              </w:rPr>
              <w:t xml:space="preserve">2018-19 Estimate </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Balance at 1 July 2018</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48 896.1</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50.0</w:t>
            </w:r>
          </w:p>
        </w:tc>
      </w:tr>
      <w:tr w:rsidR="00B03921" w:rsidRPr="00CB50A4" w:rsidTr="00016914">
        <w:tc>
          <w:tcPr>
            <w:tcW w:w="4493" w:type="dxa"/>
            <w:tcBorders>
              <w:top w:val="nil"/>
              <w:left w:val="nil"/>
              <w:bottom w:val="nil"/>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Net result</w:t>
            </w:r>
          </w:p>
        </w:tc>
        <w:tc>
          <w:tcPr>
            <w:tcW w:w="1620"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1 294.6</w:t>
            </w:r>
          </w:p>
        </w:tc>
        <w:tc>
          <w:tcPr>
            <w:tcW w:w="164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nil"/>
              <w:left w:val="nil"/>
              <w:bottom w:val="single" w:sz="6" w:space="0" w:color="auto"/>
              <w:right w:val="nil"/>
            </w:tcBorders>
          </w:tcPr>
          <w:p w:rsidR="00B03921" w:rsidRPr="00CB50A4" w:rsidRDefault="00B03921" w:rsidP="00016914">
            <w:pPr>
              <w:pStyle w:val="Tabletext"/>
              <w:rPr>
                <w:rFonts w:eastAsiaTheme="minorEastAsia"/>
                <w:lang w:eastAsia="en-AU"/>
              </w:rPr>
            </w:pPr>
            <w:r w:rsidRPr="00CB50A4">
              <w:rPr>
                <w:rFonts w:eastAsiaTheme="minorEastAsia"/>
                <w:lang w:eastAsia="en-AU"/>
              </w:rPr>
              <w:t>Other comprehensive income for the year</w:t>
            </w:r>
          </w:p>
        </w:tc>
        <w:tc>
          <w:tcPr>
            <w:tcW w:w="1620" w:type="dxa"/>
            <w:tcBorders>
              <w:top w:val="nil"/>
              <w:left w:val="nil"/>
              <w:bottom w:val="single" w:sz="6" w:space="0" w:color="auto"/>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1 004.4</w:t>
            </w:r>
          </w:p>
        </w:tc>
        <w:tc>
          <w:tcPr>
            <w:tcW w:w="164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r>
      <w:tr w:rsidR="00B03921" w:rsidRPr="00CB50A4" w:rsidTr="00016914">
        <w:tc>
          <w:tcPr>
            <w:tcW w:w="4493"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rPr>
                <w:rFonts w:eastAsiaTheme="minorEastAsia" w:cs="Calibri"/>
                <w:b/>
                <w:bCs/>
                <w:color w:val="000000"/>
                <w:lang w:eastAsia="en-AU"/>
              </w:rPr>
            </w:pPr>
            <w:r w:rsidRPr="00CB50A4">
              <w:rPr>
                <w:rFonts w:eastAsiaTheme="minorEastAsia"/>
                <w:b/>
                <w:bCs/>
                <w:lang w:eastAsia="en-AU"/>
              </w:rPr>
              <w:t xml:space="preserve">Total equity </w:t>
            </w:r>
            <w:r w:rsidRPr="00CB50A4">
              <w:rPr>
                <w:rFonts w:eastAsiaTheme="minorEastAsia" w:cs="Calibri"/>
                <w:b/>
                <w:bCs/>
                <w:color w:val="000000"/>
                <w:lang w:eastAsia="en-AU"/>
              </w:rPr>
              <w:t>at end of period</w:t>
            </w:r>
          </w:p>
        </w:tc>
        <w:tc>
          <w:tcPr>
            <w:tcW w:w="1620"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51 </w:t>
            </w:r>
            <w:r w:rsidRPr="00CB50A4">
              <w:rPr>
                <w:rFonts w:eastAsiaTheme="minorEastAsia" w:cs="Calibri"/>
                <w:b/>
                <w:bCs/>
                <w:color w:val="000000"/>
                <w:lang w:eastAsia="en-AU"/>
              </w:rPr>
              <w:t>195.0</w:t>
            </w:r>
          </w:p>
        </w:tc>
        <w:tc>
          <w:tcPr>
            <w:tcW w:w="164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50.0</w:t>
            </w:r>
          </w:p>
        </w:tc>
      </w:tr>
    </w:tbl>
    <w:p w:rsidR="00B03921" w:rsidRDefault="00B03921" w:rsidP="00016914">
      <w:pPr>
        <w:pStyle w:val="Source"/>
      </w:pPr>
      <w:r w:rsidRPr="0033465A">
        <w:t xml:space="preserve">Source: </w:t>
      </w:r>
      <w:r w:rsidRPr="00355EF6">
        <w:t>Department</w:t>
      </w:r>
      <w:r w:rsidRPr="0033465A">
        <w:t xml:space="preserve"> of Treasury and Finance</w:t>
      </w:r>
    </w:p>
    <w:p w:rsidR="00B03921" w:rsidRDefault="00B03921" w:rsidP="00016914">
      <w:pPr>
        <w:pStyle w:val="Notes"/>
      </w:pPr>
      <w:r>
        <w:t>Note:</w:t>
      </w:r>
    </w:p>
    <w:p w:rsidR="00B03921" w:rsidRDefault="00B03921" w:rsidP="00016914">
      <w:pPr>
        <w:pStyle w:val="Notes"/>
      </w:pPr>
      <w:r>
        <w:t>(a)</w:t>
      </w:r>
      <w:r>
        <w:tab/>
        <w:t>The balance at 1 July 2014 has been restated to reflect a change in accounting policy associated with the valuation of school building assets.</w:t>
      </w:r>
    </w:p>
    <w:p w:rsidR="00B03921" w:rsidRDefault="00B03921">
      <w:pPr>
        <w:spacing w:after="0"/>
        <w:rPr>
          <w:rFonts w:ascii="Calibri" w:hAnsi="Calibri"/>
          <w:i/>
          <w:sz w:val="18"/>
          <w:szCs w:val="18"/>
        </w:rPr>
      </w:pPr>
      <w:r>
        <w:br w:type="page"/>
      </w:r>
    </w:p>
    <w:p w:rsidR="00B03921" w:rsidRDefault="00B03921" w:rsidP="00016914">
      <w:pPr>
        <w:pStyle w:val="Tableheading"/>
      </w:pPr>
      <w:r>
        <w:br/>
      </w:r>
    </w:p>
    <w:p w:rsidR="00B03921" w:rsidRDefault="00B03921" w:rsidP="00016914">
      <w:pPr>
        <w:pStyle w:val="million"/>
        <w:rPr>
          <w:rFonts w:ascii="Times New Roman" w:hAnsi="Times New Roman"/>
          <w:i w:val="0"/>
          <w:sz w:val="20"/>
          <w:szCs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586"/>
        <w:gridCol w:w="2587"/>
        <w:gridCol w:w="2587"/>
      </w:tblGrid>
      <w:tr w:rsidR="00B03921" w:rsidRPr="00CB50A4" w:rsidTr="00016914">
        <w:trPr>
          <w:tblHeader/>
        </w:trPr>
        <w:tc>
          <w:tcPr>
            <w:tcW w:w="2586"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heading"/>
              <w:rPr>
                <w:rFonts w:eastAsiaTheme="minorEastAsia"/>
                <w:lang w:eastAsia="en-AU"/>
              </w:rPr>
            </w:pPr>
            <w:r w:rsidRPr="00CB50A4">
              <w:rPr>
                <w:rFonts w:eastAsiaTheme="minorEastAsia"/>
                <w:lang w:eastAsia="en-AU"/>
              </w:rPr>
              <w:t>Land, buildings, infrastructure,</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plant and equipment</w:t>
            </w:r>
          </w:p>
          <w:p w:rsidR="00B03921" w:rsidRPr="00CB50A4" w:rsidRDefault="00B03921" w:rsidP="00016914">
            <w:pPr>
              <w:pStyle w:val="Tabletextheading"/>
              <w:rPr>
                <w:rFonts w:eastAsiaTheme="minorEastAsia"/>
                <w:lang w:eastAsia="en-AU"/>
              </w:rPr>
            </w:pPr>
            <w:r w:rsidRPr="00CB50A4">
              <w:rPr>
                <w:rFonts w:eastAsiaTheme="minorEastAsia"/>
                <w:lang w:eastAsia="en-AU"/>
              </w:rPr>
              <w:t xml:space="preserve"> revaluation surplus</w:t>
            </w:r>
          </w:p>
        </w:tc>
        <w:tc>
          <w:tcPr>
            <w:tcW w:w="2587"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Other</w:t>
            </w: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 xml:space="preserve"> reserves</w:t>
            </w:r>
          </w:p>
        </w:tc>
        <w:tc>
          <w:tcPr>
            <w:tcW w:w="2587"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p>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Total</w:t>
            </w:r>
          </w:p>
        </w:tc>
      </w:tr>
      <w:tr w:rsidR="00A35FE2" w:rsidRPr="00CB50A4" w:rsidTr="008079E9">
        <w:tc>
          <w:tcPr>
            <w:tcW w:w="7760" w:type="dxa"/>
            <w:gridSpan w:val="3"/>
            <w:tcBorders>
              <w:top w:val="single" w:sz="6" w:space="0" w:color="auto"/>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85 494.8</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1 160.5</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132 037.1</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(1 612.6</w:t>
            </w:r>
            <w:r w:rsidRPr="00CB50A4">
              <w:rPr>
                <w:rFonts w:eastAsiaTheme="minorEastAsia" w:cs="Calibri"/>
                <w:color w:val="000000"/>
                <w:sz w:val="18"/>
                <w:lang w:eastAsia="en-AU"/>
              </w:rPr>
              <w:t>)</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8 533.3</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Pr>
                <w:rFonts w:eastAsiaTheme="minorEastAsia"/>
                <w:lang w:eastAsia="en-AU"/>
              </w:rPr>
              <w:t>(118.5)</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4 321.3</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94 028.1</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1 042.0</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134 745.8</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text"/>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94 028.1</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1 042.0</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134 745.8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4 342.1</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sidRPr="00CB50A4">
              <w:rPr>
                <w:rFonts w:eastAsiaTheme="minorEastAsia"/>
                <w:lang w:eastAsia="en-AU"/>
              </w:rPr>
              <w:t>2 165.1</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77.8</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3 638.8</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96 193.3</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1 119.9</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142 726.7</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96 193.3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1 119.9</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142 726.7</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690.3</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510.7</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56.3</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1 598.1</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96 703.9</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1 176.1</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145 015.1</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96 703.9</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1 176.1</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145 015.1</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864.4</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cs="Calibri"/>
                <w:color w:val="000000"/>
                <w:sz w:val="18"/>
                <w:lang w:eastAsia="en-AU"/>
              </w:rPr>
            </w:pPr>
            <w:r w:rsidRPr="00CB50A4">
              <w:rPr>
                <w:rFonts w:eastAsiaTheme="minorEastAsia"/>
                <w:lang w:eastAsia="en-AU"/>
              </w:rPr>
              <w:t>9 493.6</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61.0</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10 501.3</w:t>
            </w:r>
          </w:p>
        </w:tc>
      </w:tr>
      <w:tr w:rsidR="00B03921" w:rsidRPr="00CB50A4" w:rsidTr="00016914">
        <w:tc>
          <w:tcPr>
            <w:tcW w:w="2586" w:type="dxa"/>
            <w:tcBorders>
              <w:top w:val="single" w:sz="6" w:space="0" w:color="auto"/>
              <w:left w:val="nil"/>
              <w:bottom w:val="single" w:sz="12" w:space="0" w:color="auto"/>
              <w:right w:val="nil"/>
            </w:tcBorders>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106 197.5</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1 237.2</w:t>
            </w:r>
          </w:p>
        </w:tc>
        <w:tc>
          <w:tcPr>
            <w:tcW w:w="2587" w:type="dxa"/>
            <w:tcBorders>
              <w:top w:val="single" w:sz="6" w:space="0" w:color="auto"/>
              <w:left w:val="nil"/>
              <w:bottom w:val="single" w:sz="12" w:space="0" w:color="auto"/>
              <w:right w:val="nil"/>
            </w:tcBorders>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156 380.8</w:t>
            </w:r>
          </w:p>
        </w:tc>
      </w:tr>
      <w:tr w:rsidR="00A35FE2" w:rsidRPr="00CB50A4" w:rsidTr="008079E9">
        <w:tc>
          <w:tcPr>
            <w:tcW w:w="7760" w:type="dxa"/>
            <w:gridSpan w:val="3"/>
            <w:tcBorders>
              <w:top w:val="nil"/>
              <w:left w:val="nil"/>
              <w:bottom w:val="nil"/>
              <w:right w:val="nil"/>
            </w:tcBorders>
          </w:tcPr>
          <w:p w:rsidR="00A35FE2" w:rsidRPr="00CB50A4" w:rsidRDefault="00A35FE2" w:rsidP="00A35FE2">
            <w:pPr>
              <w:pStyle w:val="TableofFigures"/>
              <w:jc w:val="left"/>
              <w:rPr>
                <w:rFonts w:eastAsiaTheme="minorEastAsia"/>
                <w:b/>
                <w:bCs/>
                <w:lang w:eastAsia="en-AU"/>
              </w:rPr>
            </w:pP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106 197.5</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1 237.2</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156 380.8</w:t>
            </w:r>
          </w:p>
        </w:tc>
      </w:tr>
      <w:tr w:rsidR="00B03921" w:rsidRPr="00CB50A4" w:rsidTr="00016914">
        <w:tc>
          <w:tcPr>
            <w:tcW w:w="2586" w:type="dxa"/>
            <w:tcBorders>
              <w:top w:val="nil"/>
              <w:left w:val="nil"/>
              <w:bottom w:val="nil"/>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w:t>
            </w:r>
          </w:p>
        </w:tc>
        <w:tc>
          <w:tcPr>
            <w:tcW w:w="2587" w:type="dxa"/>
            <w:tcBorders>
              <w:top w:val="nil"/>
              <w:left w:val="nil"/>
              <w:bottom w:val="nil"/>
              <w:right w:val="nil"/>
            </w:tcBorders>
          </w:tcPr>
          <w:p w:rsidR="00B03921" w:rsidRPr="00CB50A4" w:rsidRDefault="00B03921" w:rsidP="00016914">
            <w:pPr>
              <w:pStyle w:val="TableofFigures"/>
              <w:rPr>
                <w:rFonts w:eastAsiaTheme="minorEastAsia" w:cs="Calibri"/>
                <w:color w:val="000000"/>
                <w:sz w:val="18"/>
                <w:lang w:eastAsia="en-AU"/>
              </w:rPr>
            </w:pPr>
            <w:r w:rsidRPr="00CB50A4">
              <w:rPr>
                <w:rFonts w:eastAsiaTheme="minorEastAsia"/>
                <w:lang w:eastAsia="en-AU"/>
              </w:rPr>
              <w:t>1 294.6</w:t>
            </w:r>
          </w:p>
        </w:tc>
      </w:tr>
      <w:tr w:rsidR="00B03921" w:rsidRPr="00CB50A4" w:rsidTr="00016914">
        <w:tc>
          <w:tcPr>
            <w:tcW w:w="2586" w:type="dxa"/>
            <w:tcBorders>
              <w:top w:val="nil"/>
              <w:left w:val="nil"/>
              <w:bottom w:val="single" w:sz="6" w:space="0" w:color="auto"/>
              <w:right w:val="nil"/>
            </w:tcBorders>
          </w:tcPr>
          <w:p w:rsidR="00B03921" w:rsidRPr="00CB50A4" w:rsidRDefault="00B03921" w:rsidP="00016914">
            <w:pPr>
              <w:pStyle w:val="Tabletext"/>
              <w:jc w:val="right"/>
              <w:rPr>
                <w:rFonts w:eastAsiaTheme="minorEastAsia"/>
                <w:lang w:eastAsia="en-AU"/>
              </w:rPr>
            </w:pPr>
            <w:r w:rsidRPr="00CB50A4">
              <w:rPr>
                <w:rFonts w:eastAsiaTheme="minorEastAsia"/>
                <w:lang w:eastAsia="en-AU"/>
              </w:rPr>
              <w:t xml:space="preserve"> 414.6</w:t>
            </w:r>
          </w:p>
        </w:tc>
        <w:tc>
          <w:tcPr>
            <w:tcW w:w="258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56.4</w:t>
            </w:r>
          </w:p>
        </w:tc>
        <w:tc>
          <w:tcPr>
            <w:tcW w:w="2587" w:type="dxa"/>
            <w:tcBorders>
              <w:top w:val="nil"/>
              <w:left w:val="nil"/>
              <w:bottom w:val="single" w:sz="6" w:space="0" w:color="auto"/>
              <w:right w:val="nil"/>
            </w:tcBorders>
          </w:tcPr>
          <w:p w:rsidR="00B03921" w:rsidRPr="00CB50A4" w:rsidRDefault="00B03921" w:rsidP="00016914">
            <w:pPr>
              <w:pStyle w:val="TableofFigures"/>
              <w:rPr>
                <w:rFonts w:eastAsiaTheme="minorEastAsia"/>
                <w:lang w:eastAsia="en-AU"/>
              </w:rPr>
            </w:pPr>
            <w:r w:rsidRPr="00CB50A4">
              <w:rPr>
                <w:rFonts w:eastAsiaTheme="minorEastAsia"/>
                <w:lang w:eastAsia="en-AU"/>
              </w:rPr>
              <w:t>1 475.3</w:t>
            </w:r>
          </w:p>
        </w:tc>
      </w:tr>
      <w:tr w:rsidR="00B03921" w:rsidRPr="00CB50A4" w:rsidTr="00016914">
        <w:tc>
          <w:tcPr>
            <w:tcW w:w="2586"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text"/>
              <w:jc w:val="right"/>
              <w:rPr>
                <w:rFonts w:eastAsiaTheme="minorEastAsia"/>
                <w:b/>
                <w:bCs/>
                <w:lang w:eastAsia="en-AU"/>
              </w:rPr>
            </w:pPr>
            <w:r w:rsidRPr="00CB50A4">
              <w:rPr>
                <w:rFonts w:eastAsiaTheme="minorEastAsia"/>
                <w:b/>
                <w:bCs/>
                <w:lang w:eastAsia="en-AU"/>
              </w:rPr>
              <w:t>106 612.1</w:t>
            </w:r>
          </w:p>
        </w:tc>
        <w:tc>
          <w:tcPr>
            <w:tcW w:w="258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1 293.6</w:t>
            </w:r>
          </w:p>
        </w:tc>
        <w:tc>
          <w:tcPr>
            <w:tcW w:w="2587" w:type="dxa"/>
            <w:tcBorders>
              <w:top w:val="single" w:sz="6" w:space="0" w:color="auto"/>
              <w:left w:val="nil"/>
              <w:bottom w:val="single" w:sz="12" w:space="0" w:color="000000"/>
              <w:right w:val="nil"/>
            </w:tcBorders>
            <w:shd w:val="clear" w:color="auto"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159 150.7</w:t>
            </w:r>
          </w:p>
        </w:tc>
      </w:tr>
    </w:tbl>
    <w:p w:rsidR="00B03921" w:rsidRDefault="00B03921" w:rsidP="00016914">
      <w:pPr>
        <w:pStyle w:val="million"/>
      </w:pPr>
    </w:p>
    <w:p w:rsidR="00B03921" w:rsidRDefault="00B03921" w:rsidP="00016914">
      <w:pPr>
        <w:pStyle w:val="million"/>
      </w:pP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2.23:</w:t>
      </w:r>
      <w:r>
        <w:tab/>
        <w:t>Derivation of whole of State GFS cash surplus/(deficit)</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lang w:eastAsia="en-AU"/>
              </w:rPr>
            </w:pPr>
            <w:r w:rsidRPr="00CB50A4">
              <w:rPr>
                <w:rFonts w:eastAsiaTheme="minorEastAsia"/>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Cash surplus/(deficit)</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(617.3)</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5 861.7</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(1 </w:t>
            </w:r>
            <w:r w:rsidRPr="00CB50A4">
              <w:rPr>
                <w:rFonts w:eastAsiaTheme="minorEastAsia" w:cs="Calibri"/>
                <w:b/>
                <w:bCs/>
                <w:color w:val="000000"/>
                <w:lang w:eastAsia="en-AU"/>
              </w:rPr>
              <w:t>594.0)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(76.2)</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169.7</w:t>
            </w:r>
          </w:p>
        </w:tc>
      </w:tr>
      <w:tr w:rsidR="00A35FE2" w:rsidRPr="00CB50A4" w:rsidTr="008079E9">
        <w:tc>
          <w:tcPr>
            <w:tcW w:w="7760" w:type="dxa"/>
            <w:gridSpan w:val="6"/>
            <w:tcBorders>
              <w:top w:val="nil"/>
              <w:left w:val="nil"/>
              <w:bottom w:val="nil"/>
              <w:right w:val="nil"/>
            </w:tcBorders>
            <w:shd w:val="solid" w:color="FFFFFF" w:fill="auto"/>
          </w:tcPr>
          <w:p w:rsidR="00A35FE2" w:rsidRPr="00CB50A4" w:rsidRDefault="00A35FE2" w:rsidP="00A35FE2">
            <w:pPr>
              <w:pStyle w:val="Tabletext"/>
              <w:rPr>
                <w:rFonts w:eastAsiaTheme="minorEastAsia"/>
                <w:lang w:eastAsia="en-AU"/>
              </w:rPr>
            </w:pPr>
            <w:r w:rsidRPr="00CB50A4">
              <w:rPr>
                <w:rFonts w:eastAsiaTheme="minorEastAsia"/>
                <w:lang w:eastAsia="en-AU"/>
              </w:rPr>
              <w:t xml:space="preserve">Convergence differences: </w:t>
            </w:r>
          </w:p>
        </w:tc>
      </w:tr>
      <w:tr w:rsidR="00B03921" w:rsidRPr="00CB50A4" w:rsidTr="00016914">
        <w:tc>
          <w:tcPr>
            <w:tcW w:w="2790" w:type="dxa"/>
            <w:tcBorders>
              <w:top w:val="nil"/>
              <w:left w:val="nil"/>
              <w:bottom w:val="single" w:sz="4" w:space="0" w:color="auto"/>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Acquisitions under finance leases and similar arrangements</w:t>
            </w:r>
            <w:r w:rsidRPr="00CB50A4">
              <w:rPr>
                <w:rFonts w:eastAsiaTheme="minorEastAsia"/>
                <w:vertAlign w:val="superscript"/>
                <w:lang w:eastAsia="en-AU"/>
              </w:rPr>
              <w:t>(a)</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(36.4)</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(1 050.4)</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(416.7)</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(653.8)</w:t>
            </w:r>
          </w:p>
        </w:tc>
        <w:tc>
          <w:tcPr>
            <w:tcW w:w="994" w:type="dxa"/>
            <w:tcBorders>
              <w:top w:val="nil"/>
              <w:left w:val="nil"/>
              <w:bottom w:val="single" w:sz="4" w:space="0" w:color="auto"/>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sidRPr="00CB50A4">
              <w:rPr>
                <w:rFonts w:eastAsiaTheme="minorEastAsia"/>
                <w:lang w:eastAsia="en-AU"/>
              </w:rPr>
              <w:t xml:space="preserve"> ..</w:t>
            </w:r>
          </w:p>
        </w:tc>
      </w:tr>
      <w:tr w:rsidR="00B03921" w:rsidRPr="00CB50A4" w:rsidTr="00016914">
        <w:tc>
          <w:tcPr>
            <w:tcW w:w="2790"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vertAlign w:val="superscript"/>
                <w:lang w:eastAsia="en-AU"/>
              </w:rPr>
            </w:pPr>
            <w:r w:rsidRPr="00CB50A4">
              <w:rPr>
                <w:rFonts w:eastAsiaTheme="minorEastAsia"/>
                <w:b/>
                <w:bCs/>
                <w:lang w:eastAsia="en-AU"/>
              </w:rPr>
              <w:t>GFS cash surplus/(deficit)</w:t>
            </w:r>
            <w:r w:rsidRPr="00CB50A4">
              <w:rPr>
                <w:rFonts w:eastAsiaTheme="minorEastAsia"/>
                <w:b/>
                <w:bCs/>
                <w:vertAlign w:val="superscript"/>
                <w:lang w:eastAsia="en-AU"/>
              </w:rPr>
              <w:t>(b)</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(653.7)</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4 811.3</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sidRPr="00CB50A4">
              <w:rPr>
                <w:rFonts w:eastAsiaTheme="minorEastAsia"/>
                <w:b/>
                <w:bCs/>
                <w:lang w:eastAsia="en-AU"/>
              </w:rPr>
              <w:t xml:space="preserve"> (2 </w:t>
            </w:r>
            <w:r w:rsidRPr="00CB50A4">
              <w:rPr>
                <w:rFonts w:eastAsiaTheme="minorEastAsia" w:cs="Calibri"/>
                <w:b/>
                <w:bCs/>
                <w:color w:val="000000"/>
                <w:lang w:eastAsia="en-AU"/>
              </w:rPr>
              <w:t>010.7)</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cs="Calibri"/>
                <w:b/>
                <w:bCs/>
                <w:color w:val="000000"/>
                <w:lang w:eastAsia="en-AU"/>
              </w:rPr>
            </w:pPr>
            <w:r>
              <w:rPr>
                <w:rFonts w:eastAsiaTheme="minorEastAsia"/>
                <w:b/>
                <w:bCs/>
                <w:lang w:eastAsia="en-AU"/>
              </w:rPr>
              <w:t>(729.9)</w:t>
            </w:r>
          </w:p>
        </w:tc>
        <w:tc>
          <w:tcPr>
            <w:tcW w:w="994" w:type="dxa"/>
            <w:tcBorders>
              <w:top w:val="single" w:sz="4" w:space="0" w:color="auto"/>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169.7</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The finance lease acquisition in 2014</w:t>
      </w:r>
      <w:r>
        <w:noBreakHyphen/>
        <w:t>15 relates to metropolitan bus contracts. The 2015</w:t>
      </w:r>
      <w:r>
        <w:noBreakHyphen/>
        <w:t>16 estimate relates to the Victorian Comprehensive Cancer Centre. The 2016</w:t>
      </w:r>
      <w:r>
        <w:noBreakHyphen/>
        <w:t>17 estimate relates to the new Bendigo Hospital project (stage 1) and the New Schools PPP project (tranche 1). The 2017</w:t>
      </w:r>
      <w:r>
        <w:noBreakHyphen/>
        <w:t xml:space="preserve">18 estimate relates to the Ravenhall Prison project, the New Schools PPP project (tranche 2) and the new Bendigo Hospital project (stage 2). </w:t>
      </w:r>
    </w:p>
    <w:p w:rsidR="00B03921" w:rsidRDefault="00B03921" w:rsidP="00016914">
      <w:pPr>
        <w:pStyle w:val="Notes"/>
      </w:pPr>
      <w:r>
        <w:t>(b)</w:t>
      </w:r>
      <w:r>
        <w:tab/>
        <w:t>Determined in accordance with the ABS GFS manual.</w:t>
      </w:r>
    </w:p>
    <w:p w:rsidR="00B03921" w:rsidRDefault="00B03921" w:rsidP="00016914">
      <w:pPr>
        <w:pStyle w:val="BodyText"/>
      </w:pPr>
    </w:p>
    <w:p w:rsidR="00A35FE2" w:rsidRDefault="00A35FE2" w:rsidP="00016914">
      <w:pPr>
        <w:pStyle w:val="BodyText"/>
      </w:pPr>
    </w:p>
    <w:p w:rsidR="00B03921" w:rsidRDefault="00B03921" w:rsidP="00016914">
      <w:pPr>
        <w:pStyle w:val="Tableheading"/>
      </w:pPr>
      <w:r>
        <w:t>Table 2.24:</w:t>
      </w:r>
      <w:r>
        <w:tab/>
        <w:t>Net acquisition of non</w:t>
      </w:r>
      <w:r>
        <w:noBreakHyphen/>
        <w:t>financial assets – State of Victoria</w:t>
      </w:r>
      <w:r w:rsidRPr="00A14B57">
        <w:rPr>
          <w:vertAlign w:val="superscript"/>
        </w:rPr>
        <w:t>(a)</w:t>
      </w:r>
    </w:p>
    <w:p w:rsidR="00B03921" w:rsidRPr="00CB50A4"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B03921" w:rsidRPr="00CB50A4" w:rsidTr="00016914">
        <w:trPr>
          <w:tblHeader/>
        </w:trPr>
        <w:tc>
          <w:tcPr>
            <w:tcW w:w="2790" w:type="dxa"/>
            <w:tcBorders>
              <w:top w:val="single" w:sz="6" w:space="0" w:color="auto"/>
              <w:left w:val="single" w:sz="6" w:space="0" w:color="auto"/>
              <w:bottom w:val="single" w:sz="6" w:space="0" w:color="auto"/>
              <w:right w:val="nil"/>
            </w:tcBorders>
            <w:shd w:val="clear" w:color="000000" w:fill="000000"/>
          </w:tcPr>
          <w:p w:rsidR="00B03921" w:rsidRPr="00CB50A4" w:rsidRDefault="00B03921" w:rsidP="00016914">
            <w:pPr>
              <w:pStyle w:val="Tabletext"/>
              <w:rPr>
                <w:rFonts w:eastAsiaTheme="minorEastAsia"/>
                <w:i/>
                <w:lang w:eastAsia="en-AU"/>
              </w:rPr>
            </w:pPr>
            <w:r w:rsidRPr="00CB50A4">
              <w:rPr>
                <w:rFonts w:eastAsiaTheme="minorEastAsia"/>
                <w:i/>
                <w:lang w:eastAsia="en-AU"/>
              </w:rPr>
              <w:t xml:space="preserve"> </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2014-15 revised</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2015-16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2016-17 estimate</w:t>
            </w:r>
          </w:p>
        </w:tc>
        <w:tc>
          <w:tcPr>
            <w:tcW w:w="994" w:type="dxa"/>
            <w:tcBorders>
              <w:top w:val="single" w:sz="6" w:space="0" w:color="auto"/>
              <w:left w:val="nil"/>
              <w:bottom w:val="single" w:sz="6" w:space="0" w:color="auto"/>
              <w:right w:val="nil"/>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2017-18 estimate</w:t>
            </w:r>
          </w:p>
        </w:tc>
        <w:tc>
          <w:tcPr>
            <w:tcW w:w="994" w:type="dxa"/>
            <w:tcBorders>
              <w:top w:val="single" w:sz="6" w:space="0" w:color="auto"/>
              <w:left w:val="nil"/>
              <w:bottom w:val="single" w:sz="6" w:space="0" w:color="auto"/>
              <w:right w:val="single" w:sz="6" w:space="0" w:color="auto"/>
            </w:tcBorders>
            <w:shd w:val="clear" w:color="000000" w:fill="000000"/>
          </w:tcPr>
          <w:p w:rsidR="00B03921" w:rsidRPr="00CB50A4" w:rsidRDefault="00B03921" w:rsidP="00016914">
            <w:pPr>
              <w:pStyle w:val="Tabletextheading"/>
              <w:rPr>
                <w:rFonts w:eastAsiaTheme="minorEastAsia"/>
                <w:color w:val="FFFFFF"/>
                <w:lang w:eastAsia="en-AU"/>
              </w:rPr>
            </w:pPr>
            <w:r w:rsidRPr="00CB50A4">
              <w:rPr>
                <w:rFonts w:eastAsiaTheme="minorEastAsia"/>
                <w:color w:val="FFFFFF"/>
                <w:lang w:eastAsia="en-AU"/>
              </w:rPr>
              <w:t>2018-19 estimate</w:t>
            </w:r>
          </w:p>
        </w:tc>
      </w:tr>
      <w:tr w:rsidR="00B03921" w:rsidRPr="00CB50A4" w:rsidTr="00016914">
        <w:tc>
          <w:tcPr>
            <w:tcW w:w="2790" w:type="dxa"/>
            <w:tcBorders>
              <w:top w:val="single" w:sz="6" w:space="0" w:color="auto"/>
              <w:left w:val="nil"/>
              <w:bottom w:val="nil"/>
              <w:right w:val="nil"/>
            </w:tcBorders>
            <w:shd w:val="solid" w:color="FFFFFF" w:fill="auto"/>
          </w:tcPr>
          <w:p w:rsidR="00B03921" w:rsidRPr="00CB50A4" w:rsidRDefault="00B03921" w:rsidP="00016914">
            <w:pPr>
              <w:pStyle w:val="Tabletext"/>
              <w:rPr>
                <w:rFonts w:eastAsiaTheme="minorEastAsia" w:cs="Calibri"/>
                <w:color w:val="000000"/>
                <w:lang w:eastAsia="en-AU"/>
              </w:rPr>
            </w:pPr>
            <w:r w:rsidRPr="00CB50A4">
              <w:rPr>
                <w:rFonts w:eastAsiaTheme="minorEastAsia"/>
                <w:lang w:eastAsia="en-AU"/>
              </w:rPr>
              <w:t>Purchases of non-financial assets less sales of non</w:t>
            </w:r>
            <w:r>
              <w:rPr>
                <w:rFonts w:eastAsiaTheme="minorEastAsia" w:cs="Calibri"/>
                <w:color w:val="000000"/>
                <w:lang w:eastAsia="en-AU"/>
              </w:rPr>
              <w:noBreakHyphen/>
            </w:r>
            <w:r w:rsidRPr="00CB50A4">
              <w:rPr>
                <w:rFonts w:eastAsiaTheme="minorEastAsia" w:cs="Calibri"/>
                <w:color w:val="000000"/>
                <w:lang w:eastAsia="en-AU"/>
              </w:rPr>
              <w:t>financial assets</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6 156.5</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cs="Calibri"/>
                <w:color w:val="000000"/>
                <w:lang w:eastAsia="en-AU"/>
              </w:rPr>
            </w:pPr>
            <w:r>
              <w:rPr>
                <w:rFonts w:eastAsiaTheme="minorEastAsia"/>
                <w:lang w:eastAsia="en-AU"/>
              </w:rPr>
              <w:t>(459.1)</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7 517.0</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6 888.2</w:t>
            </w:r>
          </w:p>
        </w:tc>
        <w:tc>
          <w:tcPr>
            <w:tcW w:w="994" w:type="dxa"/>
            <w:tcBorders>
              <w:top w:val="single" w:sz="6" w:space="0" w:color="auto"/>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6 901.3</w:t>
            </w:r>
          </w:p>
        </w:tc>
      </w:tr>
      <w:tr w:rsidR="00B03921" w:rsidRPr="00CB50A4" w:rsidTr="00016914">
        <w:tc>
          <w:tcPr>
            <w:tcW w:w="2790" w:type="dxa"/>
            <w:tcBorders>
              <w:top w:val="nil"/>
              <w:left w:val="nil"/>
              <w:bottom w:val="nil"/>
              <w:right w:val="nil"/>
            </w:tcBorders>
            <w:shd w:val="solid" w:color="FFFFFF" w:fill="auto"/>
          </w:tcPr>
          <w:p w:rsidR="00B03921" w:rsidRPr="00CB50A4" w:rsidRDefault="00B03921" w:rsidP="00016914">
            <w:pPr>
              <w:pStyle w:val="Tabletext"/>
              <w:rPr>
                <w:rFonts w:eastAsiaTheme="minorEastAsia"/>
                <w:lang w:eastAsia="en-AU"/>
              </w:rPr>
            </w:pPr>
            <w:r w:rsidRPr="00CB50A4">
              <w:rPr>
                <w:rFonts w:eastAsiaTheme="minorEastAsia"/>
                <w:lang w:eastAsia="en-AU"/>
              </w:rPr>
              <w:t>Less: depreciation</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(4 527.4)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(4 761.4)</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(5 013.6)</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(5 193.0)</w:t>
            </w:r>
          </w:p>
        </w:tc>
        <w:tc>
          <w:tcPr>
            <w:tcW w:w="994" w:type="dxa"/>
            <w:tcBorders>
              <w:top w:val="nil"/>
              <w:left w:val="nil"/>
              <w:bottom w:val="nil"/>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(5 567.1)</w:t>
            </w:r>
          </w:p>
        </w:tc>
      </w:tr>
      <w:tr w:rsidR="00B03921" w:rsidRPr="00CB50A4" w:rsidTr="00016914">
        <w:tc>
          <w:tcPr>
            <w:tcW w:w="2790" w:type="dxa"/>
            <w:tcBorders>
              <w:top w:val="nil"/>
              <w:left w:val="nil"/>
              <w:bottom w:val="single" w:sz="6" w:space="0" w:color="000000"/>
              <w:right w:val="nil"/>
            </w:tcBorders>
            <w:shd w:val="solid" w:color="FFFFFF" w:fill="auto"/>
          </w:tcPr>
          <w:p w:rsidR="00B03921" w:rsidRPr="00CB50A4" w:rsidRDefault="00B03921" w:rsidP="00016914">
            <w:pPr>
              <w:pStyle w:val="Tabletext"/>
              <w:rPr>
                <w:rFonts w:eastAsiaTheme="minorEastAsia"/>
                <w:vertAlign w:val="superscript"/>
                <w:lang w:eastAsia="en-AU"/>
              </w:rPr>
            </w:pPr>
            <w:r w:rsidRPr="00CB50A4">
              <w:rPr>
                <w:rFonts w:eastAsiaTheme="minorEastAsia"/>
                <w:lang w:eastAsia="en-AU"/>
              </w:rPr>
              <w:t xml:space="preserve">Plus: other movements in </w:t>
            </w:r>
            <w:r>
              <w:rPr>
                <w:rFonts w:eastAsiaTheme="minorEastAsia"/>
                <w:lang w:eastAsia="en-AU"/>
              </w:rPr>
              <w:br/>
            </w:r>
            <w:r w:rsidRPr="00CB50A4">
              <w:rPr>
                <w:rFonts w:eastAsiaTheme="minorEastAsia"/>
                <w:lang w:eastAsia="en-AU"/>
              </w:rPr>
              <w:t>non-financial assets</w:t>
            </w:r>
            <w:r w:rsidRPr="00CB50A4">
              <w:rPr>
                <w:rFonts w:eastAsiaTheme="minorEastAsia"/>
                <w:vertAlign w:val="superscript"/>
                <w:lang w:eastAsia="en-AU"/>
              </w:rPr>
              <w:t>(b)</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140.3</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1 170.8</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541.8</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786.7</w:t>
            </w:r>
          </w:p>
        </w:tc>
        <w:tc>
          <w:tcPr>
            <w:tcW w:w="994" w:type="dxa"/>
            <w:tcBorders>
              <w:top w:val="nil"/>
              <w:left w:val="nil"/>
              <w:bottom w:val="single" w:sz="6" w:space="0" w:color="000000"/>
              <w:right w:val="nil"/>
            </w:tcBorders>
            <w:shd w:val="solid" w:color="FFFFFF" w:fill="auto"/>
          </w:tcPr>
          <w:p w:rsidR="00B03921" w:rsidRPr="00CB50A4" w:rsidRDefault="00B03921" w:rsidP="00016914">
            <w:pPr>
              <w:pStyle w:val="TableofFigures"/>
              <w:rPr>
                <w:rFonts w:eastAsiaTheme="minorEastAsia"/>
                <w:lang w:eastAsia="en-AU"/>
              </w:rPr>
            </w:pPr>
            <w:r w:rsidRPr="00CB50A4">
              <w:rPr>
                <w:rFonts w:eastAsiaTheme="minorEastAsia"/>
                <w:lang w:eastAsia="en-AU"/>
              </w:rPr>
              <w:t xml:space="preserve"> 138.5</w:t>
            </w:r>
          </w:p>
        </w:tc>
      </w:tr>
      <w:tr w:rsidR="00B03921" w:rsidRPr="00CB50A4" w:rsidTr="00016914">
        <w:tc>
          <w:tcPr>
            <w:tcW w:w="2790"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text"/>
              <w:rPr>
                <w:rFonts w:eastAsiaTheme="minorEastAsia"/>
                <w:b/>
                <w:bCs/>
                <w:lang w:eastAsia="en-AU"/>
              </w:rPr>
            </w:pPr>
            <w:r w:rsidRPr="00CB50A4">
              <w:rPr>
                <w:rFonts w:eastAsiaTheme="minorEastAsia"/>
                <w:b/>
                <w:bCs/>
                <w:lang w:eastAsia="en-AU"/>
              </w:rPr>
              <w:t xml:space="preserve">Total net acquisition of </w:t>
            </w:r>
            <w:r>
              <w:rPr>
                <w:rFonts w:eastAsiaTheme="minorEastAsia"/>
                <w:b/>
                <w:bCs/>
                <w:lang w:eastAsia="en-AU"/>
              </w:rPr>
              <w:br/>
            </w:r>
            <w:r w:rsidRPr="00CB50A4">
              <w:rPr>
                <w:rFonts w:eastAsiaTheme="minorEastAsia"/>
                <w:b/>
                <w:bCs/>
                <w:lang w:eastAsia="en-AU"/>
              </w:rPr>
              <w:t>non-financial assets</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1 769.5</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 xml:space="preserve"> (4 049.6)</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3 045.3</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2 481.9</w:t>
            </w:r>
          </w:p>
        </w:tc>
        <w:tc>
          <w:tcPr>
            <w:tcW w:w="994" w:type="dxa"/>
            <w:tcBorders>
              <w:top w:val="single" w:sz="6" w:space="0" w:color="000000"/>
              <w:left w:val="nil"/>
              <w:bottom w:val="single" w:sz="12" w:space="0" w:color="000000"/>
              <w:right w:val="nil"/>
            </w:tcBorders>
            <w:shd w:val="solid" w:color="FFFFFF" w:fill="auto"/>
          </w:tcPr>
          <w:p w:rsidR="00B03921" w:rsidRPr="00CB50A4" w:rsidRDefault="00B03921" w:rsidP="00016914">
            <w:pPr>
              <w:pStyle w:val="TableofFigures"/>
              <w:rPr>
                <w:rFonts w:eastAsiaTheme="minorEastAsia"/>
                <w:b/>
                <w:bCs/>
                <w:lang w:eastAsia="en-AU"/>
              </w:rPr>
            </w:pPr>
            <w:r w:rsidRPr="00CB50A4">
              <w:rPr>
                <w:rFonts w:eastAsiaTheme="minorEastAsia"/>
                <w:b/>
                <w:bCs/>
                <w:lang w:eastAsia="en-AU"/>
              </w:rPr>
              <w:t>1 472.6</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Certain line items have been aggregated in the table above due to commercial sensitivities of balances.</w:t>
      </w:r>
    </w:p>
    <w:p w:rsidR="00B03921" w:rsidRDefault="00B03921" w:rsidP="00016914">
      <w:pPr>
        <w:pStyle w:val="Notes"/>
      </w:pPr>
      <w:r>
        <w:t>(b)</w:t>
      </w:r>
      <w:r>
        <w:tab/>
        <w:t>The other movements in non</w:t>
      </w:r>
      <w:r>
        <w:noBreakHyphen/>
        <w:t>financial assets in 2014</w:t>
      </w:r>
      <w:r>
        <w:noBreakHyphen/>
        <w:t>15 predominately relates to the recognition of finance lease arrangements relating to the metropolitan bus contracts and developer contributions to the metropolitan water corporations. The 2015</w:t>
      </w:r>
      <w:r>
        <w:noBreakHyphen/>
        <w:t>16 estimate relates to the Victorian Comprehensive Cancer Centre. The 2016</w:t>
      </w:r>
      <w:r>
        <w:noBreakHyphen/>
        <w:t>17 estimate predominantly relates to the new Bendigo Hospital project (stage 1) and the New Schools PPP project (tranche 1). The 2017</w:t>
      </w:r>
      <w:r>
        <w:noBreakHyphen/>
        <w:t xml:space="preserve">18 estimate predominantly relates to the Ravenhall Prison project, the new </w:t>
      </w:r>
      <w:r w:rsidRPr="00693A24">
        <w:t>Bendigo Hospital project (stage 2)</w:t>
      </w:r>
      <w:r>
        <w:t>, and the New Schools PPP project (tranche 2)</w:t>
      </w:r>
      <w:r w:rsidRPr="00693A24">
        <w:t>. The 2018</w:t>
      </w:r>
      <w:r>
        <w:noBreakHyphen/>
        <w:t>19 estimate</w:t>
      </w:r>
      <w:r w:rsidRPr="00693A24">
        <w:t xml:space="preserve"> </w:t>
      </w:r>
      <w:r>
        <w:t xml:space="preserve">predominantly relates to </w:t>
      </w:r>
      <w:r w:rsidRPr="00693A24">
        <w:t>developer contributions to metropolitan water corporations.</w:t>
      </w: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Heading1"/>
      </w:pPr>
      <w:bookmarkStart w:id="115" w:name="_Toc418274755"/>
      <w:r>
        <w:t>Victoria</w:t>
      </w:r>
      <w:r w:rsidR="00BA5A16">
        <w:t>’</w:t>
      </w:r>
      <w:r>
        <w:t>s Loan Council Allocation</w:t>
      </w:r>
      <w:bookmarkEnd w:id="115"/>
    </w:p>
    <w:p w:rsidR="00B03921" w:rsidRDefault="00B03921" w:rsidP="00016914">
      <w:pPr>
        <w:rPr>
          <w:b/>
        </w:rPr>
      </w:pPr>
      <w:r w:rsidRPr="00B63AD7">
        <w:t xml:space="preserve">Under the </w:t>
      </w:r>
      <w:r>
        <w:t>Uniform Presentation Framework (UPF), Victoria is required to publish the Loan Council Allocation (LCA) estimates. The LCA is a measure of each government</w:t>
      </w:r>
      <w:r w:rsidR="00BA5A16">
        <w:t>’</w:t>
      </w:r>
      <w:r>
        <w:t xml:space="preserve">s net call on financial markets in a given financial year to meet its budget obligations. The method of public release is the responsibility of each jurisdiction. Victoria discloses its LCA information through the Financial Report for the State of Victoria, Budget Paper No. 5 </w:t>
      </w:r>
      <w:r>
        <w:rPr>
          <w:i/>
        </w:rPr>
        <w:t>Statement of Finances</w:t>
      </w:r>
      <w:r>
        <w:t xml:space="preserve"> and </w:t>
      </w:r>
      <w:r>
        <w:rPr>
          <w:i/>
        </w:rPr>
        <w:t>Budget Update</w:t>
      </w:r>
      <w:r>
        <w:t>.</w:t>
      </w:r>
    </w:p>
    <w:p w:rsidR="00B03921" w:rsidRPr="00B63AD7" w:rsidRDefault="00B03921" w:rsidP="00016914">
      <w:pPr>
        <w:rPr>
          <w:b/>
        </w:rPr>
      </w:pPr>
      <w:r>
        <w:t>Table 2.25 compares the Victorian 2015</w:t>
      </w:r>
      <w:r>
        <w:noBreakHyphen/>
        <w:t xml:space="preserve">16 LCA nomination (based on </w:t>
      </w:r>
      <w:r>
        <w:rPr>
          <w:i/>
        </w:rPr>
        <w:t>2014</w:t>
      </w:r>
      <w:r>
        <w:rPr>
          <w:i/>
        </w:rPr>
        <w:noBreakHyphen/>
        <w:t>15 Budget Update</w:t>
      </w:r>
      <w:r>
        <w:t xml:space="preserve"> estimates) approved by the Loan Council in April 2015, with the 2015</w:t>
      </w:r>
      <w:r>
        <w:noBreakHyphen/>
        <w:t xml:space="preserve">16 revised LCA based upon </w:t>
      </w:r>
      <w:r>
        <w:rPr>
          <w:i/>
        </w:rPr>
        <w:t>2015</w:t>
      </w:r>
      <w:r>
        <w:rPr>
          <w:i/>
        </w:rPr>
        <w:noBreakHyphen/>
        <w:t>16 Budget</w:t>
      </w:r>
      <w:r>
        <w:t xml:space="preserve"> estimates. </w:t>
      </w:r>
    </w:p>
    <w:p w:rsidR="00B03921" w:rsidRDefault="00B03921" w:rsidP="00016914">
      <w:pPr>
        <w:pStyle w:val="Tableheading"/>
        <w:ind w:left="0" w:firstLine="0"/>
        <w:rPr>
          <w:rFonts w:ascii="Garamond" w:hAnsi="Garamond"/>
          <w:b w:val="0"/>
        </w:rPr>
      </w:pPr>
      <w:r>
        <w:t>Table 2.25:</w:t>
      </w:r>
      <w:r>
        <w:tab/>
        <w:t>Loan Council Allocation</w:t>
      </w:r>
    </w:p>
    <w:p w:rsidR="00B03921" w:rsidRPr="00CB50A4"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5631"/>
        <w:gridCol w:w="1089"/>
        <w:gridCol w:w="1040"/>
      </w:tblGrid>
      <w:tr w:rsidR="00B03921" w:rsidRPr="00AE209E" w:rsidTr="00A35FE2">
        <w:trPr>
          <w:tblHeader/>
        </w:trPr>
        <w:tc>
          <w:tcPr>
            <w:tcW w:w="5631" w:type="dxa"/>
            <w:tcBorders>
              <w:top w:val="single" w:sz="6" w:space="0" w:color="auto"/>
              <w:left w:val="single" w:sz="6" w:space="0" w:color="auto"/>
              <w:bottom w:val="nil"/>
              <w:right w:val="nil"/>
            </w:tcBorders>
            <w:shd w:val="clear" w:color="000000" w:fill="000000"/>
          </w:tcPr>
          <w:p w:rsidR="00B03921" w:rsidRPr="00AE209E" w:rsidRDefault="00B03921" w:rsidP="00016914">
            <w:pPr>
              <w:pStyle w:val="Tabletext"/>
              <w:rPr>
                <w:rFonts w:eastAsiaTheme="minorEastAsia"/>
                <w:lang w:eastAsia="en-AU"/>
              </w:rPr>
            </w:pPr>
            <w:r w:rsidRPr="00AE209E">
              <w:rPr>
                <w:rFonts w:eastAsiaTheme="minorEastAsia"/>
                <w:lang w:eastAsia="en-AU"/>
              </w:rPr>
              <w:t xml:space="preserve"> </w:t>
            </w:r>
          </w:p>
        </w:tc>
        <w:tc>
          <w:tcPr>
            <w:tcW w:w="1089" w:type="dxa"/>
            <w:tcBorders>
              <w:top w:val="single" w:sz="6" w:space="0" w:color="auto"/>
              <w:left w:val="nil"/>
              <w:bottom w:val="nil"/>
              <w:right w:val="nil"/>
            </w:tcBorders>
            <w:shd w:val="clear" w:color="000000" w:fill="000000"/>
          </w:tcPr>
          <w:p w:rsidR="00B03921" w:rsidRPr="00AE209E" w:rsidRDefault="00B03921" w:rsidP="00016914">
            <w:pPr>
              <w:pStyle w:val="Tabletextheading"/>
              <w:rPr>
                <w:rFonts w:eastAsiaTheme="minorEastAsia"/>
                <w:iCs/>
                <w:color w:val="FFFFFF"/>
                <w:lang w:eastAsia="en-AU"/>
              </w:rPr>
            </w:pPr>
            <w:r w:rsidRPr="00AE209E">
              <w:rPr>
                <w:rFonts w:eastAsiaTheme="minorEastAsia"/>
                <w:iCs/>
                <w:color w:val="FFFFFF"/>
                <w:lang w:eastAsia="en-AU"/>
              </w:rPr>
              <w:t>2015-16</w:t>
            </w:r>
          </w:p>
        </w:tc>
        <w:tc>
          <w:tcPr>
            <w:tcW w:w="1040" w:type="dxa"/>
            <w:tcBorders>
              <w:top w:val="single" w:sz="6" w:space="0" w:color="auto"/>
              <w:left w:val="nil"/>
              <w:bottom w:val="nil"/>
              <w:right w:val="single" w:sz="6" w:space="0" w:color="auto"/>
            </w:tcBorders>
            <w:shd w:val="clear" w:color="000000" w:fill="000000"/>
          </w:tcPr>
          <w:p w:rsidR="00B03921" w:rsidRPr="00AE209E" w:rsidRDefault="00B03921" w:rsidP="00016914">
            <w:pPr>
              <w:pStyle w:val="Tabletextheading"/>
              <w:rPr>
                <w:rFonts w:eastAsiaTheme="minorEastAsia"/>
                <w:iCs/>
                <w:color w:val="FFFFFF"/>
                <w:lang w:eastAsia="en-AU"/>
              </w:rPr>
            </w:pPr>
            <w:r w:rsidRPr="00AE209E">
              <w:rPr>
                <w:rFonts w:eastAsiaTheme="minorEastAsia"/>
                <w:iCs/>
                <w:color w:val="FFFFFF"/>
                <w:lang w:eastAsia="en-AU"/>
              </w:rPr>
              <w:t xml:space="preserve">Budget </w:t>
            </w:r>
          </w:p>
        </w:tc>
      </w:tr>
      <w:tr w:rsidR="00B03921" w:rsidRPr="00AE209E" w:rsidTr="00A35FE2">
        <w:trPr>
          <w:tblHeader/>
        </w:trPr>
        <w:tc>
          <w:tcPr>
            <w:tcW w:w="5631" w:type="dxa"/>
            <w:tcBorders>
              <w:top w:val="nil"/>
              <w:left w:val="single" w:sz="6" w:space="0" w:color="auto"/>
              <w:bottom w:val="single" w:sz="6" w:space="0" w:color="auto"/>
              <w:right w:val="nil"/>
            </w:tcBorders>
            <w:shd w:val="clear" w:color="000000" w:fill="000000"/>
          </w:tcPr>
          <w:p w:rsidR="00B03921" w:rsidRPr="00AE209E" w:rsidRDefault="00B03921" w:rsidP="00016914">
            <w:pPr>
              <w:pStyle w:val="Tabletext"/>
              <w:rPr>
                <w:rFonts w:eastAsiaTheme="minorEastAsia"/>
                <w:lang w:eastAsia="en-AU"/>
              </w:rPr>
            </w:pPr>
            <w:r w:rsidRPr="00AE209E">
              <w:rPr>
                <w:rFonts w:eastAsiaTheme="minorEastAsia"/>
                <w:lang w:eastAsia="en-AU"/>
              </w:rPr>
              <w:t xml:space="preserve"> </w:t>
            </w:r>
          </w:p>
        </w:tc>
        <w:tc>
          <w:tcPr>
            <w:tcW w:w="1089" w:type="dxa"/>
            <w:tcBorders>
              <w:top w:val="nil"/>
              <w:left w:val="nil"/>
              <w:bottom w:val="single" w:sz="6" w:space="0" w:color="auto"/>
              <w:right w:val="nil"/>
            </w:tcBorders>
            <w:shd w:val="clear" w:color="000000" w:fill="000000"/>
          </w:tcPr>
          <w:p w:rsidR="00B03921" w:rsidRPr="00AE209E" w:rsidRDefault="00B03921" w:rsidP="00016914">
            <w:pPr>
              <w:pStyle w:val="Tabletextheading"/>
              <w:rPr>
                <w:rFonts w:eastAsiaTheme="minorEastAsia"/>
                <w:iCs/>
                <w:color w:val="FFFFFF"/>
                <w:lang w:eastAsia="en-AU"/>
              </w:rPr>
            </w:pPr>
            <w:r w:rsidRPr="00AE209E">
              <w:rPr>
                <w:rFonts w:eastAsiaTheme="minorEastAsia"/>
                <w:iCs/>
                <w:color w:val="FFFFFF"/>
                <w:lang w:eastAsia="en-AU"/>
              </w:rPr>
              <w:t>Nomination</w:t>
            </w:r>
          </w:p>
        </w:tc>
        <w:tc>
          <w:tcPr>
            <w:tcW w:w="1040" w:type="dxa"/>
            <w:tcBorders>
              <w:top w:val="nil"/>
              <w:left w:val="nil"/>
              <w:bottom w:val="single" w:sz="6" w:space="0" w:color="auto"/>
              <w:right w:val="single" w:sz="6" w:space="0" w:color="auto"/>
            </w:tcBorders>
            <w:shd w:val="clear" w:color="000000" w:fill="000000"/>
          </w:tcPr>
          <w:p w:rsidR="00B03921" w:rsidRPr="00AE209E" w:rsidRDefault="00B03921" w:rsidP="00016914">
            <w:pPr>
              <w:pStyle w:val="Tabletextheading"/>
              <w:rPr>
                <w:rFonts w:eastAsiaTheme="minorEastAsia"/>
                <w:iCs/>
                <w:color w:val="FFFFFF"/>
                <w:lang w:eastAsia="en-AU"/>
              </w:rPr>
            </w:pPr>
            <w:r w:rsidRPr="00AE209E">
              <w:rPr>
                <w:rFonts w:eastAsiaTheme="minorEastAsia"/>
                <w:iCs/>
                <w:color w:val="FFFFFF"/>
                <w:lang w:eastAsia="en-AU"/>
              </w:rPr>
              <w:t>estimate</w:t>
            </w:r>
          </w:p>
        </w:tc>
      </w:tr>
      <w:tr w:rsidR="00B03921" w:rsidRPr="00AE209E" w:rsidTr="00A35FE2">
        <w:tc>
          <w:tcPr>
            <w:tcW w:w="5631" w:type="dxa"/>
            <w:tcBorders>
              <w:top w:val="single" w:sz="6" w:space="0" w:color="auto"/>
              <w:left w:val="nil"/>
              <w:bottom w:val="nil"/>
              <w:right w:val="nil"/>
            </w:tcBorders>
          </w:tcPr>
          <w:p w:rsidR="00B03921" w:rsidRPr="00AE209E" w:rsidRDefault="00B03921" w:rsidP="00016914">
            <w:pPr>
              <w:pStyle w:val="Tabletext"/>
              <w:rPr>
                <w:rFonts w:eastAsiaTheme="minorEastAsia" w:cs="Calibri"/>
                <w:color w:val="000000"/>
                <w:lang w:eastAsia="en-AU"/>
              </w:rPr>
            </w:pPr>
            <w:r w:rsidRPr="00AE209E">
              <w:rPr>
                <w:rFonts w:eastAsiaTheme="minorEastAsia"/>
                <w:lang w:eastAsia="en-AU"/>
              </w:rPr>
              <w:t>General government cash (surplus)/ deficit</w:t>
            </w:r>
          </w:p>
        </w:tc>
        <w:tc>
          <w:tcPr>
            <w:tcW w:w="1089" w:type="dxa"/>
            <w:tcBorders>
              <w:top w:val="single" w:sz="6" w:space="0" w:color="auto"/>
              <w:left w:val="nil"/>
              <w:bottom w:val="nil"/>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(226.8)</w:t>
            </w:r>
          </w:p>
        </w:tc>
        <w:tc>
          <w:tcPr>
            <w:tcW w:w="1040" w:type="dxa"/>
            <w:tcBorders>
              <w:top w:val="single" w:sz="6" w:space="0" w:color="auto"/>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 xml:space="preserve"> 474.9</w:t>
            </w:r>
          </w:p>
        </w:tc>
      </w:tr>
      <w:tr w:rsidR="00B03921" w:rsidRPr="00AE209E" w:rsidTr="00A35FE2">
        <w:tc>
          <w:tcPr>
            <w:tcW w:w="5631" w:type="dxa"/>
            <w:tcBorders>
              <w:top w:val="nil"/>
              <w:left w:val="nil"/>
              <w:bottom w:val="nil"/>
              <w:right w:val="nil"/>
            </w:tcBorders>
          </w:tcPr>
          <w:p w:rsidR="00B03921" w:rsidRPr="00AE209E" w:rsidRDefault="00B03921" w:rsidP="00016914">
            <w:pPr>
              <w:pStyle w:val="Tabletext"/>
              <w:rPr>
                <w:rFonts w:eastAsiaTheme="minorEastAsia"/>
                <w:lang w:eastAsia="en-AU"/>
              </w:rPr>
            </w:pPr>
            <w:r w:rsidRPr="00AE209E">
              <w:rPr>
                <w:rFonts w:eastAsiaTheme="minorEastAsia"/>
                <w:lang w:eastAsia="en-AU"/>
              </w:rPr>
              <w:t>Public non-financial corp</w:t>
            </w:r>
            <w:r w:rsidR="00A35FE2">
              <w:rPr>
                <w:rFonts w:eastAsiaTheme="minorEastAsia"/>
                <w:lang w:eastAsia="en-AU"/>
              </w:rPr>
              <w:t>orations sector cash (surplus)/</w:t>
            </w:r>
            <w:r w:rsidRPr="00AE209E">
              <w:rPr>
                <w:rFonts w:eastAsiaTheme="minorEastAsia"/>
                <w:lang w:eastAsia="en-AU"/>
              </w:rPr>
              <w:t>deficit</w:t>
            </w:r>
          </w:p>
        </w:tc>
        <w:tc>
          <w:tcPr>
            <w:tcW w:w="1089" w:type="dxa"/>
            <w:tcBorders>
              <w:top w:val="nil"/>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(5 107.6)</w:t>
            </w:r>
          </w:p>
        </w:tc>
        <w:tc>
          <w:tcPr>
            <w:tcW w:w="1040" w:type="dxa"/>
            <w:tcBorders>
              <w:top w:val="nil"/>
              <w:left w:val="nil"/>
              <w:bottom w:val="single" w:sz="6" w:space="0" w:color="auto"/>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(5 857.7</w:t>
            </w:r>
            <w:r w:rsidRPr="00AE209E">
              <w:rPr>
                <w:rFonts w:eastAsiaTheme="minorEastAsia" w:cs="Calibri"/>
                <w:color w:val="000000"/>
                <w:lang w:eastAsia="en-AU"/>
              </w:rPr>
              <w:t>)</w:t>
            </w:r>
          </w:p>
        </w:tc>
      </w:tr>
      <w:tr w:rsidR="00B03921" w:rsidRPr="00AE209E" w:rsidTr="00A35FE2">
        <w:tc>
          <w:tcPr>
            <w:tcW w:w="5631" w:type="dxa"/>
            <w:tcBorders>
              <w:top w:val="single" w:sz="6" w:space="0" w:color="auto"/>
              <w:left w:val="nil"/>
              <w:bottom w:val="nil"/>
              <w:right w:val="nil"/>
            </w:tcBorders>
          </w:tcPr>
          <w:p w:rsidR="00B03921" w:rsidRPr="00AE209E" w:rsidRDefault="00B03921" w:rsidP="00016914">
            <w:pPr>
              <w:pStyle w:val="Tabletext"/>
              <w:rPr>
                <w:rFonts w:eastAsiaTheme="minorEastAsia"/>
                <w:vertAlign w:val="superscript"/>
                <w:lang w:eastAsia="en-AU"/>
              </w:rPr>
            </w:pPr>
            <w:r w:rsidRPr="00AE209E">
              <w:rPr>
                <w:rFonts w:eastAsiaTheme="minorEastAsia"/>
                <w:lang w:eastAsia="en-AU"/>
              </w:rPr>
              <w:t>Non-financia</w:t>
            </w:r>
            <w:r w:rsidR="00A35FE2">
              <w:rPr>
                <w:rFonts w:eastAsiaTheme="minorEastAsia"/>
                <w:lang w:eastAsia="en-AU"/>
              </w:rPr>
              <w:t>l public sector cash (surplus)/</w:t>
            </w:r>
            <w:r w:rsidRPr="00AE209E">
              <w:rPr>
                <w:rFonts w:eastAsiaTheme="minorEastAsia"/>
                <w:lang w:eastAsia="en-AU"/>
              </w:rPr>
              <w:t>deficit</w:t>
            </w:r>
            <w:r w:rsidRPr="00AE209E">
              <w:rPr>
                <w:rFonts w:eastAsiaTheme="minorEastAsia"/>
                <w:vertAlign w:val="superscript"/>
                <w:lang w:eastAsia="en-AU"/>
              </w:rPr>
              <w:t>(a)</w:t>
            </w:r>
          </w:p>
        </w:tc>
        <w:tc>
          <w:tcPr>
            <w:tcW w:w="1089" w:type="dxa"/>
            <w:tcBorders>
              <w:top w:val="single" w:sz="6" w:space="0" w:color="auto"/>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(5 433.4)</w:t>
            </w:r>
          </w:p>
        </w:tc>
        <w:tc>
          <w:tcPr>
            <w:tcW w:w="1040" w:type="dxa"/>
            <w:tcBorders>
              <w:top w:val="nil"/>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(5 381.0)</w:t>
            </w:r>
          </w:p>
        </w:tc>
      </w:tr>
      <w:tr w:rsidR="00B03921" w:rsidRPr="00AE209E" w:rsidTr="00A35FE2">
        <w:tc>
          <w:tcPr>
            <w:tcW w:w="5631" w:type="dxa"/>
            <w:tcBorders>
              <w:top w:val="nil"/>
              <w:left w:val="nil"/>
              <w:bottom w:val="nil"/>
              <w:right w:val="nil"/>
            </w:tcBorders>
          </w:tcPr>
          <w:p w:rsidR="00B03921" w:rsidRPr="00AE209E" w:rsidRDefault="00B03921" w:rsidP="00016914">
            <w:pPr>
              <w:pStyle w:val="Tabletext"/>
              <w:rPr>
                <w:rFonts w:eastAsiaTheme="minorEastAsia"/>
                <w:lang w:eastAsia="en-AU"/>
              </w:rPr>
            </w:pPr>
            <w:r w:rsidRPr="00AE209E">
              <w:rPr>
                <w:rFonts w:eastAsiaTheme="minorEastAsia"/>
                <w:lang w:eastAsia="en-AU"/>
              </w:rPr>
              <w:t>Acquisitions under finance leases and similar arrangements</w:t>
            </w:r>
          </w:p>
        </w:tc>
        <w:tc>
          <w:tcPr>
            <w:tcW w:w="1089" w:type="dxa"/>
            <w:tcBorders>
              <w:top w:val="nil"/>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1 050.4</w:t>
            </w:r>
          </w:p>
        </w:tc>
        <w:tc>
          <w:tcPr>
            <w:tcW w:w="1040" w:type="dxa"/>
            <w:tcBorders>
              <w:top w:val="nil"/>
              <w:left w:val="nil"/>
              <w:bottom w:val="single" w:sz="6" w:space="0" w:color="auto"/>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1 050.4</w:t>
            </w:r>
          </w:p>
        </w:tc>
      </w:tr>
      <w:tr w:rsidR="00B03921" w:rsidRPr="00AE209E" w:rsidTr="00A35FE2">
        <w:tc>
          <w:tcPr>
            <w:tcW w:w="5631" w:type="dxa"/>
            <w:tcBorders>
              <w:top w:val="single" w:sz="6" w:space="0" w:color="auto"/>
              <w:left w:val="nil"/>
              <w:bottom w:val="nil"/>
              <w:right w:val="nil"/>
            </w:tcBorders>
          </w:tcPr>
          <w:p w:rsidR="00B03921" w:rsidRPr="00AE209E" w:rsidRDefault="00B03921" w:rsidP="00016914">
            <w:pPr>
              <w:pStyle w:val="Tabletext"/>
              <w:rPr>
                <w:rFonts w:eastAsiaTheme="minorEastAsia" w:cs="Calibri"/>
                <w:color w:val="000000"/>
                <w:lang w:eastAsia="en-AU"/>
              </w:rPr>
            </w:pPr>
            <w:r w:rsidRPr="00AE209E">
              <w:rPr>
                <w:rFonts w:eastAsiaTheme="minorEastAsia"/>
                <w:lang w:eastAsia="en-AU"/>
              </w:rPr>
              <w:t>ABS GFS cash (surplus)/ deficit</w:t>
            </w:r>
          </w:p>
        </w:tc>
        <w:tc>
          <w:tcPr>
            <w:tcW w:w="1089" w:type="dxa"/>
            <w:tcBorders>
              <w:top w:val="single" w:sz="6" w:space="0" w:color="auto"/>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(4 383.0)</w:t>
            </w:r>
          </w:p>
        </w:tc>
        <w:tc>
          <w:tcPr>
            <w:tcW w:w="1040" w:type="dxa"/>
            <w:tcBorders>
              <w:top w:val="nil"/>
              <w:left w:val="nil"/>
              <w:bottom w:val="nil"/>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 xml:space="preserve">(4 </w:t>
            </w:r>
            <w:r w:rsidRPr="00AE209E">
              <w:rPr>
                <w:rFonts w:eastAsiaTheme="minorEastAsia" w:cs="Calibri"/>
                <w:color w:val="000000"/>
                <w:lang w:eastAsia="en-AU"/>
              </w:rPr>
              <w:t>330.5)</w:t>
            </w:r>
          </w:p>
        </w:tc>
      </w:tr>
      <w:tr w:rsidR="00B03921" w:rsidRPr="00AE209E" w:rsidTr="00A35FE2">
        <w:tc>
          <w:tcPr>
            <w:tcW w:w="5631" w:type="dxa"/>
            <w:tcBorders>
              <w:top w:val="nil"/>
              <w:left w:val="nil"/>
              <w:bottom w:val="nil"/>
              <w:right w:val="nil"/>
            </w:tcBorders>
          </w:tcPr>
          <w:p w:rsidR="00B03921" w:rsidRPr="00AE209E" w:rsidRDefault="00B03921" w:rsidP="00016914">
            <w:pPr>
              <w:pStyle w:val="Tabletext"/>
              <w:rPr>
                <w:rFonts w:eastAsiaTheme="minorEastAsia"/>
                <w:vertAlign w:val="superscript"/>
                <w:lang w:eastAsia="en-AU"/>
              </w:rPr>
            </w:pPr>
            <w:r w:rsidRPr="00AE209E">
              <w:rPr>
                <w:rFonts w:eastAsiaTheme="minorEastAsia"/>
                <w:lang w:eastAsia="en-AU"/>
              </w:rPr>
              <w:t>Net cash flows from investments in financial assets for policy purposes</w:t>
            </w:r>
            <w:r w:rsidRPr="00AE209E">
              <w:rPr>
                <w:rFonts w:eastAsiaTheme="minorEastAsia"/>
                <w:vertAlign w:val="superscript"/>
                <w:lang w:eastAsia="en-AU"/>
              </w:rPr>
              <w:t>(b)</w:t>
            </w:r>
          </w:p>
        </w:tc>
        <w:tc>
          <w:tcPr>
            <w:tcW w:w="1089" w:type="dxa"/>
            <w:tcBorders>
              <w:top w:val="nil"/>
              <w:left w:val="nil"/>
              <w:bottom w:val="nil"/>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(115.9)</w:t>
            </w:r>
          </w:p>
        </w:tc>
        <w:tc>
          <w:tcPr>
            <w:tcW w:w="1040" w:type="dxa"/>
            <w:tcBorders>
              <w:top w:val="nil"/>
              <w:left w:val="nil"/>
              <w:bottom w:val="nil"/>
              <w:right w:val="nil"/>
            </w:tcBorders>
          </w:tcPr>
          <w:p w:rsidR="00B03921" w:rsidRPr="00AE209E" w:rsidRDefault="00B03921" w:rsidP="00016914">
            <w:pPr>
              <w:pStyle w:val="TableofFigures"/>
              <w:rPr>
                <w:rFonts w:eastAsiaTheme="minorEastAsia" w:cs="Calibri"/>
                <w:color w:val="000000"/>
                <w:lang w:eastAsia="en-AU"/>
              </w:rPr>
            </w:pPr>
            <w:r w:rsidRPr="00AE209E">
              <w:rPr>
                <w:rFonts w:eastAsiaTheme="minorEastAsia"/>
                <w:lang w:eastAsia="en-AU"/>
              </w:rPr>
              <w:t>(53.1)</w:t>
            </w:r>
          </w:p>
        </w:tc>
      </w:tr>
      <w:tr w:rsidR="00B03921" w:rsidRPr="00AE209E" w:rsidTr="00A35FE2">
        <w:tc>
          <w:tcPr>
            <w:tcW w:w="5631" w:type="dxa"/>
            <w:tcBorders>
              <w:top w:val="nil"/>
              <w:left w:val="nil"/>
              <w:bottom w:val="nil"/>
              <w:right w:val="nil"/>
            </w:tcBorders>
          </w:tcPr>
          <w:p w:rsidR="00B03921" w:rsidRPr="00AE209E" w:rsidRDefault="00B03921" w:rsidP="00016914">
            <w:pPr>
              <w:pStyle w:val="Tabletext"/>
              <w:rPr>
                <w:rFonts w:eastAsiaTheme="minorEastAsia"/>
                <w:vertAlign w:val="superscript"/>
                <w:lang w:eastAsia="en-AU"/>
              </w:rPr>
            </w:pPr>
            <w:r w:rsidRPr="00AE209E">
              <w:rPr>
                <w:rFonts w:eastAsiaTheme="minorEastAsia"/>
                <w:lang w:eastAsia="en-AU"/>
              </w:rPr>
              <w:t>Memorandum items</w:t>
            </w:r>
            <w:r w:rsidRPr="00AE209E">
              <w:rPr>
                <w:rFonts w:eastAsiaTheme="minorEastAsia"/>
                <w:vertAlign w:val="superscript"/>
                <w:lang w:eastAsia="en-AU"/>
              </w:rPr>
              <w:t>(c)</w:t>
            </w:r>
          </w:p>
        </w:tc>
        <w:tc>
          <w:tcPr>
            <w:tcW w:w="1089" w:type="dxa"/>
            <w:tcBorders>
              <w:top w:val="nil"/>
              <w:left w:val="nil"/>
              <w:bottom w:val="nil"/>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 xml:space="preserve"> 401.3</w:t>
            </w:r>
          </w:p>
        </w:tc>
        <w:tc>
          <w:tcPr>
            <w:tcW w:w="1040" w:type="dxa"/>
            <w:tcBorders>
              <w:top w:val="nil"/>
              <w:left w:val="nil"/>
              <w:bottom w:val="nil"/>
              <w:right w:val="nil"/>
            </w:tcBorders>
            <w:shd w:val="solid" w:color="FFFFFF" w:fill="auto"/>
          </w:tcPr>
          <w:p w:rsidR="00B03921" w:rsidRPr="00AE209E" w:rsidRDefault="00B03921" w:rsidP="00016914">
            <w:pPr>
              <w:pStyle w:val="TableofFigures"/>
              <w:rPr>
                <w:rFonts w:eastAsiaTheme="minorEastAsia"/>
                <w:lang w:eastAsia="en-AU"/>
              </w:rPr>
            </w:pPr>
            <w:r w:rsidRPr="00AE209E">
              <w:rPr>
                <w:rFonts w:eastAsiaTheme="minorEastAsia"/>
                <w:lang w:eastAsia="en-AU"/>
              </w:rPr>
              <w:t xml:space="preserve"> 360.5</w:t>
            </w:r>
          </w:p>
        </w:tc>
      </w:tr>
      <w:tr w:rsidR="00B03921" w:rsidRPr="00AE209E" w:rsidTr="00A35FE2">
        <w:tc>
          <w:tcPr>
            <w:tcW w:w="5631" w:type="dxa"/>
            <w:tcBorders>
              <w:top w:val="single" w:sz="6" w:space="0" w:color="auto"/>
              <w:left w:val="nil"/>
              <w:bottom w:val="single" w:sz="6" w:space="0" w:color="auto"/>
              <w:right w:val="nil"/>
            </w:tcBorders>
          </w:tcPr>
          <w:p w:rsidR="00B03921" w:rsidRPr="00AE209E" w:rsidRDefault="00B03921" w:rsidP="00016914">
            <w:pPr>
              <w:pStyle w:val="Tabletext"/>
              <w:rPr>
                <w:rFonts w:eastAsiaTheme="minorEastAsia"/>
                <w:b/>
                <w:bCs/>
                <w:lang w:eastAsia="en-AU"/>
              </w:rPr>
            </w:pPr>
            <w:r w:rsidRPr="00AE209E">
              <w:rPr>
                <w:rFonts w:eastAsiaTheme="minorEastAsia"/>
                <w:b/>
                <w:bCs/>
                <w:lang w:eastAsia="en-AU"/>
              </w:rPr>
              <w:t>Loan Council Allocation</w:t>
            </w:r>
          </w:p>
        </w:tc>
        <w:tc>
          <w:tcPr>
            <w:tcW w:w="1089" w:type="dxa"/>
            <w:tcBorders>
              <w:top w:val="single" w:sz="6" w:space="0" w:color="auto"/>
              <w:left w:val="nil"/>
              <w:bottom w:val="single" w:sz="6" w:space="0" w:color="auto"/>
              <w:right w:val="nil"/>
            </w:tcBorders>
          </w:tcPr>
          <w:p w:rsidR="00B03921" w:rsidRPr="00AE209E" w:rsidRDefault="00B03921" w:rsidP="00016914">
            <w:pPr>
              <w:pStyle w:val="TableofFigures"/>
              <w:rPr>
                <w:rFonts w:eastAsiaTheme="minorEastAsia"/>
                <w:b/>
                <w:bCs/>
                <w:lang w:eastAsia="en-AU"/>
              </w:rPr>
            </w:pPr>
            <w:r w:rsidRPr="00AE209E">
              <w:rPr>
                <w:rFonts w:eastAsiaTheme="minorEastAsia"/>
                <w:b/>
                <w:bCs/>
                <w:lang w:eastAsia="en-AU"/>
              </w:rPr>
              <w:t>(4 267.1)</w:t>
            </w:r>
          </w:p>
        </w:tc>
        <w:tc>
          <w:tcPr>
            <w:tcW w:w="1040" w:type="dxa"/>
            <w:tcBorders>
              <w:top w:val="single" w:sz="6" w:space="0" w:color="auto"/>
              <w:left w:val="nil"/>
              <w:bottom w:val="single" w:sz="6" w:space="0" w:color="auto"/>
              <w:right w:val="nil"/>
            </w:tcBorders>
            <w:shd w:val="solid" w:color="FFFFFF" w:fill="auto"/>
          </w:tcPr>
          <w:p w:rsidR="00B03921" w:rsidRPr="00AE209E" w:rsidRDefault="00B03921" w:rsidP="00016914">
            <w:pPr>
              <w:pStyle w:val="TableofFigures"/>
              <w:rPr>
                <w:rFonts w:eastAsiaTheme="minorEastAsia" w:cs="Calibri"/>
                <w:b/>
                <w:bCs/>
                <w:color w:val="000000"/>
                <w:lang w:eastAsia="en-AU"/>
              </w:rPr>
            </w:pPr>
            <w:r w:rsidRPr="00AE209E">
              <w:rPr>
                <w:rFonts w:eastAsiaTheme="minorEastAsia"/>
                <w:b/>
                <w:bCs/>
                <w:lang w:eastAsia="en-AU"/>
              </w:rPr>
              <w:t xml:space="preserve">(3 </w:t>
            </w:r>
            <w:r w:rsidRPr="00AE209E">
              <w:rPr>
                <w:rFonts w:eastAsiaTheme="minorEastAsia" w:cs="Calibri"/>
                <w:b/>
                <w:bCs/>
                <w:color w:val="000000"/>
                <w:lang w:eastAsia="en-AU"/>
              </w:rPr>
              <w:t>917.0)</w:t>
            </w:r>
          </w:p>
        </w:tc>
      </w:tr>
      <w:tr w:rsidR="00B03921" w:rsidRPr="00AE209E" w:rsidTr="00A35FE2">
        <w:tc>
          <w:tcPr>
            <w:tcW w:w="5631" w:type="dxa"/>
            <w:tcBorders>
              <w:top w:val="single" w:sz="6" w:space="0" w:color="auto"/>
              <w:left w:val="nil"/>
              <w:bottom w:val="single" w:sz="12" w:space="0" w:color="000000"/>
              <w:right w:val="nil"/>
            </w:tcBorders>
          </w:tcPr>
          <w:p w:rsidR="00B03921" w:rsidRPr="00AE209E" w:rsidRDefault="00B03921" w:rsidP="00016914">
            <w:pPr>
              <w:pStyle w:val="Tabletext"/>
              <w:rPr>
                <w:rFonts w:eastAsiaTheme="minorEastAsia"/>
                <w:vertAlign w:val="superscript"/>
                <w:lang w:eastAsia="en-AU"/>
              </w:rPr>
            </w:pPr>
            <w:r w:rsidRPr="00AE209E">
              <w:rPr>
                <w:rFonts w:eastAsiaTheme="minorEastAsia"/>
                <w:lang w:eastAsia="en-AU"/>
              </w:rPr>
              <w:t>Tolerance limit</w:t>
            </w:r>
            <w:r w:rsidRPr="00AE209E">
              <w:rPr>
                <w:rFonts w:eastAsiaTheme="minorEastAsia"/>
                <w:vertAlign w:val="superscript"/>
                <w:lang w:eastAsia="en-AU"/>
              </w:rPr>
              <w:t>(d)</w:t>
            </w:r>
          </w:p>
        </w:tc>
        <w:tc>
          <w:tcPr>
            <w:tcW w:w="1089" w:type="dxa"/>
            <w:tcBorders>
              <w:top w:val="single" w:sz="6" w:space="0" w:color="auto"/>
              <w:left w:val="nil"/>
              <w:bottom w:val="single" w:sz="12" w:space="0" w:color="000000"/>
              <w:right w:val="nil"/>
            </w:tcBorders>
          </w:tcPr>
          <w:p w:rsidR="00B03921" w:rsidRPr="00AE209E" w:rsidRDefault="00B03921" w:rsidP="00016914">
            <w:pPr>
              <w:pStyle w:val="TableofFigures"/>
              <w:rPr>
                <w:rFonts w:eastAsiaTheme="minorEastAsia"/>
                <w:lang w:eastAsia="en-AU"/>
              </w:rPr>
            </w:pPr>
            <w:r w:rsidRPr="00AE209E">
              <w:rPr>
                <w:rFonts w:eastAsiaTheme="minorEastAsia"/>
                <w:lang w:eastAsia="en-AU"/>
              </w:rPr>
              <w:t>1 177.5</w:t>
            </w:r>
          </w:p>
        </w:tc>
        <w:tc>
          <w:tcPr>
            <w:tcW w:w="1040" w:type="dxa"/>
            <w:tcBorders>
              <w:top w:val="single" w:sz="6" w:space="0" w:color="auto"/>
              <w:left w:val="nil"/>
              <w:bottom w:val="single" w:sz="12" w:space="0" w:color="000000"/>
              <w:right w:val="nil"/>
            </w:tcBorders>
            <w:shd w:val="solid" w:color="FFFFFF" w:fill="auto"/>
          </w:tcPr>
          <w:p w:rsidR="00B03921" w:rsidRPr="00AE209E" w:rsidRDefault="00B03921" w:rsidP="00016914">
            <w:pPr>
              <w:pStyle w:val="TableofFigures"/>
              <w:rPr>
                <w:rFonts w:eastAsiaTheme="minorEastAsia"/>
                <w:lang w:eastAsia="en-AU"/>
              </w:rPr>
            </w:pPr>
            <w:r w:rsidRPr="00AE209E">
              <w:rPr>
                <w:rFonts w:eastAsiaTheme="minorEastAsia"/>
                <w:lang w:eastAsia="en-AU"/>
              </w:rPr>
              <w:t>1 189.6</w:t>
            </w:r>
          </w:p>
        </w:tc>
      </w:tr>
    </w:tbl>
    <w:p w:rsidR="00B03921" w:rsidRDefault="00B03921" w:rsidP="00016914">
      <w:pPr>
        <w:pStyle w:val="Notes"/>
      </w:pPr>
      <w:r>
        <w:t>Notes:</w:t>
      </w:r>
    </w:p>
    <w:p w:rsidR="00B03921" w:rsidRDefault="00B03921" w:rsidP="00016914">
      <w:pPr>
        <w:pStyle w:val="Notes"/>
      </w:pPr>
      <w:r>
        <w:t xml:space="preserve">(a) </w:t>
      </w:r>
      <w:r>
        <w:tab/>
        <w:t>The sum of the deficit of the general government and public non</w:t>
      </w:r>
      <w:r>
        <w:noBreakHyphen/>
        <w:t>financial corporation sector does not directly equal the non</w:t>
      </w:r>
      <w:r>
        <w:noBreakHyphen/>
        <w:t>financial public sector cash deficit due to inter</w:t>
      </w:r>
      <w:r>
        <w:noBreakHyphen/>
        <w:t>sectoral transfers, which are netted out in the calculation of the non</w:t>
      </w:r>
      <w:r>
        <w:noBreakHyphen/>
        <w:t>financial public sector figure. The non</w:t>
      </w:r>
      <w:r>
        <w:noBreakHyphen/>
        <w:t>financial public sector cash deficit excludes finance lease acquisitions.</w:t>
      </w:r>
    </w:p>
    <w:p w:rsidR="00B03921" w:rsidRDefault="00B03921" w:rsidP="00016914">
      <w:pPr>
        <w:pStyle w:val="Notes"/>
      </w:pPr>
      <w:r>
        <w:t xml:space="preserve">(b) </w:t>
      </w:r>
      <w:r>
        <w:tab/>
        <w:t>The ABS GFS cash deficit is adjusted to include in the LCA the impact of net cash flows from investments in financial assets for policy purposes.</w:t>
      </w:r>
    </w:p>
    <w:p w:rsidR="00B03921" w:rsidRDefault="00B03921" w:rsidP="00016914">
      <w:pPr>
        <w:pStyle w:val="Notes"/>
      </w:pPr>
      <w:r>
        <w:t xml:space="preserve">(c) </w:t>
      </w:r>
      <w:r>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w:t>
      </w:r>
      <w:r w:rsidR="00BA5A16">
        <w:t>’</w:t>
      </w:r>
      <w:r>
        <w:t xml:space="preserve"> emerging costs under public sector superannuation schemes, or borrowings by entities such as statutory marketing authorities).</w:t>
      </w:r>
    </w:p>
    <w:p w:rsidR="00B03921" w:rsidRDefault="00B03921" w:rsidP="00016914">
      <w:pPr>
        <w:pStyle w:val="Notes"/>
      </w:pPr>
      <w:r>
        <w:t xml:space="preserve">(d) </w:t>
      </w:r>
      <w:r>
        <w:tab/>
        <w:t>A tolerance limit equal to 2 per cent of total non</w:t>
      </w:r>
      <w:r>
        <w:noBreakHyphen/>
        <w:t>financial public sector cash receipt from operating activities applies to the movement between a jurisdiction</w:t>
      </w:r>
      <w:r w:rsidR="00BA5A16">
        <w:t>’</w:t>
      </w:r>
      <w:r>
        <w:t xml:space="preserve">s LCA nomination and LCA budget estimate (calculated using estimates in the </w:t>
      </w:r>
      <w:r w:rsidRPr="004121EF">
        <w:rPr>
          <w:i w:val="0"/>
        </w:rPr>
        <w:t>2014</w:t>
      </w:r>
      <w:r>
        <w:rPr>
          <w:i w:val="0"/>
        </w:rPr>
        <w:noBreakHyphen/>
      </w:r>
      <w:r w:rsidRPr="004121EF">
        <w:rPr>
          <w:i w:val="0"/>
        </w:rPr>
        <w:t>15 Budget Update</w:t>
      </w:r>
      <w:r>
        <w:t xml:space="preserve">), and again between the LCA budget estimate and LCA outcome (calculated using estimates in the </w:t>
      </w:r>
      <w:r w:rsidRPr="004121EF">
        <w:rPr>
          <w:i w:val="0"/>
        </w:rPr>
        <w:t>2015</w:t>
      </w:r>
      <w:r>
        <w:rPr>
          <w:i w:val="0"/>
        </w:rPr>
        <w:noBreakHyphen/>
      </w:r>
      <w:r w:rsidRPr="004121EF">
        <w:rPr>
          <w:i w:val="0"/>
        </w:rPr>
        <w:t>16 Budget</w:t>
      </w:r>
      <w:r>
        <w:t>). The tolerance limit applying to the movement between Victoria</w:t>
      </w:r>
      <w:r w:rsidR="00BA5A16">
        <w:t>’</w:t>
      </w:r>
      <w:r>
        <w:t>s 2015</w:t>
      </w:r>
      <w:r>
        <w:noBreakHyphen/>
        <w:t>16 LCA nomination and its LCA budget estimate is $1 177.5 million (2 per cent of $58 877.4 million). The tolerance limit applying to the movement between Victoria</w:t>
      </w:r>
      <w:r w:rsidR="00BA5A16">
        <w:t>’</w:t>
      </w:r>
      <w:r>
        <w:t>s 2015</w:t>
      </w:r>
      <w:r>
        <w:noBreakHyphen/>
        <w:t xml:space="preserve">16 LCA budget estimate and LCA outcome is </w:t>
      </w:r>
      <w:r w:rsidRPr="004E2B5F">
        <w:t xml:space="preserve">$1 </w:t>
      </w:r>
      <w:r>
        <w:t>189.6 million (2 per cent of $59 482 million</w:t>
      </w:r>
      <w:r w:rsidRPr="004E2B5F">
        <w:t>).</w:t>
      </w:r>
    </w:p>
    <w:p w:rsidR="00B03921" w:rsidRDefault="00B03921" w:rsidP="00016914">
      <w:pPr>
        <w:pStyle w:val="BodyText"/>
      </w:pPr>
    </w:p>
    <w:p w:rsidR="00B03921" w:rsidRDefault="00B03921">
      <w:pPr>
        <w:spacing w:after="0"/>
      </w:pPr>
      <w:r>
        <w:br w:type="page"/>
      </w:r>
    </w:p>
    <w:p w:rsidR="00B03921" w:rsidRDefault="00B03921" w:rsidP="00016914">
      <w:pPr>
        <w:pStyle w:val="BodyText"/>
      </w:pPr>
      <w:r>
        <w:t>As part of the Loan Council arrangements, the Council has agreed that if at any time a state or territory finds that it is likely to exceed its tolerance limit, in either direction, it is required to provide an explanation to the Council and, in line with the emphasis of increased transparency, to make the explanation public. Victoria</w:t>
      </w:r>
      <w:r w:rsidR="00BA5A16">
        <w:t>’</w:t>
      </w:r>
      <w:r>
        <w:t>s 2015</w:t>
      </w:r>
      <w:r>
        <w:noBreakHyphen/>
        <w:t>16 LCA budget estimate (</w:t>
      </w:r>
      <w:r w:rsidRPr="00D352A5">
        <w:t>a surplus of $</w:t>
      </w:r>
      <w:r>
        <w:t>1.2 billion</w:t>
      </w:r>
      <w:r w:rsidRPr="00D352A5">
        <w:t>)</w:t>
      </w:r>
      <w:r>
        <w:t xml:space="preserve"> did not exceed the tolerance limit established under the LCA nomination process.</w:t>
      </w:r>
    </w:p>
    <w:p w:rsidR="00B03921" w:rsidRDefault="00B03921" w:rsidP="00016914">
      <w:pPr>
        <w:spacing w:after="0"/>
      </w:pPr>
      <w:r>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w:t>
      </w:r>
      <w:r w:rsidR="00BA5A16">
        <w:t>’</w:t>
      </w:r>
      <w:r>
        <w:t>s termination liabilities in a case of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w:t>
      </w:r>
    </w:p>
    <w:p w:rsidR="00B03921" w:rsidRDefault="00B03921" w:rsidP="00016914">
      <w:pPr>
        <w:pStyle w:val="BodyText"/>
      </w:pPr>
      <w:r>
        <w:t>Listed below are details of the public private partnership projects that are expected to be contracted in the 2015</w:t>
      </w:r>
      <w:r>
        <w:noBreakHyphen/>
        <w:t xml:space="preserve">16 financial year. </w:t>
      </w:r>
    </w:p>
    <w:p w:rsidR="00B03921" w:rsidRDefault="00B03921" w:rsidP="00016914">
      <w:pPr>
        <w:pStyle w:val="Heading2"/>
      </w:pPr>
      <w:r>
        <w:t>New Schools PPP</w:t>
      </w:r>
    </w:p>
    <w:p w:rsidR="00B03921" w:rsidRPr="0006366A" w:rsidRDefault="00B03921" w:rsidP="00016914">
      <w:pPr>
        <w:jc w:val="both"/>
      </w:pPr>
      <w:r w:rsidRPr="0006366A">
        <w:t xml:space="preserve">The New Schools PPP project will deliver 15 new schools in growth communities as a public private partnership under the Partnerships Victoria framework. </w:t>
      </w:r>
    </w:p>
    <w:p w:rsidR="00B03921" w:rsidRPr="0006366A" w:rsidRDefault="00B03921" w:rsidP="00016914">
      <w:pPr>
        <w:jc w:val="both"/>
      </w:pPr>
      <w:r w:rsidRPr="0006366A">
        <w:t xml:space="preserve">The tender process commenced in October 2014 with the release of </w:t>
      </w:r>
      <w:r>
        <w:t xml:space="preserve">a request for </w:t>
      </w:r>
      <w:r w:rsidRPr="0006366A">
        <w:t xml:space="preserve">Expressions of Interest, and the contract is expected to be executed in late 2015. The successful tenderer will design, build, finance and maintain the schools for a term of 25 years, with the State retaining responsibility for delivering educational services. </w:t>
      </w:r>
    </w:p>
    <w:p w:rsidR="00B03921" w:rsidRPr="0006366A" w:rsidRDefault="00B03921" w:rsidP="00016914">
      <w:pPr>
        <w:jc w:val="both"/>
      </w:pPr>
      <w:r w:rsidRPr="0006366A">
        <w:t>The new schools are expected to be operational in 2017 and 2018. Once the schools commence operations, the State will begin quarterly payments to the private consortium, the value of which will depend on the attainment of key performance indicators related to ongoing service provision.</w:t>
      </w:r>
      <w:r>
        <w:t xml:space="preserve"> </w:t>
      </w:r>
    </w:p>
    <w:p w:rsidR="00B03921" w:rsidRDefault="00B03921" w:rsidP="00016914">
      <w:pPr>
        <w:pStyle w:val="Heading2"/>
      </w:pPr>
      <w:r>
        <w:t xml:space="preserve">CityLink–Tulla widening </w:t>
      </w:r>
    </w:p>
    <w:p w:rsidR="00B03921" w:rsidRPr="00992143" w:rsidRDefault="00B03921" w:rsidP="00016914">
      <w:pPr>
        <w:pStyle w:val="BodyText"/>
      </w:pPr>
      <w:r w:rsidRPr="00992143">
        <w:t xml:space="preserve">The CityLink–Tulla </w:t>
      </w:r>
      <w:r>
        <w:t>w</w:t>
      </w:r>
      <w:r w:rsidRPr="00992143">
        <w:t>idening project will widen the Western Link section of CityLink (from the West Gate Freeway</w:t>
      </w:r>
      <w:r>
        <w:t xml:space="preserve"> – </w:t>
      </w:r>
      <w:r w:rsidRPr="00992143">
        <w:t xml:space="preserve">Burnley Tunnel to Bulla Road) and Tullamarine Freeway (from Bulla Road to the Melbourne Airport), and introduce a Freeway Management System along this corridor. </w:t>
      </w:r>
    </w:p>
    <w:p w:rsidR="00B03921" w:rsidRPr="00992143" w:rsidRDefault="00B03921" w:rsidP="00016914">
      <w:pPr>
        <w:pStyle w:val="BodyText"/>
      </w:pPr>
      <w:r>
        <w:t>The CityLink–Tulla w</w:t>
      </w:r>
      <w:r w:rsidRPr="00992143">
        <w:t>idening is a combination of a Market</w:t>
      </w:r>
      <w:r>
        <w:noBreakHyphen/>
      </w:r>
      <w:r w:rsidRPr="00992143">
        <w:t>Led Proposal from Transurban, the owner and operator of the CityLink toll road concesion, and State and Commonwealth Governments contributions to upgrade the Tullamarine Freeway. Transurban is to deliver works on CityLink under a public private partnership (PPP) arrangement where Transurban is responsible for the design, construction, funding, financing, maintenance and operation of the road until the end of the concession. The State is</w:t>
      </w:r>
      <w:r>
        <w:t xml:space="preserve"> also</w:t>
      </w:r>
      <w:r w:rsidRPr="00992143">
        <w:t xml:space="preserve"> to deliver</w:t>
      </w:r>
      <w:r>
        <w:t xml:space="preserve"> certain</w:t>
      </w:r>
      <w:r w:rsidRPr="00992143">
        <w:t xml:space="preserve"> works on the Tullamarine Freeway.</w:t>
      </w:r>
    </w:p>
    <w:p w:rsidR="00B03921" w:rsidRDefault="00B03921">
      <w:pPr>
        <w:spacing w:after="0"/>
      </w:pPr>
      <w:r>
        <w:br w:type="page"/>
      </w:r>
    </w:p>
    <w:p w:rsidR="00B03921" w:rsidRPr="00992143" w:rsidRDefault="00B03921" w:rsidP="00016914">
      <w:pPr>
        <w:pStyle w:val="BodyText"/>
      </w:pPr>
      <w:r w:rsidRPr="00992143">
        <w:t>Under the PPP arrangement, Transurban will pay for costs associated with the project through CityLink tolls, namely an expected uplift in traffic and toll revenue post construction, an extension of the CityLink concession by one year, toll prices remaining escalated at an annual rate of 4.5 per cent for an additional year after 2015 and truck tolls increasing to become consistent with national pricing for trucks on other m</w:t>
      </w:r>
      <w:r>
        <w:t>otorway networks. These</w:t>
      </w:r>
      <w:r w:rsidRPr="00992143">
        <w:t xml:space="preserve"> CityLink funding sources are also contributing to fund the costs of the State works for the project.</w:t>
      </w:r>
    </w:p>
    <w:p w:rsidR="00B03921" w:rsidRPr="00992143" w:rsidRDefault="00B03921" w:rsidP="00016914">
      <w:pPr>
        <w:pStyle w:val="BodyText"/>
      </w:pPr>
      <w:r w:rsidRPr="00992143">
        <w:t>In addition to the funding sourced from CityLink tolls, the State and Commonwealth Governments are also providing $272.8 million of funding to the State works.</w:t>
      </w:r>
    </w:p>
    <w:p w:rsidR="00B03921" w:rsidRPr="00992143" w:rsidRDefault="00B03921" w:rsidP="00016914">
      <w:pPr>
        <w:pStyle w:val="BodyText"/>
      </w:pPr>
      <w:r w:rsidRPr="00992143">
        <w:t>The total estimated capital cost of the project is $1.28</w:t>
      </w:r>
      <w:r>
        <w:t> </w:t>
      </w:r>
      <w:r w:rsidRPr="00992143">
        <w:t>billion, with the State works on the Tullamarine Freeway estimated to cost $415</w:t>
      </w:r>
      <w:r>
        <w:t> </w:t>
      </w:r>
      <w:r w:rsidRPr="00992143">
        <w:t xml:space="preserve">million and Transurban works on CityLink estimated to cost $867 million.  </w:t>
      </w:r>
    </w:p>
    <w:p w:rsidR="00B03921" w:rsidRDefault="00B03921" w:rsidP="00016914">
      <w:pPr>
        <w:pStyle w:val="BodyText"/>
      </w:pPr>
      <w:r w:rsidRPr="00992143">
        <w:t>Design and preliminary development works will commence immediately, with construction on site expected</w:t>
      </w:r>
      <w:r>
        <w:t xml:space="preserve"> progressively by October 2015.</w:t>
      </w:r>
      <w:r w:rsidRPr="00992143">
        <w:t xml:space="preserve"> The project is expected to be completed by 2018.</w:t>
      </w:r>
    </w:p>
    <w:p w:rsidR="00B03921" w:rsidRDefault="00B03921" w:rsidP="00016914">
      <w:pPr>
        <w:pStyle w:val="BodyText"/>
      </w:pPr>
      <w:r w:rsidRPr="00531503">
        <w:t xml:space="preserve">There are no other </w:t>
      </w:r>
      <w:r w:rsidRPr="00992143">
        <w:t>Partnership Victoria</w:t>
      </w:r>
      <w:r w:rsidRPr="00531503">
        <w:t xml:space="preserve"> contracts greater than $</w:t>
      </w:r>
      <w:r>
        <w:t>5 million</w:t>
      </w:r>
      <w:r w:rsidRPr="00531503">
        <w:t xml:space="preserve"> that are currently expected to be signed during the 2015</w:t>
      </w:r>
      <w:r>
        <w:noBreakHyphen/>
      </w:r>
      <w:r w:rsidRPr="00531503">
        <w:t>16 financial year.</w:t>
      </w:r>
    </w:p>
    <w:p w:rsidR="00B03921" w:rsidRDefault="00B03921" w:rsidP="00016914">
      <w:pPr>
        <w:pStyle w:val="BodyText"/>
      </w:pPr>
    </w:p>
    <w:p w:rsidR="00B03921" w:rsidRDefault="00B03921" w:rsidP="00016914">
      <w:pPr>
        <w:pStyle w:val="BodyText"/>
      </w:pPr>
    </w:p>
    <w:p w:rsidR="00B03921" w:rsidRDefault="00B03921" w:rsidP="00016914">
      <w:pPr>
        <w:pStyle w:val="BodyText"/>
        <w:sectPr w:rsidR="00B03921" w:rsidSect="00016914">
          <w:footerReference w:type="even" r:id="rId25"/>
          <w:footerReference w:type="default" r:id="rId26"/>
          <w:type w:val="oddPage"/>
          <w:pgSz w:w="9979" w:h="14175" w:code="34"/>
          <w:pgMar w:top="1140" w:right="1140" w:bottom="1140" w:left="1140" w:header="720" w:footer="431" w:gutter="0"/>
          <w:cols w:space="708"/>
          <w:docGrid w:linePitch="360"/>
        </w:sectPr>
      </w:pPr>
    </w:p>
    <w:p w:rsidR="00B03921" w:rsidRDefault="00B03921" w:rsidP="00876B63"/>
    <w:p w:rsidR="00B03921" w:rsidRDefault="00B03921" w:rsidP="00D22EC9">
      <w:pPr>
        <w:sectPr w:rsidR="00B03921" w:rsidSect="00557C0E">
          <w:footerReference w:type="even" r:id="rId27"/>
          <w:footerReference w:type="default" r:id="rId28"/>
          <w:type w:val="continuous"/>
          <w:pgSz w:w="9979" w:h="14181" w:code="138"/>
          <w:pgMar w:top="1138" w:right="1138" w:bottom="1138" w:left="1138" w:header="720" w:footer="432" w:gutter="0"/>
          <w:cols w:space="708"/>
          <w:docGrid w:linePitch="360"/>
        </w:sectPr>
      </w:pPr>
    </w:p>
    <w:p w:rsidR="00B03921" w:rsidRPr="002308EF" w:rsidRDefault="00B03921" w:rsidP="00016914">
      <w:pPr>
        <w:pStyle w:val="ChapterHeading"/>
      </w:pPr>
      <w:bookmarkStart w:id="116" w:name="_Toc418274756"/>
      <w:r w:rsidRPr="002308EF">
        <w:t>Chapter 3 –</w:t>
      </w:r>
      <w:r>
        <w:t xml:space="preserve"> </w:t>
      </w:r>
      <w:r w:rsidRPr="002308EF">
        <w:t>Departmental financial statements</w:t>
      </w:r>
      <w:bookmarkEnd w:id="116"/>
    </w:p>
    <w:p w:rsidR="00B03921" w:rsidRDefault="00B03921" w:rsidP="00016914">
      <w:r>
        <w:t xml:space="preserve">This chapter should be read in conjunction with Budget Paper No. 3 </w:t>
      </w:r>
      <w:r>
        <w:rPr>
          <w:i/>
        </w:rPr>
        <w:t>Service Delivery</w:t>
      </w:r>
      <w:r>
        <w:t xml:space="preserve"> which provides an overview of the goods and services to be funded by the Government and delivered by departments in the coming financial year.</w:t>
      </w:r>
    </w:p>
    <w:p w:rsidR="00B03921" w:rsidRDefault="00B03921" w:rsidP="00016914">
      <w:r>
        <w:t>The following tables help to outline each department</w:t>
      </w:r>
      <w:r w:rsidR="00BA5A16">
        <w:t>’</w:t>
      </w:r>
      <w:r>
        <w:t>s forecast financial performance:</w:t>
      </w:r>
    </w:p>
    <w:p w:rsidR="00B03921" w:rsidRDefault="00B03921" w:rsidP="00016914">
      <w:pPr>
        <w:pStyle w:val="BulletText"/>
      </w:pPr>
      <w:r>
        <w:t>the comprehensive operating statement provides details of the department</w:t>
      </w:r>
      <w:r w:rsidR="00BA5A16">
        <w:t>’</w:t>
      </w:r>
      <w:r>
        <w:t>s revenue and expenses on an accrual basis reflecting the cost of providing its outputs;</w:t>
      </w:r>
    </w:p>
    <w:p w:rsidR="00B03921" w:rsidRDefault="00B03921" w:rsidP="00016914">
      <w:pPr>
        <w:pStyle w:val="BulletText"/>
      </w:pPr>
      <w:r>
        <w:t>the balance sheet shows all controlled assets and liabilities of the department. The difference between these represents the net asset position, which is an indicator of the State</w:t>
      </w:r>
      <w:r w:rsidR="00BA5A16">
        <w:t>’</w:t>
      </w:r>
      <w:r>
        <w:t>s equity interest in the department;</w:t>
      </w:r>
    </w:p>
    <w:p w:rsidR="00B03921" w:rsidRDefault="00B03921" w:rsidP="00016914">
      <w:pPr>
        <w:pStyle w:val="BulletText"/>
      </w:pPr>
      <w:r>
        <w:t>the cash flow statement shows cash receipts and payments, including the cash impact of operating, financing and investing activities on departmental resources;</w:t>
      </w:r>
    </w:p>
    <w:p w:rsidR="00B03921" w:rsidRDefault="00B03921" w:rsidP="00016914">
      <w:pPr>
        <w:pStyle w:val="BulletText"/>
      </w:pPr>
      <w:r>
        <w:t xml:space="preserve">the statement of changes in equity shows the impact of the net result and other comprehensive income items, such as the revaluation of non-financial assets, and owner contributions, on the total equity of the department; </w:t>
      </w:r>
    </w:p>
    <w:p w:rsidR="00B03921" w:rsidRDefault="00B03921" w:rsidP="00016914">
      <w:pPr>
        <w:pStyle w:val="BulletText"/>
      </w:pPr>
      <w:r>
        <w:t>the administered items statement provides details of the department</w:t>
      </w:r>
      <w:r w:rsidR="00BA5A16">
        <w:t>’</w:t>
      </w:r>
      <w:r>
        <w:t>s administered revenue and expenses, and its administered assets and liabilities. By their nature, most administered expenses are paid in cash in the year in which the item is recognised. Therefore, an administered departmental cash flow statement is not provided; and</w:t>
      </w:r>
    </w:p>
    <w:p w:rsidR="00B03921" w:rsidRDefault="00B03921" w:rsidP="00016914">
      <w:pPr>
        <w:pStyle w:val="BulletText"/>
      </w:pPr>
      <w:r>
        <w:t>payments on behalf of the State (where applicable) provides details of payments made by the department on behalf of the State Government, not directly reflecting the operations of the department.</w:t>
      </w:r>
    </w:p>
    <w:p w:rsidR="00B03921" w:rsidRPr="00F41CA6" w:rsidRDefault="00B03921" w:rsidP="00016914">
      <w:r w:rsidRPr="00F41CA6">
        <w:t>It should be noted that machinery of government changes have been reflected in the departmental financial statements effective from 1 January 2015.</w:t>
      </w:r>
    </w:p>
    <w:p w:rsidR="00B03921" w:rsidRDefault="00B03921" w:rsidP="00016914">
      <w:r>
        <w:t xml:space="preserve">In all tables, figures for </w:t>
      </w:r>
      <w:r w:rsidRPr="00F41CA6">
        <w:t>2013-14 ac</w:t>
      </w:r>
      <w:r>
        <w:t>tual and 2014-15 budget reflect</w:t>
      </w:r>
      <w:r w:rsidRPr="00F41CA6">
        <w:t xml:space="preserve"> the operations of departments as they existed prior to machinery of government changes </w:t>
      </w:r>
      <w:r>
        <w:t>effective from 1 </w:t>
      </w:r>
      <w:r w:rsidRPr="00F41CA6">
        <w:t>January 2015.</w:t>
      </w:r>
    </w:p>
    <w:p w:rsidR="00B03921" w:rsidRDefault="00B03921" w:rsidP="00016914"/>
    <w:p w:rsidR="00B03921" w:rsidRDefault="00B03921" w:rsidP="00016914"/>
    <w:p w:rsidR="00B03921" w:rsidRDefault="00B03921" w:rsidP="00016914">
      <w:pPr>
        <w:sectPr w:rsidR="00B03921" w:rsidSect="00016914">
          <w:footerReference w:type="even" r:id="rId29"/>
          <w:footerReference w:type="default" r:id="rId30"/>
          <w:type w:val="oddPage"/>
          <w:pgSz w:w="9979" w:h="14181" w:code="34"/>
          <w:pgMar w:top="1140" w:right="1140" w:bottom="1140" w:left="1140" w:header="720" w:footer="431" w:gutter="0"/>
          <w:cols w:space="708"/>
          <w:docGrid w:linePitch="360"/>
        </w:sectPr>
      </w:pPr>
    </w:p>
    <w:p w:rsidR="00B03921" w:rsidRPr="00BF295F" w:rsidRDefault="00B03921" w:rsidP="00016914">
      <w:pPr>
        <w:pStyle w:val="Heading1"/>
      </w:pPr>
      <w:bookmarkStart w:id="117" w:name="_Toc418274757"/>
      <w:r w:rsidRPr="00BF295F">
        <w:t>Department of Economic Development, Jobs, Transport and Resources</w:t>
      </w:r>
      <w:bookmarkEnd w:id="117"/>
    </w:p>
    <w:p w:rsidR="00B03921" w:rsidRDefault="00B03921" w:rsidP="00016914">
      <w:pPr>
        <w:pStyle w:val="Heading2"/>
      </w:pPr>
      <w:r>
        <w:t>Operating performance</w:t>
      </w:r>
    </w:p>
    <w:p w:rsidR="00B03921" w:rsidRDefault="00B03921" w:rsidP="00016914">
      <w:r>
        <w:t>The Department of Economic Development, Jobs, Transport and Resources is expected to report a net result from transactions of $244.2 million for the 2015</w:t>
      </w:r>
      <w:r>
        <w:noBreakHyphen/>
        <w:t>16 budget. This is largely the result of Commonwealth and other funding for road projects being recognised as appropriation income but applied for asset investment (capital) purposes.</w:t>
      </w:r>
    </w:p>
    <w:p w:rsidR="00B03921" w:rsidRDefault="00B03921" w:rsidP="00016914">
      <w:r>
        <w:t xml:space="preserve">Total budgeted income and expenses for 2015-16 also includes funding for initiatives announced in the </w:t>
      </w:r>
      <w:r w:rsidRPr="00D0631A">
        <w:rPr>
          <w:i/>
        </w:rPr>
        <w:t>2015-16 Budget</w:t>
      </w:r>
      <w:r>
        <w:rPr>
          <w:i/>
        </w:rPr>
        <w:t>,</w:t>
      </w:r>
      <w:r>
        <w:t xml:space="preserve"> including:</w:t>
      </w:r>
    </w:p>
    <w:p w:rsidR="00B03921" w:rsidRPr="00D0631A" w:rsidRDefault="00B03921" w:rsidP="00016914">
      <w:pPr>
        <w:pStyle w:val="BulletText"/>
      </w:pPr>
      <w:r>
        <w:t>Premier</w:t>
      </w:r>
      <w:r w:rsidR="00BA5A16">
        <w:t>’</w:t>
      </w:r>
      <w:r>
        <w:t xml:space="preserve">s Jobs and Investment Fund (including the </w:t>
      </w:r>
      <w:r w:rsidR="00BA5A16">
        <w:t>‘</w:t>
      </w:r>
      <w:r>
        <w:t>start-up</w:t>
      </w:r>
      <w:r w:rsidR="00BA5A16">
        <w:t>’</w:t>
      </w:r>
      <w:r>
        <w:t xml:space="preserve"> initiative)</w:t>
      </w:r>
      <w:r w:rsidRPr="00D0631A">
        <w:t>;</w:t>
      </w:r>
    </w:p>
    <w:p w:rsidR="00B03921" w:rsidRPr="00D0631A" w:rsidRDefault="00B03921" w:rsidP="00016914">
      <w:pPr>
        <w:pStyle w:val="BulletText"/>
      </w:pPr>
      <w:r>
        <w:t>Regional Jobs and Infrastructure F</w:t>
      </w:r>
      <w:r w:rsidRPr="00D0631A">
        <w:t>und;</w:t>
      </w:r>
    </w:p>
    <w:p w:rsidR="00B03921" w:rsidRDefault="00B03921" w:rsidP="00016914">
      <w:pPr>
        <w:pStyle w:val="BulletText"/>
      </w:pPr>
      <w:r>
        <w:t>Future Industries Fund; and</w:t>
      </w:r>
    </w:p>
    <w:p w:rsidR="00B03921" w:rsidRDefault="00B03921" w:rsidP="00016914">
      <w:pPr>
        <w:pStyle w:val="BulletText"/>
      </w:pPr>
      <w:r>
        <w:t>Bus Package.</w:t>
      </w:r>
    </w:p>
    <w:p w:rsidR="00B03921" w:rsidRDefault="00B03921" w:rsidP="00016914">
      <w:pPr>
        <w:pStyle w:val="Heading2"/>
      </w:pPr>
      <w:r>
        <w:t>Balance sheet</w:t>
      </w:r>
    </w:p>
    <w:p w:rsidR="00B03921" w:rsidRDefault="00B03921" w:rsidP="00016914">
      <w:r>
        <w:t>The Department</w:t>
      </w:r>
      <w:r w:rsidR="00BA5A16">
        <w:t>’</w:t>
      </w:r>
      <w:r>
        <w:t>s net asset position is estimated to increase by $837.3 million in 2015-16 compared to the 2014-15 revised budget. This comprises an estimated increase in total assets of $817.3 million and an estimated decrease in total liabilities of $20 million.</w:t>
      </w:r>
    </w:p>
    <w:p w:rsidR="00B03921" w:rsidRDefault="00B03921" w:rsidP="00016914">
      <w:r>
        <w:t>Major movements in total assets include the construction of new roads and public transport infrastructure, as highlighted below.</w:t>
      </w:r>
    </w:p>
    <w:p w:rsidR="00B03921" w:rsidRDefault="00B03921" w:rsidP="00016914">
      <w:pPr>
        <w:pStyle w:val="Heading2"/>
      </w:pPr>
      <w:r>
        <w:t>Investing and financing</w:t>
      </w:r>
    </w:p>
    <w:p w:rsidR="00B03921" w:rsidRDefault="00B03921" w:rsidP="00016914">
      <w:r>
        <w:t xml:space="preserve">Cash flows from operating activities are consistent with the trends discussed above. </w:t>
      </w:r>
    </w:p>
    <w:p w:rsidR="00B03921" w:rsidRDefault="00B03921" w:rsidP="00016914">
      <w:r>
        <w:t xml:space="preserve">The expected investments in property, plant and equipment in 2015-16 reflect cash flows for existing road, public transport and related asset projects and new initiatives announced in the </w:t>
      </w:r>
      <w:r w:rsidRPr="00A25614">
        <w:rPr>
          <w:i/>
        </w:rPr>
        <w:t>2015-16 Budget</w:t>
      </w:r>
      <w:r>
        <w:t>, including:</w:t>
      </w:r>
    </w:p>
    <w:p w:rsidR="00B03921" w:rsidRDefault="00B03921" w:rsidP="00016914">
      <w:pPr>
        <w:pStyle w:val="BulletText"/>
      </w:pPr>
      <w:r>
        <w:t>Melbourne Metro Rail Project;</w:t>
      </w:r>
    </w:p>
    <w:p w:rsidR="00B03921" w:rsidRDefault="00B03921" w:rsidP="00016914">
      <w:pPr>
        <w:pStyle w:val="BulletText"/>
      </w:pPr>
      <w:r>
        <w:t>New E-Class trams;</w:t>
      </w:r>
    </w:p>
    <w:p w:rsidR="00B03921" w:rsidRDefault="00B03921" w:rsidP="00016914">
      <w:pPr>
        <w:pStyle w:val="BulletText"/>
      </w:pPr>
      <w:r>
        <w:t>X</w:t>
      </w:r>
      <w:r w:rsidR="00BA5A16">
        <w:t>’</w:t>
      </w:r>
      <w:r>
        <w:t>Trapolis trains – five six-car sets;</w:t>
      </w:r>
    </w:p>
    <w:p w:rsidR="00B03921" w:rsidRDefault="00B03921" w:rsidP="00016914">
      <w:pPr>
        <w:pStyle w:val="BulletText"/>
      </w:pPr>
      <w:r>
        <w:t>Life extension for Comeng trains;</w:t>
      </w:r>
    </w:p>
    <w:p w:rsidR="00B03921" w:rsidRDefault="00B03921" w:rsidP="00016914">
      <w:pPr>
        <w:pStyle w:val="BulletText"/>
      </w:pPr>
      <w:r>
        <w:t>Bridge strengthening for freight efficiency; and</w:t>
      </w:r>
    </w:p>
    <w:p w:rsidR="00B03921" w:rsidRDefault="00B03921" w:rsidP="00016914">
      <w:pPr>
        <w:pStyle w:val="BulletText"/>
      </w:pPr>
      <w:r>
        <w:t>M80 Upgrade – EJ Whitten Bridge to Sunshine Avenue.</w:t>
      </w:r>
    </w:p>
    <w:p w:rsidR="00B03921" w:rsidRDefault="00B03921">
      <w:pPr>
        <w:spacing w:after="0"/>
        <w:rPr>
          <w:rFonts w:ascii="Calibri" w:hAnsi="Calibri"/>
          <w:b/>
          <w:sz w:val="26"/>
          <w:szCs w:val="22"/>
        </w:rPr>
      </w:pPr>
      <w:r>
        <w:br w:type="page"/>
      </w:r>
    </w:p>
    <w:p w:rsidR="00B03921" w:rsidRDefault="00B03921" w:rsidP="00016914">
      <w:pPr>
        <w:pStyle w:val="Heading2"/>
      </w:pPr>
      <w:r w:rsidRPr="0090460D">
        <w:t>Administered items statement</w:t>
      </w:r>
    </w:p>
    <w:p w:rsidR="00B03921" w:rsidRDefault="00B03921" w:rsidP="00016914">
      <w:pPr>
        <w:pStyle w:val="BodyText"/>
      </w:pPr>
      <w:r>
        <w:t xml:space="preserve">Transactions administered by the Department on behalf of the State in 2015-16 include the collection of road and public transport regulatory fees and fines revenues. The estimates also include the progressive recognition of concession fees paid in advance by Transurban under the CityLink contract. The administered appropriation and interest expense for 2015-16 includes the quarterly service payments associated with the </w:t>
      </w:r>
      <w:r w:rsidR="006278B3">
        <w:t>M</w:t>
      </w:r>
      <w:r>
        <w:t xml:space="preserve">elbourne Exhibition and Convention Centre. The Department has previously recognised an administered liability for the lease payments and a loan receivable from </w:t>
      </w:r>
      <w:r w:rsidR="006278B3">
        <w:br/>
      </w:r>
      <w:r>
        <w:t>the Melbourne Convention and Exhibition Trust.</w:t>
      </w:r>
    </w:p>
    <w:p w:rsidR="00B03921" w:rsidRDefault="00B03921" w:rsidP="00016914">
      <w:pPr>
        <w:pStyle w:val="BodyText"/>
      </w:pPr>
      <w:r>
        <w:t>Administered expenses are affected by the items outlined above.</w:t>
      </w:r>
    </w:p>
    <w:p w:rsidR="00B03921" w:rsidRPr="00F02EF8" w:rsidRDefault="00B03921" w:rsidP="00016914">
      <w:pPr>
        <w:pStyle w:val="BodyText"/>
      </w:pPr>
      <w:r>
        <w:br w:type="page"/>
      </w:r>
    </w:p>
    <w:p w:rsidR="00B03921" w:rsidRDefault="00B03921" w:rsidP="00016914">
      <w:pPr>
        <w:pStyle w:val="Tableheading"/>
      </w:pPr>
      <w:r>
        <w:t>Table 3.1.1: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6278B3" w:rsidRPr="00FE4FB8" w:rsidTr="008079E9">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6278B3" w:rsidRPr="00FE4FB8" w:rsidRDefault="006278B3"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6278B3" w:rsidRPr="00FE4FB8" w:rsidTr="008079E9">
        <w:trPr>
          <w:gridAfter w:val="1"/>
          <w:wAfter w:w="37" w:type="dxa"/>
        </w:trPr>
        <w:tc>
          <w:tcPr>
            <w:tcW w:w="7760" w:type="dxa"/>
            <w:gridSpan w:val="5"/>
            <w:tcBorders>
              <w:top w:val="single" w:sz="6" w:space="0" w:color="auto"/>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6278B3" w:rsidRPr="00FE4FB8" w:rsidTr="008079E9">
        <w:trPr>
          <w:gridAfter w:val="1"/>
          <w:wAfter w:w="37" w:type="dxa"/>
        </w:trPr>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712.2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3 867.6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7 177.2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173.6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510.5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319.0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153.4</w:t>
            </w:r>
          </w:p>
        </w:tc>
      </w:tr>
      <w:tr w:rsidR="00B03921" w:rsidRPr="00FE4FB8" w:rsidTr="00016914">
        <w:trPr>
          <w:gridAfter w:val="1"/>
          <w:wAfter w:w="37" w:type="dxa"/>
        </w:trPr>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1 098.6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1 059.4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4 703.6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8 236.3</w:t>
            </w:r>
          </w:p>
        </w:tc>
      </w:tr>
      <w:tr w:rsidR="006278B3" w:rsidRPr="00FE4FB8" w:rsidTr="008079E9">
        <w:trPr>
          <w:gridAfter w:val="1"/>
          <w:wAfter w:w="37" w:type="dxa"/>
        </w:trPr>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189.9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521.1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831.0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817.1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150.3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449.0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1 656.9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2 831.8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215.5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1 996.1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3 146.4</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1 064.1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1 090.8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4 777.5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7 992.1</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34.5</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(31.4)</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(73.9)</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244.2</w:t>
            </w:r>
          </w:p>
        </w:tc>
      </w:tr>
      <w:tr w:rsidR="006278B3" w:rsidRPr="00FE4FB8" w:rsidTr="008079E9">
        <w:trPr>
          <w:gridAfter w:val="1"/>
          <w:wAfter w:w="37" w:type="dxa"/>
        </w:trPr>
        <w:tc>
          <w:tcPr>
            <w:tcW w:w="7760" w:type="dxa"/>
            <w:gridSpan w:val="5"/>
            <w:tcBorders>
              <w:top w:val="nil"/>
              <w:left w:val="nil"/>
              <w:bottom w:val="nil"/>
              <w:right w:val="nil"/>
            </w:tcBorders>
          </w:tcPr>
          <w:p w:rsidR="006278B3" w:rsidRPr="00FE4FB8" w:rsidRDefault="006278B3" w:rsidP="006278B3">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FE4FB8" w:rsidTr="00016914">
        <w:trPr>
          <w:gridAfter w:val="1"/>
          <w:wAfter w:w="37" w:type="dxa"/>
        </w:trPr>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(0.1)</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(31.6)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(72.3)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244.1</w:t>
            </w:r>
          </w:p>
        </w:tc>
      </w:tr>
      <w:tr w:rsidR="006278B3" w:rsidRPr="00FE4FB8" w:rsidTr="008079E9">
        <w:tc>
          <w:tcPr>
            <w:tcW w:w="7797" w:type="dxa"/>
            <w:gridSpan w:val="6"/>
            <w:tcBorders>
              <w:top w:val="nil"/>
              <w:left w:val="nil"/>
              <w:bottom w:val="nil"/>
              <w:right w:val="nil"/>
            </w:tcBorders>
          </w:tcPr>
          <w:p w:rsidR="006278B3" w:rsidRPr="00FE4FB8" w:rsidRDefault="006278B3" w:rsidP="006278B3">
            <w:pPr>
              <w:pStyle w:val="Tabletext"/>
              <w:rPr>
                <w:rFonts w:eastAsiaTheme="minorEastAsia"/>
                <w:b/>
                <w:bCs/>
                <w:lang w:eastAsia="en-AU"/>
              </w:rPr>
            </w:pPr>
            <w:r w:rsidRPr="00FE4FB8">
              <w:rPr>
                <w:rFonts w:eastAsiaTheme="minorEastAsia"/>
                <w:b/>
                <w:bCs/>
                <w:lang w:eastAsia="en-AU"/>
              </w:rPr>
              <w:t xml:space="preserve">Other economic flows – other comprehensive income </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4 828.5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4 900.8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68.5</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28.9</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(29.1)</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4 828.5</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312.7</w:t>
            </w:r>
          </w:p>
        </w:tc>
      </w:tr>
    </w:tbl>
    <w:p w:rsidR="00B03921" w:rsidRDefault="00B03921" w:rsidP="00016914">
      <w:pPr>
        <w:pStyle w:val="Source"/>
      </w:pPr>
      <w:r w:rsidRPr="001D350D">
        <w:t xml:space="preserve">Sources: </w:t>
      </w:r>
      <w:r>
        <w:t>Departments of Economic Development, Jobs, Transport and Resources,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Department of </w:t>
      </w:r>
      <w:r w:rsidRPr="004D3EC3">
        <w:t>State Development, Business and Innovation</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7122CD">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Default="00B03921" w:rsidP="00016914">
      <w:pPr>
        <w:spacing w:after="0"/>
        <w:rPr>
          <w:rFonts w:ascii="Calibri" w:hAnsi="Calibri"/>
          <w:b/>
        </w:rPr>
      </w:pPr>
      <w:r>
        <w:br w:type="page"/>
      </w:r>
    </w:p>
    <w:p w:rsidR="00B03921" w:rsidRDefault="00B03921" w:rsidP="00016914">
      <w:pPr>
        <w:pStyle w:val="Tableheading"/>
      </w:pPr>
      <w:r>
        <w:t>Table 3.1.2:</w:t>
      </w:r>
      <w:r>
        <w:tab/>
        <w:t>Balance sheet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6278B3" w:rsidRPr="00FE4FB8" w:rsidTr="008079E9">
        <w:trPr>
          <w:tblHeader/>
        </w:trPr>
        <w:tc>
          <w:tcPr>
            <w:tcW w:w="3784" w:type="dxa"/>
            <w:vMerge w:val="restart"/>
            <w:tcBorders>
              <w:top w:val="single" w:sz="6" w:space="0" w:color="auto"/>
              <w:left w:val="single" w:sz="6" w:space="0" w:color="auto"/>
              <w:right w:val="nil"/>
            </w:tcBorders>
            <w:shd w:val="clear" w:color="000000" w:fill="000000"/>
          </w:tcPr>
          <w:p w:rsidR="006278B3" w:rsidRPr="00FE4FB8" w:rsidRDefault="006278B3" w:rsidP="00016914">
            <w:pPr>
              <w:pStyle w:val="Tabletext"/>
              <w:rPr>
                <w:rFonts w:eastAsiaTheme="minorEastAsia"/>
                <w:i/>
                <w:lang w:eastAsia="en-AU"/>
              </w:rPr>
            </w:pPr>
          </w:p>
        </w:tc>
        <w:tc>
          <w:tcPr>
            <w:tcW w:w="994" w:type="dxa"/>
            <w:vMerge w:val="restart"/>
            <w:tcBorders>
              <w:top w:val="single" w:sz="6" w:space="0" w:color="auto"/>
              <w:left w:val="nil"/>
              <w:right w:val="nil"/>
            </w:tcBorders>
            <w:shd w:val="clear" w:color="000000" w:fill="000000"/>
          </w:tcPr>
          <w:p w:rsidR="006278B3" w:rsidRPr="00FE4FB8" w:rsidRDefault="006278B3"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6278B3" w:rsidRPr="00FE4FB8" w:rsidRDefault="006278B3" w:rsidP="006278B3">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6278B3" w:rsidRPr="00FE4FB8" w:rsidRDefault="006278B3" w:rsidP="00016914">
            <w:pPr>
              <w:pStyle w:val="Tabletextheading"/>
              <w:jc w:val="center"/>
              <w:rPr>
                <w:rFonts w:eastAsiaTheme="minorEastAsia" w:cs="Calibri"/>
                <w:iCs/>
                <w:color w:val="FFFFFF"/>
                <w:lang w:eastAsia="en-AU"/>
              </w:rPr>
            </w:pPr>
            <w:r w:rsidRPr="00FE4FB8">
              <w:rPr>
                <w:rFonts w:eastAsiaTheme="minorEastAsia"/>
                <w:color w:val="FFFFFF"/>
                <w:lang w:eastAsia="en-AU"/>
              </w:rPr>
              <w:t>Estimated as at 30 June</w:t>
            </w:r>
          </w:p>
        </w:tc>
      </w:tr>
      <w:tr w:rsidR="006278B3" w:rsidRPr="00FE4FB8" w:rsidTr="008079E9">
        <w:trPr>
          <w:trHeight w:val="488"/>
          <w:tblHeader/>
        </w:trPr>
        <w:tc>
          <w:tcPr>
            <w:tcW w:w="3784" w:type="dxa"/>
            <w:vMerge/>
            <w:tcBorders>
              <w:left w:val="single" w:sz="6" w:space="0" w:color="auto"/>
              <w:right w:val="nil"/>
            </w:tcBorders>
            <w:shd w:val="clear" w:color="000000" w:fill="000000"/>
          </w:tcPr>
          <w:p w:rsidR="006278B3" w:rsidRPr="00FE4FB8" w:rsidRDefault="006278B3" w:rsidP="00016914">
            <w:pPr>
              <w:pStyle w:val="Tabletext"/>
              <w:rPr>
                <w:rFonts w:eastAsiaTheme="minorEastAsia"/>
                <w:lang w:eastAsia="en-AU"/>
              </w:rPr>
            </w:pPr>
          </w:p>
        </w:tc>
        <w:tc>
          <w:tcPr>
            <w:tcW w:w="994" w:type="dxa"/>
            <w:vMerge/>
            <w:tcBorders>
              <w:left w:val="nil"/>
              <w:right w:val="nil"/>
            </w:tcBorders>
            <w:shd w:val="clear" w:color="000000" w:fill="000000"/>
          </w:tcPr>
          <w:p w:rsidR="006278B3" w:rsidRPr="00FE4FB8" w:rsidRDefault="006278B3"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6278B3" w:rsidRPr="00FE4FB8" w:rsidRDefault="006278B3" w:rsidP="006278B3">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nil"/>
              <w:left w:val="nil"/>
              <w:right w:val="nil"/>
            </w:tcBorders>
            <w:shd w:val="clear" w:color="000000" w:fill="000000"/>
          </w:tcPr>
          <w:p w:rsidR="006278B3" w:rsidRPr="00FE4FB8" w:rsidRDefault="006278B3" w:rsidP="006278B3">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6278B3" w:rsidRPr="00FE4FB8" w:rsidRDefault="006278B3" w:rsidP="006278B3">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6278B3" w:rsidRPr="00FE4FB8" w:rsidTr="008079E9">
        <w:tc>
          <w:tcPr>
            <w:tcW w:w="7760" w:type="dxa"/>
            <w:gridSpan w:val="5"/>
            <w:tcBorders>
              <w:top w:val="single" w:sz="6" w:space="0" w:color="auto"/>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Assets</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1 850.8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2 161.3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1 241.9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1 328.5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119.7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Investments accounted for using equity method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639.3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624.6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3 249.4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3 644.5</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59 525.8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59 959.1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Biological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 properties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191.6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179.3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685.5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338.5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59 834.0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60 256.2</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1 324.8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963.0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63 083.4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63 900.7</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Liabilities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1 270.7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1 260.0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1 560.9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1 525.9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650.4</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178.9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179.5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3 456.2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3 436.2</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1 145.9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783.5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59 627.2</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60 464.5</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188.9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159.8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16 336.0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16 568.8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23 288.8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23 368.7</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931.4</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598.0</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20 002.4</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20 527.0</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1 145.9</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783.5</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59 627.2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60 464.5</w:t>
            </w:r>
          </w:p>
        </w:tc>
      </w:tr>
    </w:tbl>
    <w:p w:rsidR="00B03921" w:rsidRDefault="00B03921" w:rsidP="00016914">
      <w:pPr>
        <w:pStyle w:val="Source"/>
      </w:pPr>
      <w:r w:rsidRPr="001D350D">
        <w:t xml:space="preserve">Sources: </w:t>
      </w:r>
      <w:r>
        <w:t>Departments of Economic Development, Jobs, Transport and Resources,</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Department of State Development, Business and Innovation included in the </w:t>
      </w:r>
      <w:r w:rsidRPr="00ED1C61">
        <w:rPr>
          <w:i w:val="0"/>
        </w:rPr>
        <w:t>2013-14 Financial Report</w:t>
      </w:r>
      <w:r w:rsidRPr="00A25614">
        <w:rPr>
          <w:i w:val="0"/>
        </w:rPr>
        <w:t xml:space="preserve"> </w:t>
      </w:r>
      <w:r w:rsidRPr="00ED1C61">
        <w:t>for the State of Victoria</w:t>
      </w:r>
      <w:r w:rsidRPr="00B0679B">
        <w:t xml:space="preserve"> </w:t>
      </w:r>
      <w:r w:rsidRPr="004D3EC3">
        <w:t xml:space="preserve">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Pr="004D3EC3" w:rsidRDefault="00B03921" w:rsidP="00016914">
      <w:pPr>
        <w:pStyle w:val="Source"/>
      </w:pPr>
      <w:r>
        <w:br w:type="page"/>
      </w:r>
    </w:p>
    <w:p w:rsidR="00B03921" w:rsidRDefault="00B03921" w:rsidP="00016914">
      <w:pPr>
        <w:pStyle w:val="Tableheading"/>
      </w:pPr>
      <w:r>
        <w:t>Table 3.1.3:</w:t>
      </w:r>
      <w:r>
        <w:tab/>
        <w:t>Statement of cash flows</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6278B3" w:rsidRPr="00FE4FB8" w:rsidTr="008079E9">
        <w:trPr>
          <w:trHeight w:val="503"/>
          <w:tblHeader/>
        </w:trPr>
        <w:tc>
          <w:tcPr>
            <w:tcW w:w="3784" w:type="dxa"/>
            <w:tcBorders>
              <w:top w:val="single" w:sz="6" w:space="0" w:color="auto"/>
              <w:left w:val="single" w:sz="6" w:space="0" w:color="auto"/>
              <w:right w:val="nil"/>
            </w:tcBorders>
            <w:shd w:val="clear" w:color="000000" w:fill="000000"/>
          </w:tcPr>
          <w:p w:rsidR="006278B3" w:rsidRPr="00FE4FB8" w:rsidRDefault="006278B3"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6278B3" w:rsidRPr="00FE4FB8" w:rsidRDefault="006278B3" w:rsidP="006278B3">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6278B3" w:rsidRPr="00FE4FB8" w:rsidTr="008079E9">
        <w:tc>
          <w:tcPr>
            <w:tcW w:w="7760" w:type="dxa"/>
            <w:gridSpan w:val="5"/>
            <w:tcBorders>
              <w:top w:val="single" w:sz="6" w:space="0" w:color="auto"/>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Cash flows from operating activities</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Receipts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696.5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779.5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3 873.0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7 102.8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857.1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14.6</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298.6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1 089.4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1 052.8</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4 636.2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8 094.6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(449.0)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(440.2)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(1 628.0)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(2 831.8)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(563.9)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(2 302.4)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(3 922.6)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(115.2)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(215.5)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(77.4)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(151.0)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(1 023.1)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(1 054.3)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(4 123.0)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(7 121.0)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513.2</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973.6</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(1 155.5)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(2 193.7)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(purchase)/disposal of investments – policy purposes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(39.4)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(134.4)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(1 154.6)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(2 179.7)</w:t>
            </w:r>
          </w:p>
        </w:tc>
      </w:tr>
      <w:tr w:rsidR="006278B3" w:rsidRPr="00FE4FB8" w:rsidTr="008079E9">
        <w:tc>
          <w:tcPr>
            <w:tcW w:w="7760" w:type="dxa"/>
            <w:gridSpan w:val="5"/>
            <w:tcBorders>
              <w:top w:val="nil"/>
              <w:left w:val="nil"/>
              <w:bottom w:val="nil"/>
              <w:right w:val="nil"/>
            </w:tcBorders>
          </w:tcPr>
          <w:p w:rsidR="006278B3" w:rsidRPr="00FE4FB8" w:rsidRDefault="006278B3" w:rsidP="006278B3">
            <w:pPr>
              <w:pStyle w:val="Tabletext"/>
              <w:rPr>
                <w:rFonts w:eastAsiaTheme="minorEastAsia"/>
                <w:b/>
                <w:lang w:eastAsia="en-AU"/>
              </w:rPr>
            </w:pPr>
            <w:r w:rsidRPr="00FE4FB8">
              <w:rPr>
                <w:rFonts w:eastAsiaTheme="minorEastAsia"/>
                <w:b/>
                <w:bCs/>
                <w:lang w:eastAsia="en-AU"/>
              </w:rPr>
              <w:t>Cash flows from financing activities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1 990.2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1 554.1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(18.6)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(35.0)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(2.5)</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47.7</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115.7</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2 075.5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1 516.6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74.5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(20.2)</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1 434.0</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310.5</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342.3</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416.8</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416.8</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1 850.8</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416.8</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396.6</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1 850.8</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2 161.3</w:t>
            </w:r>
          </w:p>
        </w:tc>
      </w:tr>
    </w:tbl>
    <w:p w:rsidR="00B03921" w:rsidRDefault="00B03921" w:rsidP="00016914">
      <w:pPr>
        <w:pStyle w:val="Source"/>
      </w:pPr>
      <w:r w:rsidRPr="001D350D">
        <w:t>Source</w:t>
      </w:r>
      <w:r>
        <w:t>s</w:t>
      </w:r>
      <w:r w:rsidRPr="001D350D">
        <w:t xml:space="preserve">: </w:t>
      </w:r>
      <w:r>
        <w:t>Departments of Economic Development, Jobs, Transport and Resources,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Department of </w:t>
      </w:r>
      <w:r w:rsidRPr="004D3EC3">
        <w:t>State Development, Business and Innovation</w:t>
      </w:r>
      <w:r w:rsidRPr="00B0679B">
        <w:t xml:space="preserve"> included in the </w:t>
      </w:r>
      <w:r w:rsidRPr="00ED1C61">
        <w:rPr>
          <w:i w:val="0"/>
        </w:rPr>
        <w:t>2013-14 Financial Report</w:t>
      </w:r>
      <w:r w:rsidRPr="00A25614">
        <w:rPr>
          <w:i w:val="0"/>
        </w:rPr>
        <w:t xml:space="preserve"> </w:t>
      </w:r>
      <w:r w:rsidRPr="00ED1C61">
        <w:t>for the State of Victoria</w:t>
      </w:r>
      <w:r w:rsidRPr="006F1CDE">
        <w:t xml:space="preserve"> </w:t>
      </w:r>
      <w:r w:rsidRPr="00B0679B">
        <w:t xml:space="preserve">or the </w:t>
      </w:r>
      <w:r w:rsidRPr="00A25614">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Pr="00511725" w:rsidRDefault="00B03921" w:rsidP="00016914">
      <w:pPr>
        <w:pStyle w:val="Notes"/>
      </w:pPr>
      <w:r>
        <w:t>(c)</w:t>
      </w:r>
      <w:r>
        <w:tab/>
        <w:t xml:space="preserve">Figures have been restated to better reflect the nature of related cash flows. </w:t>
      </w:r>
      <w:r>
        <w:br w:type="page"/>
      </w:r>
    </w:p>
    <w:p w:rsidR="00B03921" w:rsidRDefault="00B03921" w:rsidP="00016914">
      <w:pPr>
        <w:pStyle w:val="Tableheading"/>
      </w:pPr>
      <w:r>
        <w:t>Table 3.1.4:</w:t>
      </w:r>
      <w:r>
        <w:tab/>
        <w:t>Statement of changes in equity</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285"/>
        <w:gridCol w:w="505"/>
        <w:gridCol w:w="994"/>
        <w:gridCol w:w="1203"/>
        <w:gridCol w:w="1091"/>
        <w:gridCol w:w="826"/>
        <w:gridCol w:w="856"/>
      </w:tblGrid>
      <w:tr w:rsidR="00B03921" w:rsidRPr="00FE4FB8" w:rsidTr="00016914">
        <w:trPr>
          <w:tblHeader/>
        </w:trPr>
        <w:tc>
          <w:tcPr>
            <w:tcW w:w="2285"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499"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03"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091"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826"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856"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154.7</w:t>
            </w:r>
          </w:p>
        </w:tc>
        <w:tc>
          <w:tcPr>
            <w:tcW w:w="120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904.4</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31.0</w:t>
            </w:r>
          </w:p>
        </w:tc>
        <w:tc>
          <w:tcPr>
            <w:tcW w:w="82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5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1 090.1</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34.2</w:t>
            </w:r>
          </w:p>
        </w:tc>
        <w:tc>
          <w:tcPr>
            <w:tcW w:w="120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(5.3)</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27.0</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27.0</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2014 (actual)</w:t>
            </w:r>
            <w:r w:rsidRPr="00FE4FB8">
              <w:rPr>
                <w:rFonts w:eastAsiaTheme="minorEastAsia"/>
                <w:b/>
                <w:bCs/>
                <w:vertAlign w:val="superscript"/>
                <w:lang w:eastAsia="en-AU"/>
              </w:rPr>
              <w:t>(a)</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188.9</w:t>
            </w:r>
          </w:p>
        </w:tc>
        <w:tc>
          <w:tcPr>
            <w:tcW w:w="120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931.4</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25.6</w:t>
            </w:r>
          </w:p>
        </w:tc>
        <w:tc>
          <w:tcPr>
            <w:tcW w:w="82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5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1 145.9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(29.1)</w:t>
            </w:r>
          </w:p>
        </w:tc>
        <w:tc>
          <w:tcPr>
            <w:tcW w:w="120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(29.1)</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3"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(333.3)</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(333.3)</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cs="Calibri"/>
                <w:b/>
                <w:bCs/>
                <w:color w:val="000000"/>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(a)(b</w:t>
            </w:r>
            <w:r w:rsidRPr="00FE4FB8">
              <w:rPr>
                <w:rFonts w:eastAsiaTheme="minorEastAsia" w:cs="Calibri"/>
                <w:b/>
                <w:bCs/>
                <w:color w:val="000000"/>
                <w:vertAlign w:val="superscript"/>
                <w:lang w:eastAsia="en-AU"/>
              </w:rPr>
              <w:t>)</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159.8</w:t>
            </w:r>
          </w:p>
        </w:tc>
        <w:tc>
          <w:tcPr>
            <w:tcW w:w="120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598.0</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25.6</w:t>
            </w:r>
          </w:p>
        </w:tc>
        <w:tc>
          <w:tcPr>
            <w:tcW w:w="82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5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783.5</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(46.1)</w:t>
            </w:r>
          </w:p>
        </w:tc>
        <w:tc>
          <w:tcPr>
            <w:tcW w:w="120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4 828.5</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46.1</w:t>
            </w:r>
          </w:p>
        </w:tc>
        <w:tc>
          <w:tcPr>
            <w:tcW w:w="85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4 828.5</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16 193.2</w:t>
            </w:r>
          </w:p>
        </w:tc>
        <w:tc>
          <w:tcPr>
            <w:tcW w:w="120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19 071.0</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18 388.5</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53 652.7</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(revised)</w:t>
            </w:r>
            <w:r w:rsidRPr="00FE4FB8">
              <w:rPr>
                <w:rFonts w:eastAsiaTheme="minorEastAsia"/>
                <w:b/>
                <w:bCs/>
                <w:vertAlign w:val="superscript"/>
                <w:lang w:eastAsia="en-AU"/>
              </w:rPr>
              <w:t>(c)</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16 336.0</w:t>
            </w:r>
          </w:p>
        </w:tc>
        <w:tc>
          <w:tcPr>
            <w:tcW w:w="120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20 002.4</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23 242.7</w:t>
            </w:r>
          </w:p>
        </w:tc>
        <w:tc>
          <w:tcPr>
            <w:tcW w:w="82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46.1</w:t>
            </w:r>
          </w:p>
        </w:tc>
        <w:tc>
          <w:tcPr>
            <w:tcW w:w="85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59 627.2</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232.8</w:t>
            </w:r>
          </w:p>
        </w:tc>
        <w:tc>
          <w:tcPr>
            <w:tcW w:w="1203" w:type="dxa"/>
            <w:tcBorders>
              <w:top w:val="nil"/>
              <w:left w:val="nil"/>
              <w:bottom w:val="nil"/>
              <w:right w:val="nil"/>
            </w:tcBorders>
          </w:tcPr>
          <w:p w:rsidR="00B03921" w:rsidRPr="00FE4FB8" w:rsidRDefault="00B03921" w:rsidP="00016914">
            <w:pPr>
              <w:pStyle w:val="TableofFigures"/>
              <w:rPr>
                <w:rFonts w:eastAsiaTheme="minorEastAsia"/>
                <w:szCs w:val="22"/>
                <w:lang w:eastAsia="en-AU"/>
              </w:rPr>
            </w:pPr>
            <w:r>
              <w:rPr>
                <w:rFonts w:eastAsiaTheme="minorEastAsia"/>
                <w:szCs w:val="22"/>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62.9</w:t>
            </w:r>
          </w:p>
        </w:tc>
        <w:tc>
          <w:tcPr>
            <w:tcW w:w="82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17.0</w:t>
            </w:r>
          </w:p>
        </w:tc>
        <w:tc>
          <w:tcPr>
            <w:tcW w:w="85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312.7</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3"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524.6</w:t>
            </w:r>
          </w:p>
        </w:tc>
        <w:tc>
          <w:tcPr>
            <w:tcW w:w="1091"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26"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6"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524.6</w:t>
            </w:r>
          </w:p>
        </w:tc>
      </w:tr>
      <w:tr w:rsidR="00B03921" w:rsidRPr="00FE4FB8" w:rsidTr="00016914">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2016 (budget)</w:t>
            </w:r>
            <w:r w:rsidRPr="00FE4FB8">
              <w:rPr>
                <w:rFonts w:eastAsiaTheme="minorEastAsia"/>
                <w:b/>
                <w:bCs/>
                <w:vertAlign w:val="superscript"/>
                <w:lang w:eastAsia="en-AU"/>
              </w:rPr>
              <w:t>(c)</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16 568.8</w:t>
            </w:r>
          </w:p>
        </w:tc>
        <w:tc>
          <w:tcPr>
            <w:tcW w:w="1203"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20 527.0</w:t>
            </w:r>
          </w:p>
        </w:tc>
        <w:tc>
          <w:tcPr>
            <w:tcW w:w="109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23 305.6</w:t>
            </w:r>
          </w:p>
        </w:tc>
        <w:tc>
          <w:tcPr>
            <w:tcW w:w="826"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63.1</w:t>
            </w:r>
          </w:p>
        </w:tc>
        <w:tc>
          <w:tcPr>
            <w:tcW w:w="856"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60 464.5</w:t>
            </w:r>
          </w:p>
        </w:tc>
      </w:tr>
    </w:tbl>
    <w:p w:rsidR="00B03921" w:rsidRDefault="00B03921" w:rsidP="00016914">
      <w:pPr>
        <w:pStyle w:val="Source"/>
      </w:pPr>
      <w:r w:rsidRPr="001D350D">
        <w:t xml:space="preserve">Sources: </w:t>
      </w:r>
      <w:r>
        <w:t>Departments of Economic Development, Jobs, Transport and Resources,</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Department of State Development, Business and Innovation 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xml:space="preserve">, </w:t>
      </w:r>
      <w:r>
        <w:br/>
      </w:r>
      <w:r w:rsidRPr="004D3EC3">
        <w:t>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3.1.5:</w:t>
      </w:r>
      <w:r>
        <w:tab/>
        <w:t>Administered items statement</w:t>
      </w:r>
    </w:p>
    <w:p w:rsidR="00B03921" w:rsidRPr="00FE4FB8" w:rsidRDefault="00B03921" w:rsidP="00016914">
      <w:pPr>
        <w:pStyle w:val="million"/>
        <w:rPr>
          <w:rFonts w:ascii="Times New Roman" w:hAnsi="Times New Roman"/>
          <w:sz w:val="20"/>
          <w:lang w:eastAsia="en-AU"/>
        </w:rPr>
      </w:pPr>
      <w:r>
        <w:t xml:space="preserve">($ </w:t>
      </w:r>
      <w:r w:rsidRPr="00337186">
        <w:t>million</w:t>
      </w:r>
      <w:r>
        <w:t>)</w:t>
      </w:r>
      <w:r w:rsidRPr="004F7AD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8079E9" w:rsidRPr="00FE4FB8" w:rsidTr="008079E9">
        <w:trPr>
          <w:gridAfter w:val="1"/>
          <w:wAfter w:w="37" w:type="dxa"/>
          <w:trHeight w:val="491"/>
          <w:tblHeader/>
        </w:trPr>
        <w:tc>
          <w:tcPr>
            <w:tcW w:w="3784"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sz w:val="19"/>
                <w:lang w:eastAsia="en-AU"/>
              </w:rPr>
            </w:pP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sz w:val="19"/>
                <w:lang w:eastAsia="en-AU"/>
              </w:rPr>
            </w:pPr>
            <w:r w:rsidRPr="00FE4FB8">
              <w:rPr>
                <w:rFonts w:eastAsiaTheme="minorEastAsia"/>
                <w:iCs/>
                <w:color w:val="FFFFFF"/>
                <w:sz w:val="19"/>
                <w:lang w:eastAsia="en-AU"/>
              </w:rPr>
              <w:t>2013-14</w:t>
            </w:r>
            <w:r>
              <w:rPr>
                <w:rFonts w:eastAsiaTheme="minorEastAsia"/>
                <w:iCs/>
                <w:color w:val="FFFFFF"/>
                <w:sz w:val="19"/>
                <w:lang w:eastAsia="en-AU"/>
              </w:rPr>
              <w:t xml:space="preserve"> </w:t>
            </w:r>
            <w:r w:rsidRPr="00FE4FB8">
              <w:rPr>
                <w:rFonts w:eastAsiaTheme="minorEastAsia"/>
                <w:iCs/>
                <w:color w:val="FFFFFF"/>
                <w:sz w:val="19"/>
                <w:lang w:eastAsia="en-AU"/>
              </w:rPr>
              <w:t>actual</w:t>
            </w:r>
            <w:r w:rsidRPr="00FE4FB8">
              <w:rPr>
                <w:rFonts w:eastAsiaTheme="minorEastAsia"/>
                <w:iCs/>
                <w:color w:val="FFFFFF"/>
                <w:sz w:val="19"/>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budget</w:t>
            </w:r>
            <w:r w:rsidRPr="00FE4FB8">
              <w:rPr>
                <w:rFonts w:eastAsiaTheme="minorEastAsia"/>
                <w:iCs/>
                <w:color w:val="FFFFFF"/>
                <w:sz w:val="19"/>
                <w:vertAlign w:val="superscript"/>
                <w:lang w:eastAsia="en-AU"/>
              </w:rPr>
              <w:t>(a)(</w:t>
            </w:r>
            <w:r w:rsidRPr="00FE4FB8">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revised</w:t>
            </w:r>
            <w:r w:rsidRPr="00FE4FB8">
              <w:rPr>
                <w:rFonts w:eastAsiaTheme="minorEastAsia"/>
                <w:iCs/>
                <w:color w:val="FFFFFF"/>
                <w:sz w:val="19"/>
                <w:vertAlign w:val="superscript"/>
                <w:lang w:eastAsia="en-AU"/>
              </w:rPr>
              <w:t>(c)</w:t>
            </w:r>
          </w:p>
        </w:tc>
        <w:tc>
          <w:tcPr>
            <w:tcW w:w="994"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iCs/>
                <w:color w:val="FFFFFF"/>
                <w:sz w:val="19"/>
                <w:lang w:eastAsia="en-AU"/>
              </w:rPr>
            </w:pPr>
            <w:r w:rsidRPr="00FE4FB8">
              <w:rPr>
                <w:rFonts w:eastAsiaTheme="minorEastAsia"/>
                <w:iCs/>
                <w:color w:val="FFFFFF"/>
                <w:sz w:val="19"/>
                <w:lang w:eastAsia="en-AU"/>
              </w:rPr>
              <w:t>2015-16</w:t>
            </w:r>
            <w:r>
              <w:rPr>
                <w:rFonts w:eastAsiaTheme="minorEastAsia"/>
                <w:iCs/>
                <w:color w:val="FFFFFF"/>
                <w:sz w:val="19"/>
                <w:lang w:eastAsia="en-AU"/>
              </w:rPr>
              <w:t xml:space="preserve"> </w:t>
            </w:r>
            <w:r w:rsidRPr="00FE4FB8">
              <w:rPr>
                <w:rFonts w:eastAsiaTheme="minorEastAsia"/>
                <w:iCs/>
                <w:color w:val="FFFFFF"/>
                <w:sz w:val="19"/>
                <w:lang w:eastAsia="en-AU"/>
              </w:rPr>
              <w:t>budget</w:t>
            </w:r>
            <w:r w:rsidRPr="00FE4FB8">
              <w:rPr>
                <w:rFonts w:eastAsiaTheme="minorEastAsia"/>
                <w:iCs/>
                <w:color w:val="FFFFFF"/>
                <w:sz w:val="19"/>
                <w:vertAlign w:val="superscript"/>
                <w:lang w:eastAsia="en-AU"/>
              </w:rPr>
              <w:t>(c)</w:t>
            </w:r>
          </w:p>
        </w:tc>
      </w:tr>
      <w:tr w:rsidR="008079E9" w:rsidRPr="00FE4FB8" w:rsidTr="008079E9">
        <w:trPr>
          <w:gridAfter w:val="1"/>
          <w:wAfter w:w="37" w:type="dxa"/>
        </w:trPr>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sz w:val="19"/>
                <w:lang w:eastAsia="en-AU"/>
              </w:rPr>
            </w:pPr>
            <w:r w:rsidRPr="00FE4FB8">
              <w:rPr>
                <w:rFonts w:eastAsiaTheme="minorEastAsia"/>
                <w:b/>
                <w:bCs/>
                <w:sz w:val="19"/>
                <w:lang w:eastAsia="en-AU"/>
              </w:rPr>
              <w:t>Administered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Appropriations – Payments made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60.9</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63.7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65.2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66.8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141.1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285.3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14.3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58.2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55.3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1 166.6</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2 412.2</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132.7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142.8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1 383.3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2 774.8</w:t>
            </w:r>
          </w:p>
        </w:tc>
      </w:tr>
      <w:tr w:rsidR="008079E9" w:rsidRPr="00FE4FB8" w:rsidTr="008079E9">
        <w:trPr>
          <w:gridAfter w:val="1"/>
          <w:wAfter w:w="37" w:type="dxa"/>
          <w:trHeight w:hRule="exact" w:val="120"/>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sz w:val="19"/>
                <w:lang w:eastAsia="en-AU"/>
              </w:rPr>
            </w:pPr>
            <w:r w:rsidRPr="00FE4FB8">
              <w:rPr>
                <w:rFonts w:eastAsiaTheme="minorEastAsia"/>
                <w:sz w:val="19"/>
                <w:lang w:eastAsia="en-AU"/>
              </w:rPr>
              <w:t xml:space="preserve">  </w:t>
            </w: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sz w:val="19"/>
                <w:lang w:eastAsia="en-AU"/>
              </w:rPr>
            </w:pPr>
            <w:r w:rsidRPr="00FE4FB8">
              <w:rPr>
                <w:rFonts w:eastAsiaTheme="minorEastAsia"/>
                <w:b/>
                <w:bCs/>
                <w:sz w:val="19"/>
                <w:lang w:eastAsia="en-AU"/>
              </w:rPr>
              <w:t>Administered expenses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27.7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35.7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17.0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89.7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62.6</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1 233.5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2 655.6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41.7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55.4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72.8</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163.0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112.3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1 330.3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2 751.5</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(30.4)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30.5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53.1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23.3</w:t>
            </w: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bCs/>
                <w:sz w:val="19"/>
                <w:lang w:eastAsia="en-AU"/>
              </w:rPr>
            </w:pPr>
            <w:r w:rsidRPr="00FE4FB8">
              <w:rPr>
                <w:rFonts w:eastAsiaTheme="minorEastAsia"/>
                <w:b/>
                <w:bCs/>
                <w:sz w:val="19"/>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36.2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gains/(losses) from other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(7.8)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(15.8)</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20.7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(0.1)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28.4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(14.4)</w:t>
            </w:r>
          </w:p>
        </w:tc>
      </w:tr>
      <w:tr w:rsidR="00B03921" w:rsidRPr="00FE4FB8" w:rsidTr="00016914">
        <w:trPr>
          <w:gridAfter w:val="1"/>
          <w:wAfter w:w="37" w:type="dxa"/>
        </w:trPr>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(9.6)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30.4</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81.5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8.9</w:t>
            </w:r>
          </w:p>
        </w:tc>
      </w:tr>
      <w:tr w:rsidR="008079E9" w:rsidRPr="00FE4FB8" w:rsidTr="008079E9">
        <w:trPr>
          <w:gridAfter w:val="1"/>
          <w:wAfter w:w="37" w:type="dxa"/>
          <w:trHeight w:hRule="exact" w:val="120"/>
        </w:trPr>
        <w:tc>
          <w:tcPr>
            <w:tcW w:w="7760" w:type="dxa"/>
            <w:gridSpan w:val="5"/>
            <w:tcBorders>
              <w:top w:val="nil"/>
              <w:left w:val="nil"/>
              <w:bottom w:val="nil"/>
              <w:right w:val="nil"/>
            </w:tcBorders>
          </w:tcPr>
          <w:p w:rsidR="008079E9" w:rsidRPr="00FE4FB8" w:rsidRDefault="008079E9" w:rsidP="00016914">
            <w:pPr>
              <w:pStyle w:val="TableofFigures"/>
              <w:rPr>
                <w:rFonts w:eastAsiaTheme="minorEastAsia"/>
                <w:b/>
                <w:bCs/>
                <w:sz w:val="19"/>
                <w:lang w:eastAsia="en-AU"/>
              </w:rPr>
            </w:pPr>
          </w:p>
        </w:tc>
      </w:tr>
      <w:tr w:rsidR="008079E9" w:rsidRPr="00FE4FB8" w:rsidTr="008079E9">
        <w:tc>
          <w:tcPr>
            <w:tcW w:w="7797" w:type="dxa"/>
            <w:gridSpan w:val="6"/>
            <w:tcBorders>
              <w:top w:val="nil"/>
              <w:left w:val="nil"/>
              <w:bottom w:val="nil"/>
              <w:right w:val="nil"/>
            </w:tcBorders>
          </w:tcPr>
          <w:p w:rsidR="008079E9" w:rsidRPr="00FE4FB8" w:rsidRDefault="008079E9" w:rsidP="008079E9">
            <w:pPr>
              <w:pStyle w:val="Tabletext"/>
              <w:rPr>
                <w:rFonts w:eastAsiaTheme="minorEastAsia"/>
                <w:b/>
                <w:bCs/>
                <w:sz w:val="19"/>
                <w:lang w:eastAsia="en-AU"/>
              </w:rPr>
            </w:pPr>
            <w:r w:rsidRPr="00FE4FB8">
              <w:rPr>
                <w:rFonts w:eastAsiaTheme="minorEastAsia"/>
                <w:b/>
                <w:bCs/>
                <w:sz w:val="19"/>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(76.7)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(76.7)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(9.6)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30.4</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4.8</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8.9</w:t>
            </w:r>
          </w:p>
        </w:tc>
      </w:tr>
      <w:tr w:rsidR="008079E9" w:rsidRPr="00FE4FB8" w:rsidTr="008079E9">
        <w:trPr>
          <w:gridAfter w:val="1"/>
          <w:wAfter w:w="37" w:type="dxa"/>
          <w:trHeight w:hRule="exact" w:val="120"/>
        </w:trPr>
        <w:tc>
          <w:tcPr>
            <w:tcW w:w="7760" w:type="dxa"/>
            <w:gridSpan w:val="5"/>
            <w:tcBorders>
              <w:top w:val="nil"/>
              <w:left w:val="nil"/>
              <w:bottom w:val="nil"/>
              <w:right w:val="nil"/>
            </w:tcBorders>
          </w:tcPr>
          <w:p w:rsidR="008079E9" w:rsidRPr="00FE4FB8" w:rsidRDefault="008079E9" w:rsidP="00016914">
            <w:pPr>
              <w:pStyle w:val="TableofFigures"/>
              <w:rPr>
                <w:rFonts w:eastAsiaTheme="minorEastAsia"/>
                <w:b/>
                <w:bCs/>
                <w:sz w:val="19"/>
                <w:lang w:eastAsia="en-AU"/>
              </w:rPr>
            </w:pP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sz w:val="19"/>
                <w:lang w:eastAsia="en-AU"/>
              </w:rPr>
            </w:pPr>
            <w:r w:rsidRPr="00FE4FB8">
              <w:rPr>
                <w:rFonts w:eastAsiaTheme="minorEastAsia"/>
                <w:b/>
                <w:bCs/>
                <w:sz w:val="19"/>
                <w:lang w:eastAsia="en-AU"/>
              </w:rPr>
              <w:t>Administered assets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343.9</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358.2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408.3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411.0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3.1</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347.5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362.1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421.5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424.5</w:t>
            </w:r>
          </w:p>
        </w:tc>
      </w:tr>
      <w:tr w:rsidR="008079E9" w:rsidRPr="00FE4FB8" w:rsidTr="008079E9">
        <w:trPr>
          <w:gridAfter w:val="1"/>
          <w:wAfter w:w="37" w:type="dxa"/>
          <w:trHeight w:hRule="exact" w:val="120"/>
        </w:trPr>
        <w:tc>
          <w:tcPr>
            <w:tcW w:w="7760" w:type="dxa"/>
            <w:gridSpan w:val="5"/>
            <w:tcBorders>
              <w:top w:val="nil"/>
              <w:left w:val="nil"/>
              <w:bottom w:val="nil"/>
              <w:right w:val="nil"/>
            </w:tcBorders>
          </w:tcPr>
          <w:p w:rsidR="008079E9" w:rsidRPr="00FE4FB8" w:rsidRDefault="008079E9" w:rsidP="00016914">
            <w:pPr>
              <w:pStyle w:val="TableofFigures"/>
              <w:rPr>
                <w:rFonts w:eastAsiaTheme="minorEastAsia"/>
                <w:sz w:val="19"/>
                <w:lang w:eastAsia="en-AU"/>
              </w:rPr>
            </w:pP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sz w:val="19"/>
                <w:lang w:eastAsia="en-AU"/>
              </w:rPr>
            </w:pPr>
            <w:r w:rsidRPr="00FE4FB8">
              <w:rPr>
                <w:rFonts w:eastAsiaTheme="minorEastAsia"/>
                <w:b/>
                <w:bCs/>
                <w:sz w:val="19"/>
                <w:lang w:eastAsia="en-AU"/>
              </w:rPr>
              <w:t>Administered liabilities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87.3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85.5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457.5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454.7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460.4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446.4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458.4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455.3</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547.7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531.8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916.0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910.0</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(200.2)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(169.8)</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(494.4)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(485.5)</w:t>
            </w:r>
          </w:p>
        </w:tc>
      </w:tr>
    </w:tbl>
    <w:p w:rsidR="00B03921" w:rsidRDefault="00B03921" w:rsidP="00016914">
      <w:pPr>
        <w:pStyle w:val="Source"/>
      </w:pPr>
      <w:r w:rsidRPr="004F7ADD">
        <w:t xml:space="preserve">Sources: </w:t>
      </w:r>
      <w:r>
        <w:t>Departments of Economic Development, Jobs, Transport and Resources,</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Department of </w:t>
      </w:r>
      <w:r w:rsidRPr="004D3EC3">
        <w:t>State Development, Business and Innovation</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A25614">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 xml:space="preserve">The 2014-15 budget figures have been restated to reflect </w:t>
      </w:r>
      <w:r w:rsidRPr="00B21426">
        <w:t>the 2013-14 actual closing balance.</w:t>
      </w:r>
    </w:p>
    <w:p w:rsidR="00B03921" w:rsidRDefault="00B03921" w:rsidP="00016914">
      <w:pPr>
        <w:pStyle w:val="Notes"/>
      </w:pPr>
      <w:r>
        <w:t>(c)</w:t>
      </w:r>
      <w:r>
        <w:tab/>
        <w:t>The 2014-15 r</w:t>
      </w:r>
      <w:r w:rsidRPr="00B0679B">
        <w:t>evised</w:t>
      </w:r>
      <w:r>
        <w:t xml:space="preserve"> and 2015-16 budget reflect</w:t>
      </w:r>
      <w:r w:rsidRPr="00B0679B">
        <w:t xml:space="preserve"> the full impact of machinery of gove</w:t>
      </w:r>
      <w:r>
        <w:t>rnment changes effective from 1 </w:t>
      </w:r>
      <w:r w:rsidRPr="00B0679B">
        <w:t>January 2015.</w:t>
      </w:r>
    </w:p>
    <w:p w:rsidR="00B03921" w:rsidRDefault="00B03921" w:rsidP="00016914">
      <w:pPr>
        <w:pStyle w:val="Tableheading"/>
      </w:pPr>
      <w:r>
        <w:t>Table 3.1.6:</w:t>
      </w:r>
      <w:r>
        <w:tab/>
        <w:t>Payments made on behalf of the State</w:t>
      </w:r>
    </w:p>
    <w:p w:rsidR="00B03921" w:rsidRPr="00FE4FB8" w:rsidRDefault="00B03921" w:rsidP="00016914">
      <w:pPr>
        <w:pStyle w:val="million"/>
        <w:rPr>
          <w:rFonts w:ascii="Times New Roman" w:hAnsi="Times New Roman"/>
          <w:i w:val="0"/>
          <w:sz w:val="20"/>
          <w:szCs w:val="20"/>
          <w:lang w:eastAsia="en-AU"/>
        </w:rPr>
      </w:pPr>
      <w:r>
        <w:t>($ million)</w:t>
      </w:r>
      <w:r w:rsidRPr="00B300B6">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8079E9" w:rsidRPr="00FE4FB8" w:rsidTr="008079E9">
        <w:trPr>
          <w:trHeight w:val="503"/>
          <w:tblHeader/>
        </w:trPr>
        <w:tc>
          <w:tcPr>
            <w:tcW w:w="4640"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i/>
                <w:lang w:eastAsia="en-AU"/>
              </w:rPr>
            </w:pPr>
            <w:r w:rsidRPr="00FE4FB8">
              <w:rPr>
                <w:rFonts w:eastAsiaTheme="minorEastAsia"/>
                <w:i/>
                <w:lang w:eastAsia="en-AU"/>
              </w:rPr>
              <w:t xml:space="preserve"> </w:t>
            </w:r>
          </w:p>
          <w:p w:rsidR="008079E9" w:rsidRPr="00FE4FB8" w:rsidRDefault="008079E9" w:rsidP="00016914">
            <w:pPr>
              <w:pStyle w:val="Tabletext"/>
              <w:rPr>
                <w:rFonts w:eastAsiaTheme="minorEastAsia"/>
                <w:i/>
                <w:lang w:eastAsia="en-AU"/>
              </w:rPr>
            </w:pPr>
            <w:r w:rsidRPr="00FE4FB8">
              <w:rPr>
                <w:rFonts w:eastAsiaTheme="minorEastAsia"/>
                <w:i/>
                <w:lang w:eastAsia="en-AU"/>
              </w:rPr>
              <w:t>Accounts</w:t>
            </w:r>
          </w:p>
        </w:tc>
        <w:tc>
          <w:tcPr>
            <w:tcW w:w="1040"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p>
        </w:tc>
        <w:tc>
          <w:tcPr>
            <w:tcW w:w="1040"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(b)</w:t>
            </w:r>
          </w:p>
        </w:tc>
        <w:tc>
          <w:tcPr>
            <w:tcW w:w="1040"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(b)</w:t>
            </w:r>
          </w:p>
        </w:tc>
      </w:tr>
      <w:tr w:rsidR="00B03921" w:rsidRPr="00FE4FB8" w:rsidTr="00016914">
        <w:tc>
          <w:tcPr>
            <w:tcW w:w="4640" w:type="dxa"/>
            <w:tcBorders>
              <w:top w:val="single" w:sz="6" w:space="0" w:color="auto"/>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Finance lease interest </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41.7</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40.7</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40.5</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to public non-financial corporations</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8.0</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Finance lease liability</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14.0</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Anzac Day administered trust</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r>
      <w:tr w:rsidR="00B03921" w:rsidRPr="00FE4FB8" w:rsidTr="00016914">
        <w:tc>
          <w:tcPr>
            <w:tcW w:w="4640" w:type="dxa"/>
            <w:tcBorders>
              <w:top w:val="nil"/>
              <w:left w:val="nil"/>
              <w:bottom w:val="single" w:sz="6" w:space="0" w:color="auto"/>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Operating supplies and consumables</w:t>
            </w:r>
            <w:r w:rsidRPr="00FE4FB8">
              <w:rPr>
                <w:rFonts w:eastAsiaTheme="minorEastAsia"/>
                <w:vertAlign w:val="superscript"/>
                <w:lang w:eastAsia="en-AU"/>
              </w:rPr>
              <w:t>(c)</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16.7</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17.0</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63.7</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65.2</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66.8</w:t>
            </w:r>
          </w:p>
        </w:tc>
      </w:tr>
    </w:tbl>
    <w:p w:rsidR="00B03921" w:rsidRDefault="00B03921" w:rsidP="00016914">
      <w:pPr>
        <w:pStyle w:val="Source"/>
      </w:pPr>
      <w:r w:rsidRPr="004F7ADD">
        <w:t xml:space="preserve">Sources: </w:t>
      </w:r>
      <w:r>
        <w:t>Departments of Economic Development, Jobs, Transport and Resources,</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t xml:space="preserve">The </w:t>
      </w:r>
      <w:r w:rsidRPr="00B0679B">
        <w:t>2014-15</w:t>
      </w:r>
      <w:r>
        <w:t xml:space="preserve"> budget</w:t>
      </w:r>
      <w:r w:rsidRPr="00B0679B">
        <w:t xml:space="preserve"> reflect</w:t>
      </w:r>
      <w:r>
        <w:t>s</w:t>
      </w:r>
      <w:r w:rsidRPr="00B0679B">
        <w:t xml:space="preserve"> the operatio</w:t>
      </w:r>
      <w:r>
        <w:t xml:space="preserve">ns of the former Department of </w:t>
      </w:r>
      <w:r w:rsidRPr="004D3EC3">
        <w:t>State Development, Business and Innovation</w:t>
      </w:r>
      <w:r>
        <w:t xml:space="preserve"> included in </w:t>
      </w:r>
      <w:r w:rsidRPr="00B0679B">
        <w:t xml:space="preserve">the </w:t>
      </w:r>
      <w:r w:rsidRPr="001D5CE2">
        <w:rPr>
          <w:i w:val="0"/>
        </w:rPr>
        <w:t>2014-15 Budget</w:t>
      </w:r>
      <w:r w:rsidRPr="00B0679B">
        <w:t>, which do</w:t>
      </w:r>
      <w:r>
        <w:t>es</w:t>
      </w:r>
      <w:r w:rsidRPr="00B0679B">
        <w:t xml:space="preserve"> not include the impact of machinery of gove</w:t>
      </w:r>
      <w:r>
        <w:t>rnment changes effective from 1 </w:t>
      </w:r>
      <w:r w:rsidRPr="00B0679B">
        <w:t xml:space="preserve">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January 2015.</w:t>
      </w:r>
    </w:p>
    <w:p w:rsidR="00B03921" w:rsidRDefault="00B03921" w:rsidP="00016914">
      <w:pPr>
        <w:pStyle w:val="Notes"/>
      </w:pPr>
      <w:r>
        <w:t>(c)</w:t>
      </w:r>
      <w:r>
        <w:tab/>
        <w:t>The 2014-15 revised and 2015-16 budget reflect an account reallocation from finance lease liability to operating supplies and consumables to better reflect the nature of this expenditure.</w:t>
      </w:r>
    </w:p>
    <w:p w:rsidR="00B03921" w:rsidRPr="0090460D" w:rsidRDefault="00B03921" w:rsidP="00016914"/>
    <w:p w:rsidR="00B03921" w:rsidRDefault="00B03921" w:rsidP="00016914">
      <w:pPr>
        <w:sectPr w:rsidR="00B03921" w:rsidSect="00016914">
          <w:headerReference w:type="even" r:id="rId31"/>
          <w:headerReference w:type="default" r:id="rId32"/>
          <w:footerReference w:type="even" r:id="rId33"/>
          <w:footerReference w:type="default" r:id="rId34"/>
          <w:headerReference w:type="first" r:id="rId35"/>
          <w:footerReference w:type="first" r:id="rId36"/>
          <w:pgSz w:w="9979" w:h="14170" w:code="34"/>
          <w:pgMar w:top="1138" w:right="1138" w:bottom="1138" w:left="1138" w:header="720" w:footer="432" w:gutter="0"/>
          <w:cols w:space="708"/>
          <w:docGrid w:linePitch="360"/>
        </w:sectPr>
      </w:pPr>
    </w:p>
    <w:p w:rsidR="00B03921" w:rsidRPr="00252214" w:rsidRDefault="00B03921" w:rsidP="00016914">
      <w:pPr>
        <w:pStyle w:val="Heading1"/>
      </w:pPr>
      <w:bookmarkStart w:id="118" w:name="_Toc418274758"/>
      <w:r w:rsidRPr="00252214">
        <w:t>Department of Education and Training</w:t>
      </w:r>
      <w:bookmarkEnd w:id="118"/>
    </w:p>
    <w:p w:rsidR="00B03921" w:rsidRDefault="00B03921" w:rsidP="00016914">
      <w:pPr>
        <w:pStyle w:val="Heading2"/>
        <w:spacing w:before="180"/>
      </w:pPr>
      <w:r>
        <w:t>Operating performance</w:t>
      </w:r>
    </w:p>
    <w:p w:rsidR="00B03921" w:rsidRDefault="00B03921" w:rsidP="00016914">
      <w:r>
        <w:t>The Department of Education and Training is expected to have a net result from transactions of $116 million for 2015</w:t>
      </w:r>
      <w:r>
        <w:noBreakHyphen/>
        <w:t>16.</w:t>
      </w:r>
    </w:p>
    <w:p w:rsidR="00B03921" w:rsidRDefault="00B03921" w:rsidP="00016914">
      <w:r>
        <w:t>The operating statement shows an increase in total income from transactions to $12 816 million in 2015</w:t>
      </w:r>
      <w:r>
        <w:noBreakHyphen/>
        <w:t>16, compared to the 2014</w:t>
      </w:r>
      <w:r>
        <w:noBreakHyphen/>
        <w:t xml:space="preserve">15 revised budget of $12 343 million (3.8 per cent). This is primarily a result of indexation on existing funding and additional funding for initiatives including: </w:t>
      </w:r>
    </w:p>
    <w:p w:rsidR="00B03921" w:rsidRDefault="00B03921" w:rsidP="00016914">
      <w:pPr>
        <w:pStyle w:val="BulletText"/>
      </w:pPr>
      <w:r>
        <w:t xml:space="preserve">School enrolment based funding for the 2015 calendar year; </w:t>
      </w:r>
    </w:p>
    <w:p w:rsidR="00B03921" w:rsidRDefault="00B03921" w:rsidP="00016914">
      <w:pPr>
        <w:pStyle w:val="BulletText"/>
      </w:pPr>
      <w:r>
        <w:t xml:space="preserve">TAFE Rescue Fund; </w:t>
      </w:r>
    </w:p>
    <w:p w:rsidR="00B03921" w:rsidRDefault="00B03921" w:rsidP="00016914">
      <w:pPr>
        <w:pStyle w:val="BulletText"/>
      </w:pPr>
      <w:r>
        <w:t>Camps, Sports and Excursions Fund; and</w:t>
      </w:r>
    </w:p>
    <w:p w:rsidR="00B03921" w:rsidRDefault="00B03921" w:rsidP="00016914">
      <w:pPr>
        <w:pStyle w:val="BulletText"/>
      </w:pPr>
      <w:r>
        <w:t>Asbestos removal p</w:t>
      </w:r>
      <w:r w:rsidRPr="00B26BD6">
        <w:t>rogram</w:t>
      </w:r>
      <w:r>
        <w:t>.</w:t>
      </w:r>
    </w:p>
    <w:p w:rsidR="00B03921" w:rsidRDefault="00B03921" w:rsidP="00016914">
      <w:r>
        <w:t>Additional Education State funding will be allocated from central provisions to the Department of Education and Training for the 2016 school year.</w:t>
      </w:r>
    </w:p>
    <w:p w:rsidR="00B03921" w:rsidRDefault="00B03921" w:rsidP="00016914">
      <w:r>
        <w:t>Total operating expenses are budgeted to increase by $392 million (3.2 per cent) between the 2014</w:t>
      </w:r>
      <w:r>
        <w:noBreakHyphen/>
        <w:t>15 revised budget and the 2015</w:t>
      </w:r>
      <w:r>
        <w:noBreakHyphen/>
        <w:t>16 budget in line with the increase in revenue for the year.</w:t>
      </w:r>
    </w:p>
    <w:p w:rsidR="00B03921" w:rsidRDefault="00B03921" w:rsidP="00016914">
      <w:pPr>
        <w:pStyle w:val="Heading2"/>
        <w:spacing w:before="180"/>
      </w:pPr>
      <w:r>
        <w:t>Balance sheet</w:t>
      </w:r>
    </w:p>
    <w:p w:rsidR="00B03921" w:rsidRDefault="00B03921" w:rsidP="00016914">
      <w:r>
        <w:t>The Department</w:t>
      </w:r>
      <w:r w:rsidR="00BA5A16">
        <w:t>’</w:t>
      </w:r>
      <w:r>
        <w:t>s net asset position is expected to increase by $177 million compared to the 2014</w:t>
      </w:r>
      <w:r>
        <w:noBreakHyphen/>
        <w:t xml:space="preserve">15 revised budget, reflecting a projected increase in total assets of $205 million and an increase in total liabilities of $28 million. </w:t>
      </w:r>
    </w:p>
    <w:p w:rsidR="00B03921" w:rsidRDefault="00B03921" w:rsidP="00016914">
      <w:r>
        <w:t>The expected increase in total assets from the 2014</w:t>
      </w:r>
      <w:r>
        <w:noBreakHyphen/>
        <w:t>15 revised budget to the 2015</w:t>
      </w:r>
      <w:r>
        <w:noBreakHyphen/>
        <w:t>16 budget is primarily attributable to an increase in property, plant and equipment under the State</w:t>
      </w:r>
      <w:r w:rsidR="00BA5A16">
        <w:t>’</w:t>
      </w:r>
      <w:r>
        <w:t>s continued investment for major upgrades in schools and TAFEs, and the construction of new schools.</w:t>
      </w:r>
    </w:p>
    <w:p w:rsidR="00B03921" w:rsidRDefault="00B03921" w:rsidP="00016914">
      <w:pPr>
        <w:pStyle w:val="Heading2"/>
        <w:spacing w:before="180"/>
      </w:pPr>
      <w:r>
        <w:t>Investing and financing</w:t>
      </w:r>
    </w:p>
    <w:p w:rsidR="00B03921" w:rsidRDefault="00B03921" w:rsidP="00016914">
      <w:r>
        <w:t>Cash flows from operating activities are consistent with the trends discussed in the statement of operating performance.</w:t>
      </w:r>
    </w:p>
    <w:p w:rsidR="00B03921" w:rsidRDefault="00B03921" w:rsidP="00016914">
      <w:r>
        <w:t>Cash flows from investing activities primarily reflect the purchase of property, plant and equipment for the continued asset commitment in the school and TAFE sectors, including:</w:t>
      </w:r>
    </w:p>
    <w:p w:rsidR="00B03921" w:rsidRDefault="00B03921" w:rsidP="00016914">
      <w:pPr>
        <w:pStyle w:val="BulletText"/>
      </w:pPr>
      <w:r>
        <w:t>School modernisations;</w:t>
      </w:r>
    </w:p>
    <w:p w:rsidR="00B03921" w:rsidRDefault="00B03921" w:rsidP="00016914">
      <w:pPr>
        <w:pStyle w:val="BulletText"/>
      </w:pPr>
      <w:r>
        <w:t>Land acquisition;</w:t>
      </w:r>
    </w:p>
    <w:p w:rsidR="00B03921" w:rsidRDefault="00B03921" w:rsidP="00016914">
      <w:pPr>
        <w:pStyle w:val="BulletText"/>
      </w:pPr>
      <w:r>
        <w:t>Relocatable classroom program; and</w:t>
      </w:r>
    </w:p>
    <w:p w:rsidR="00B03921" w:rsidRDefault="00B03921" w:rsidP="00016914">
      <w:pPr>
        <w:pStyle w:val="BulletText"/>
      </w:pPr>
      <w:r>
        <w:t>TAFE Rescue Fund.</w:t>
      </w:r>
    </w:p>
    <w:p w:rsidR="00B03921" w:rsidRDefault="00B03921" w:rsidP="00016914">
      <w:pPr>
        <w:pStyle w:val="Heading2"/>
        <w:spacing w:before="180"/>
      </w:pPr>
      <w:r w:rsidRPr="0090460D">
        <w:t>Administered items statement</w:t>
      </w:r>
    </w:p>
    <w:p w:rsidR="00B03921" w:rsidRDefault="00B03921" w:rsidP="00016914">
      <w:pPr>
        <w:spacing w:after="80"/>
      </w:pPr>
      <w:r>
        <w:t>Total income from transactions administered by the Department on behalf of the State is expected to increase by $169 million in 2015</w:t>
      </w:r>
      <w:r>
        <w:noBreakHyphen/>
        <w:t>16 compared to the 2014</w:t>
      </w:r>
      <w:r>
        <w:noBreakHyphen/>
        <w:t>15 revised budget. This is primarily due to an increase in recurrent Commonwealth funding provided to the non</w:t>
      </w:r>
      <w:r>
        <w:noBreakHyphen/>
        <w:t>government school sector under the School Funding Reform framework as part of the Commonwealth</w:t>
      </w:r>
      <w:r w:rsidR="00BA5A16">
        <w:t>’</w:t>
      </w:r>
      <w:r>
        <w:t xml:space="preserve">s </w:t>
      </w:r>
      <w:r w:rsidRPr="00A25614">
        <w:rPr>
          <w:i/>
        </w:rPr>
        <w:t>Australian Education Act 2013</w:t>
      </w:r>
      <w:r>
        <w:t>.</w:t>
      </w:r>
    </w:p>
    <w:p w:rsidR="00B03921" w:rsidRDefault="00B03921" w:rsidP="00016914">
      <w:pPr>
        <w:spacing w:after="80"/>
      </w:pPr>
      <w:r>
        <w:t>Total administered expenses are expected to increase in line with the anticipated increase in administered income.</w:t>
      </w:r>
    </w:p>
    <w:p w:rsidR="00B03921" w:rsidRDefault="00B03921">
      <w:pPr>
        <w:spacing w:after="0"/>
        <w:rPr>
          <w:rFonts w:ascii="Calibri" w:hAnsi="Calibri"/>
          <w:b/>
        </w:rPr>
      </w:pPr>
      <w:r>
        <w:br w:type="page"/>
      </w:r>
    </w:p>
    <w:p w:rsidR="00B03921" w:rsidRDefault="00B03921" w:rsidP="00016914">
      <w:pPr>
        <w:pStyle w:val="Tableheading"/>
        <w:spacing w:before="140"/>
      </w:pPr>
      <w:r>
        <w:t>Table 3.2.1:</w:t>
      </w:r>
      <w:r>
        <w:tab/>
        <w:t>Comprehensive operating statement</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8079E9" w:rsidRPr="00CD6886" w:rsidTr="008079E9">
        <w:trPr>
          <w:gridAfter w:val="1"/>
          <w:wAfter w:w="37" w:type="dxa"/>
          <w:trHeight w:val="454"/>
          <w:tblHeader/>
        </w:trPr>
        <w:tc>
          <w:tcPr>
            <w:tcW w:w="3784" w:type="dxa"/>
            <w:tcBorders>
              <w:top w:val="single" w:sz="6" w:space="0" w:color="auto"/>
              <w:left w:val="single" w:sz="6" w:space="0" w:color="auto"/>
              <w:right w:val="nil"/>
            </w:tcBorders>
            <w:shd w:val="clear" w:color="000000" w:fill="000000"/>
          </w:tcPr>
          <w:p w:rsidR="008079E9" w:rsidRPr="00CD6886" w:rsidRDefault="008079E9" w:rsidP="008079E9">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8079E9" w:rsidRPr="00CD6886" w:rsidRDefault="008079E9" w:rsidP="008079E9">
            <w:pPr>
              <w:pStyle w:val="Tabletextheading"/>
              <w:rPr>
                <w:rFonts w:eastAsiaTheme="minorEastAsia"/>
                <w:iCs/>
                <w:color w:val="FFFFFF"/>
                <w:lang w:eastAsia="en-AU"/>
              </w:rPr>
            </w:pPr>
            <w:r w:rsidRPr="00CD6886">
              <w:rPr>
                <w:rFonts w:eastAsiaTheme="minorEastAsia"/>
                <w:iCs/>
                <w:color w:val="FFFFFF"/>
                <w:lang w:eastAsia="en-AU"/>
              </w:rPr>
              <w:t>2013-14 actual</w:t>
            </w:r>
            <w:r w:rsidRPr="00CD6886">
              <w:rPr>
                <w:rFonts w:eastAsiaTheme="minorEastAsia"/>
                <w:iCs/>
                <w:color w:val="FFFFFF"/>
                <w:vertAlign w:val="superscript"/>
                <w:lang w:eastAsia="en-AU"/>
              </w:rPr>
              <w:t>(a)(</w:t>
            </w:r>
            <w:r w:rsidRPr="00CD6886">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8079E9" w:rsidRPr="00CD6886" w:rsidRDefault="008079E9" w:rsidP="008079E9">
            <w:pPr>
              <w:pStyle w:val="Tabletextheading"/>
              <w:rPr>
                <w:rFonts w:eastAsiaTheme="minorEastAsia"/>
                <w:iCs/>
                <w:color w:val="FFFFFF"/>
                <w:lang w:eastAsia="en-AU"/>
              </w:rPr>
            </w:pPr>
            <w:r w:rsidRPr="00CD6886">
              <w:rPr>
                <w:rFonts w:eastAsiaTheme="minorEastAsia"/>
                <w:iCs/>
                <w:color w:val="FFFFFF"/>
                <w:lang w:eastAsia="en-AU"/>
              </w:rPr>
              <w:t>2014-15 budget</w:t>
            </w:r>
            <w:r w:rsidRPr="00CD6886">
              <w:rPr>
                <w:rFonts w:eastAsiaTheme="minorEastAsia"/>
                <w:iCs/>
                <w:color w:val="FFFFFF"/>
                <w:vertAlign w:val="superscript"/>
                <w:lang w:eastAsia="en-AU"/>
              </w:rPr>
              <w:t>(a)(</w:t>
            </w:r>
            <w:r w:rsidRPr="00CD6886">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8079E9" w:rsidRPr="00CD6886" w:rsidRDefault="008079E9" w:rsidP="008079E9">
            <w:pPr>
              <w:pStyle w:val="Tabletextheading"/>
              <w:rPr>
                <w:rFonts w:eastAsiaTheme="minorEastAsia"/>
                <w:iCs/>
                <w:color w:val="FFFFFF"/>
                <w:lang w:eastAsia="en-AU"/>
              </w:rPr>
            </w:pPr>
            <w:r w:rsidRPr="00CD6886">
              <w:rPr>
                <w:rFonts w:eastAsiaTheme="minorEastAsia"/>
                <w:iCs/>
                <w:color w:val="FFFFFF"/>
                <w:lang w:eastAsia="en-AU"/>
              </w:rPr>
              <w:t>2014-15 revised</w:t>
            </w:r>
          </w:p>
        </w:tc>
        <w:tc>
          <w:tcPr>
            <w:tcW w:w="994" w:type="dxa"/>
            <w:tcBorders>
              <w:top w:val="single" w:sz="6" w:space="0" w:color="auto"/>
              <w:left w:val="nil"/>
              <w:right w:val="single" w:sz="6" w:space="0" w:color="auto"/>
            </w:tcBorders>
            <w:shd w:val="clear" w:color="000000" w:fill="000000"/>
          </w:tcPr>
          <w:p w:rsidR="008079E9" w:rsidRPr="00CD6886" w:rsidRDefault="008079E9" w:rsidP="008079E9">
            <w:pPr>
              <w:pStyle w:val="Tabletextheading"/>
              <w:rPr>
                <w:rFonts w:eastAsiaTheme="minorEastAsia"/>
                <w:iCs/>
                <w:color w:val="FFFFFF"/>
                <w:lang w:eastAsia="en-AU"/>
              </w:rPr>
            </w:pPr>
            <w:r w:rsidRPr="00CD6886">
              <w:rPr>
                <w:rFonts w:eastAsiaTheme="minorEastAsia"/>
                <w:iCs/>
                <w:color w:val="FFFFFF"/>
                <w:lang w:eastAsia="en-AU"/>
              </w:rPr>
              <w:t>2015-16 budget</w:t>
            </w:r>
          </w:p>
        </w:tc>
      </w:tr>
      <w:tr w:rsidR="008079E9" w:rsidRPr="00CD6886" w:rsidTr="008079E9">
        <w:trPr>
          <w:gridAfter w:val="1"/>
          <w:wAfter w:w="37" w:type="dxa"/>
        </w:trPr>
        <w:tc>
          <w:tcPr>
            <w:tcW w:w="7760" w:type="dxa"/>
            <w:gridSpan w:val="5"/>
            <w:tcBorders>
              <w:top w:val="single" w:sz="6" w:space="0" w:color="auto"/>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Net result from continuing operations</w:t>
            </w:r>
          </w:p>
        </w:tc>
      </w:tr>
      <w:tr w:rsidR="008079E9" w:rsidRPr="00CD6886" w:rsidTr="008079E9">
        <w:trPr>
          <w:gridAfter w:val="1"/>
          <w:wAfter w:w="37" w:type="dxa"/>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Income from transactions</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Output appropriations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10 516.9</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10 817.9</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10 979.8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11 407.8</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Special appropriations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0.2</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13.0</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13.0</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13.0</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Interest</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32.3</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35.2</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30.1</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29.1</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Sale of goods and services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691.1</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687.6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710.6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764.5</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Grants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103.6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20.1</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26.5</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8.4</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 income</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545.2</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577.4</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582.8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593.5</w:t>
            </w:r>
          </w:p>
        </w:tc>
      </w:tr>
      <w:tr w:rsidR="00B03921" w:rsidRPr="00CD6886" w:rsidTr="00016914">
        <w:trPr>
          <w:gridAfter w:val="1"/>
          <w:wAfter w:w="37" w:type="dxa"/>
        </w:trPr>
        <w:tc>
          <w:tcPr>
            <w:tcW w:w="3784" w:type="dxa"/>
            <w:tcBorders>
              <w:top w:val="single" w:sz="6" w:space="0" w:color="auto"/>
              <w:left w:val="nil"/>
              <w:bottom w:val="nil"/>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11 889.3</w:t>
            </w:r>
          </w:p>
        </w:tc>
        <w:tc>
          <w:tcPr>
            <w:tcW w:w="994" w:type="dxa"/>
            <w:tcBorders>
              <w:top w:val="single" w:sz="6" w:space="0" w:color="auto"/>
              <w:left w:val="nil"/>
              <w:bottom w:val="nil"/>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12 151.3</w:t>
            </w:r>
          </w:p>
        </w:tc>
        <w:tc>
          <w:tcPr>
            <w:tcW w:w="994" w:type="dxa"/>
            <w:tcBorders>
              <w:top w:val="single" w:sz="6" w:space="0" w:color="auto"/>
              <w:left w:val="nil"/>
              <w:bottom w:val="nil"/>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12 342.9</w:t>
            </w:r>
          </w:p>
        </w:tc>
        <w:tc>
          <w:tcPr>
            <w:tcW w:w="994" w:type="dxa"/>
            <w:tcBorders>
              <w:top w:val="single" w:sz="6" w:space="0" w:color="auto"/>
              <w:left w:val="nil"/>
              <w:bottom w:val="nil"/>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12 816.2</w:t>
            </w:r>
          </w:p>
        </w:tc>
      </w:tr>
      <w:tr w:rsidR="00CD6886" w:rsidRPr="00CD6886" w:rsidTr="00C908E2">
        <w:trPr>
          <w:gridAfter w:val="1"/>
          <w:wAfter w:w="37" w:type="dxa"/>
        </w:trPr>
        <w:tc>
          <w:tcPr>
            <w:tcW w:w="7760" w:type="dxa"/>
            <w:gridSpan w:val="5"/>
            <w:tcBorders>
              <w:top w:val="nil"/>
              <w:left w:val="nil"/>
              <w:bottom w:val="nil"/>
              <w:right w:val="nil"/>
            </w:tcBorders>
          </w:tcPr>
          <w:p w:rsidR="00CD6886" w:rsidRPr="00CD6886" w:rsidRDefault="00CD6886" w:rsidP="00CD6886">
            <w:pPr>
              <w:pStyle w:val="Tabletext"/>
              <w:rPr>
                <w:rFonts w:eastAsiaTheme="minorEastAsia"/>
                <w:b/>
                <w:lang w:eastAsia="en-AU"/>
              </w:rPr>
            </w:pPr>
            <w:r w:rsidRPr="00CD6886">
              <w:rPr>
                <w:rFonts w:eastAsiaTheme="minorEastAsia"/>
                <w:b/>
                <w:bCs/>
                <w:lang w:eastAsia="en-AU"/>
              </w:rPr>
              <w:t>Expenses from transactions</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Employee benefits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6 083.8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6 163.8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6 159.6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6 443.9</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 xml:space="preserve">Depreciation </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423.5</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406.5</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417.7</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420.1</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Interest expense</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15.8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14.8</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16.2</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15.1</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Grants and other transfers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835.7</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840.9</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845.7</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899.3</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Capital asset charge</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1 266.3</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1 287.1</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1 287.1</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1 291.7</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 operating expenses</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3 151.7</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3 393.9</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3 581.5</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3 629.8</w:t>
            </w:r>
          </w:p>
        </w:tc>
      </w:tr>
      <w:tr w:rsidR="00B03921" w:rsidRPr="00CD6886" w:rsidTr="00016914">
        <w:trPr>
          <w:gridAfter w:val="1"/>
          <w:wAfter w:w="37" w:type="dxa"/>
        </w:trPr>
        <w:tc>
          <w:tcPr>
            <w:tcW w:w="3784"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11 776.8</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12 107.0</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12 307.8</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12 699.8</w:t>
            </w:r>
          </w:p>
        </w:tc>
      </w:tr>
      <w:tr w:rsidR="00B03921" w:rsidRPr="00CD6886" w:rsidTr="00016914">
        <w:trPr>
          <w:gridAfter w:val="1"/>
          <w:wAfter w:w="37" w:type="dxa"/>
        </w:trPr>
        <w:tc>
          <w:tcPr>
            <w:tcW w:w="3784" w:type="dxa"/>
            <w:tcBorders>
              <w:top w:val="nil"/>
              <w:left w:val="nil"/>
              <w:bottom w:val="single" w:sz="12"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 xml:space="preserve">Net result from transactions </w:t>
            </w:r>
            <w:r w:rsidR="008E3FEB">
              <w:rPr>
                <w:rFonts w:eastAsiaTheme="minorEastAsia"/>
                <w:b/>
                <w:bCs/>
                <w:lang w:eastAsia="en-AU"/>
              </w:rPr>
              <w:br/>
            </w:r>
            <w:r w:rsidRPr="00CD6886">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112.5</w:t>
            </w:r>
          </w:p>
        </w:tc>
        <w:tc>
          <w:tcPr>
            <w:tcW w:w="994" w:type="dxa"/>
            <w:tcBorders>
              <w:top w:val="nil"/>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44.3</w:t>
            </w:r>
          </w:p>
        </w:tc>
        <w:tc>
          <w:tcPr>
            <w:tcW w:w="994" w:type="dxa"/>
            <w:tcBorders>
              <w:top w:val="nil"/>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35.0</w:t>
            </w:r>
          </w:p>
        </w:tc>
        <w:tc>
          <w:tcPr>
            <w:tcW w:w="994" w:type="dxa"/>
            <w:tcBorders>
              <w:top w:val="nil"/>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116.4</w:t>
            </w:r>
          </w:p>
        </w:tc>
      </w:tr>
      <w:tr w:rsidR="008079E9" w:rsidRPr="00CD6886" w:rsidTr="008079E9">
        <w:trPr>
          <w:gridAfter w:val="1"/>
          <w:wAfter w:w="37" w:type="dxa"/>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bCs/>
                <w:lang w:eastAsia="en-AU"/>
              </w:rPr>
            </w:pPr>
            <w:r w:rsidRPr="00CD6886">
              <w:rPr>
                <w:rFonts w:eastAsiaTheme="minorEastAsia"/>
                <w:b/>
                <w:bCs/>
                <w:lang w:eastAsia="en-AU"/>
              </w:rPr>
              <w:t>Other economic flows included in net result</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Net gain/(loss) on non-financial assets</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(846.2)</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13.3</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(29.5)</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(0.3)</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(5.1)</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(0.3)</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(1.0)</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(1.2)</w:t>
            </w:r>
          </w:p>
        </w:tc>
      </w:tr>
      <w:tr w:rsidR="00B03921" w:rsidRPr="00CD6886" w:rsidTr="00016914">
        <w:trPr>
          <w:gridAfter w:val="1"/>
          <w:wAfter w:w="37" w:type="dxa"/>
        </w:trPr>
        <w:tc>
          <w:tcPr>
            <w:tcW w:w="3784" w:type="dxa"/>
            <w:tcBorders>
              <w:top w:val="nil"/>
              <w:left w:val="nil"/>
              <w:bottom w:val="single" w:sz="6" w:space="0" w:color="auto"/>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 gains/(losses) from economic flows</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(8.6)</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(2.0)</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(1.0)</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(0.7)</w:t>
            </w:r>
          </w:p>
        </w:tc>
      </w:tr>
      <w:tr w:rsidR="00B03921" w:rsidRPr="00CD6886" w:rsidTr="00016914">
        <w:trPr>
          <w:gridAfter w:val="1"/>
          <w:wAfter w:w="37" w:type="dxa"/>
        </w:trPr>
        <w:tc>
          <w:tcPr>
            <w:tcW w:w="3784"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(859.9)</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11.0</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(31.4)</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(2.2)</w:t>
            </w:r>
          </w:p>
        </w:tc>
      </w:tr>
      <w:tr w:rsidR="00B03921" w:rsidRPr="00CD6886" w:rsidTr="00016914">
        <w:trPr>
          <w:gridAfter w:val="1"/>
          <w:wAfter w:w="37" w:type="dxa"/>
        </w:trPr>
        <w:tc>
          <w:tcPr>
            <w:tcW w:w="3784"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(747.4)</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55.3</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3.6</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114.2</w:t>
            </w:r>
          </w:p>
        </w:tc>
      </w:tr>
      <w:tr w:rsidR="008079E9" w:rsidRPr="00CD6886" w:rsidTr="008079E9">
        <w:tc>
          <w:tcPr>
            <w:tcW w:w="7797" w:type="dxa"/>
            <w:gridSpan w:val="6"/>
            <w:tcBorders>
              <w:top w:val="nil"/>
              <w:left w:val="nil"/>
              <w:bottom w:val="nil"/>
              <w:right w:val="nil"/>
            </w:tcBorders>
          </w:tcPr>
          <w:p w:rsidR="008079E9" w:rsidRPr="00CD6886" w:rsidRDefault="008079E9" w:rsidP="008079E9">
            <w:pPr>
              <w:pStyle w:val="Tabletext"/>
              <w:rPr>
                <w:rFonts w:eastAsiaTheme="minorEastAsia"/>
                <w:b/>
                <w:bCs/>
                <w:lang w:eastAsia="en-AU"/>
              </w:rPr>
            </w:pPr>
            <w:r w:rsidRPr="00CD6886">
              <w:rPr>
                <w:rFonts w:eastAsiaTheme="minorEastAsia"/>
                <w:b/>
                <w:bCs/>
                <w:lang w:eastAsia="en-AU"/>
              </w:rPr>
              <w:t xml:space="preserve">Other economic flows – other comprehensive income </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Asset revaluation reserve</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(416.0)</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(51.0)</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(10.6)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5.8</w:t>
            </w:r>
          </w:p>
        </w:tc>
      </w:tr>
      <w:tr w:rsidR="00B03921" w:rsidRPr="00CD6886" w:rsidTr="00016914">
        <w:trPr>
          <w:gridAfter w:val="1"/>
          <w:wAfter w:w="37" w:type="dxa"/>
        </w:trPr>
        <w:tc>
          <w:tcPr>
            <w:tcW w:w="3784"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364.3</w:t>
            </w:r>
          </w:p>
        </w:tc>
        <w:tc>
          <w:tcPr>
            <w:tcW w:w="994" w:type="dxa"/>
            <w:tcBorders>
              <w:top w:val="nil"/>
              <w:left w:val="nil"/>
              <w:bottom w:val="nil"/>
              <w:right w:val="nil"/>
            </w:tcBorders>
          </w:tcPr>
          <w:p w:rsidR="00B03921" w:rsidRPr="00CD6886" w:rsidRDefault="00B03921" w:rsidP="00016914">
            <w:pPr>
              <w:pStyle w:val="TableofFigures"/>
              <w:rPr>
                <w:rFonts w:eastAsiaTheme="minorEastAsia" w:cs="Calibri"/>
                <w:color w:val="000000"/>
                <w:lang w:eastAsia="en-AU"/>
              </w:rPr>
            </w:pPr>
            <w:r w:rsidRPr="00CD6886">
              <w:rPr>
                <w:rFonts w:eastAsiaTheme="minorEastAsia"/>
                <w:lang w:eastAsia="en-AU"/>
              </w:rPr>
              <w:t>(2.7)</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20.6</w:t>
            </w:r>
          </w:p>
        </w:tc>
        <w:tc>
          <w:tcPr>
            <w:tcW w:w="99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w:t>
            </w:r>
          </w:p>
        </w:tc>
      </w:tr>
      <w:tr w:rsidR="00B03921" w:rsidRPr="00CD6886" w:rsidTr="00016914">
        <w:trPr>
          <w:gridAfter w:val="1"/>
          <w:wAfter w:w="37" w:type="dxa"/>
        </w:trPr>
        <w:tc>
          <w:tcPr>
            <w:tcW w:w="3784"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(51.7)</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(53.8)</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10.0</w:t>
            </w:r>
          </w:p>
        </w:tc>
        <w:tc>
          <w:tcPr>
            <w:tcW w:w="99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5.8</w:t>
            </w:r>
          </w:p>
        </w:tc>
      </w:tr>
      <w:tr w:rsidR="00B03921" w:rsidRPr="00CD6886"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cs="Calibri"/>
                <w:b/>
                <w:bCs/>
                <w:color w:val="000000"/>
                <w:lang w:eastAsia="en-AU"/>
              </w:rPr>
            </w:pPr>
            <w:r w:rsidRPr="00CD6886">
              <w:rPr>
                <w:rFonts w:eastAsiaTheme="minorEastAsia"/>
                <w:b/>
                <w:bCs/>
                <w:lang w:eastAsia="en-AU"/>
              </w:rPr>
              <w:t>(799.1)</w:t>
            </w:r>
          </w:p>
        </w:tc>
        <w:tc>
          <w:tcPr>
            <w:tcW w:w="99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1.5</w:t>
            </w:r>
          </w:p>
        </w:tc>
        <w:tc>
          <w:tcPr>
            <w:tcW w:w="99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13.6</w:t>
            </w:r>
          </w:p>
        </w:tc>
        <w:tc>
          <w:tcPr>
            <w:tcW w:w="99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 xml:space="preserve"> 120.0</w:t>
            </w:r>
          </w:p>
        </w:tc>
      </w:tr>
    </w:tbl>
    <w:p w:rsidR="00B03921" w:rsidRDefault="00B03921" w:rsidP="00016914">
      <w:pPr>
        <w:pStyle w:val="Source"/>
      </w:pPr>
      <w:r w:rsidRPr="001D350D">
        <w:t xml:space="preserve">Sources: </w:t>
      </w:r>
      <w:r>
        <w:t>Departments of Education and Training,</w:t>
      </w:r>
      <w:r w:rsidRPr="001D350D">
        <w:t xml:space="preserve"> and Treasury and Finance</w:t>
      </w:r>
    </w:p>
    <w:p w:rsidR="00B03921" w:rsidRPr="000919DF" w:rsidRDefault="00B03921" w:rsidP="00016914">
      <w:pPr>
        <w:pStyle w:val="Notes"/>
      </w:pPr>
      <w:r>
        <w:t>Note</w:t>
      </w:r>
      <w:r w:rsidRPr="000919DF">
        <w:t>:</w:t>
      </w:r>
    </w:p>
    <w:p w:rsidR="00B03921" w:rsidRDefault="00B03921" w:rsidP="00016914">
      <w:pPr>
        <w:pStyle w:val="Notes"/>
      </w:pPr>
      <w:r w:rsidRPr="000919DF">
        <w:t xml:space="preserve">(a) </w:t>
      </w:r>
      <w:r w:rsidRPr="000919DF">
        <w:tab/>
        <w:t>Figures for 20</w:t>
      </w:r>
      <w:r>
        <w:t>13-</w:t>
      </w:r>
      <w:r w:rsidRPr="000919DF">
        <w:t>14 actual and 20</w:t>
      </w:r>
      <w:r>
        <w:t>14-</w:t>
      </w:r>
      <w:r w:rsidRPr="000919DF">
        <w:t>1</w:t>
      </w:r>
      <w:r>
        <w:t xml:space="preserve">5 budget reflect the operations </w:t>
      </w:r>
      <w:r w:rsidRPr="000919DF">
        <w:t>of the former Department of</w:t>
      </w:r>
      <w:r>
        <w:t xml:space="preserve"> </w:t>
      </w:r>
      <w:r w:rsidRPr="000919DF">
        <w:t xml:space="preserve">Education and Early Childhood Development included in the </w:t>
      </w:r>
      <w:r w:rsidRPr="000919DF">
        <w:rPr>
          <w:i w:val="0"/>
        </w:rPr>
        <w:t>2013</w:t>
      </w:r>
      <w:r>
        <w:rPr>
          <w:i w:val="0"/>
        </w:rPr>
        <w:noBreakHyphen/>
      </w:r>
      <w:r w:rsidRPr="000919DF">
        <w:rPr>
          <w:i w:val="0"/>
        </w:rPr>
        <w:t>14 Financial Report</w:t>
      </w:r>
      <w:r w:rsidRPr="000919DF">
        <w:t xml:space="preserve"> for the State of Victoria or the </w:t>
      </w:r>
      <w:r w:rsidRPr="000919DF">
        <w:rPr>
          <w:i w:val="0"/>
        </w:rPr>
        <w:t>2014</w:t>
      </w:r>
      <w:r>
        <w:rPr>
          <w:i w:val="0"/>
        </w:rPr>
        <w:noBreakHyphen/>
      </w:r>
      <w:r w:rsidRPr="000919DF">
        <w:rPr>
          <w:i w:val="0"/>
        </w:rPr>
        <w:t>15 Budget</w:t>
      </w:r>
      <w:r>
        <w:rPr>
          <w:i w:val="0"/>
        </w:rPr>
        <w:t xml:space="preserve">, </w:t>
      </w:r>
      <w:r>
        <w:t>which do not include the impact of machinery of government changes effective from 1 January 2015.</w:t>
      </w:r>
    </w:p>
    <w:p w:rsidR="00B03921" w:rsidRDefault="00B03921" w:rsidP="00016914">
      <w:pPr>
        <w:pStyle w:val="Notes"/>
      </w:pPr>
      <w:r>
        <w:t>(b)</w:t>
      </w:r>
      <w:r>
        <w:tab/>
        <w:t>Figures for 2013-14 actual and 2014-15 budget have been restated to incorporate a change in accounting policy for the fair value of fixed assets.</w:t>
      </w:r>
    </w:p>
    <w:p w:rsidR="00B03921" w:rsidRDefault="00B03921">
      <w:pPr>
        <w:spacing w:after="0"/>
        <w:rPr>
          <w:rFonts w:ascii="Calibri" w:hAnsi="Calibri"/>
          <w:b/>
        </w:rPr>
      </w:pPr>
      <w:r>
        <w:br w:type="page"/>
      </w:r>
    </w:p>
    <w:p w:rsidR="00B03921" w:rsidRDefault="00B03921" w:rsidP="00016914">
      <w:pPr>
        <w:pStyle w:val="Tableheading"/>
      </w:pPr>
      <w:r>
        <w:t>Table 3.2.2:</w:t>
      </w:r>
      <w:r>
        <w:tab/>
        <w:t>Balance sheet</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559"/>
        <w:gridCol w:w="1148"/>
        <w:gridCol w:w="1175"/>
        <w:gridCol w:w="924"/>
        <w:gridCol w:w="954"/>
      </w:tblGrid>
      <w:tr w:rsidR="008079E9" w:rsidRPr="00CD6886" w:rsidTr="008079E9">
        <w:trPr>
          <w:cantSplit/>
          <w:tblHeader/>
        </w:trPr>
        <w:tc>
          <w:tcPr>
            <w:tcW w:w="3559" w:type="dxa"/>
            <w:vMerge w:val="restart"/>
            <w:tcBorders>
              <w:top w:val="single" w:sz="6" w:space="0" w:color="auto"/>
              <w:left w:val="single" w:sz="6" w:space="0" w:color="auto"/>
              <w:right w:val="nil"/>
            </w:tcBorders>
            <w:shd w:val="clear" w:color="000000" w:fill="000000"/>
          </w:tcPr>
          <w:p w:rsidR="008079E9" w:rsidRPr="00CD6886" w:rsidRDefault="008079E9" w:rsidP="00016914">
            <w:pPr>
              <w:pStyle w:val="Tabletext"/>
              <w:rPr>
                <w:rFonts w:eastAsiaTheme="minorEastAsia"/>
                <w:i/>
                <w:lang w:eastAsia="en-AU"/>
              </w:rPr>
            </w:pPr>
          </w:p>
        </w:tc>
        <w:tc>
          <w:tcPr>
            <w:tcW w:w="1148" w:type="dxa"/>
            <w:vMerge w:val="restart"/>
            <w:tcBorders>
              <w:top w:val="single" w:sz="6" w:space="0" w:color="auto"/>
              <w:left w:val="nil"/>
              <w:right w:val="nil"/>
            </w:tcBorders>
            <w:shd w:val="clear" w:color="000000" w:fill="000000"/>
          </w:tcPr>
          <w:p w:rsidR="008079E9" w:rsidRPr="00CD6886" w:rsidRDefault="008079E9" w:rsidP="00016914">
            <w:pPr>
              <w:pStyle w:val="Tabletextheading"/>
              <w:rPr>
                <w:rFonts w:eastAsiaTheme="minorEastAsia"/>
                <w:color w:val="FFFFFF"/>
                <w:lang w:eastAsia="en-AU"/>
              </w:rPr>
            </w:pPr>
          </w:p>
          <w:p w:rsidR="008079E9" w:rsidRPr="00CD6886" w:rsidRDefault="008079E9" w:rsidP="008079E9">
            <w:pPr>
              <w:pStyle w:val="Tabletextheading"/>
              <w:rPr>
                <w:rFonts w:eastAsiaTheme="minorEastAsia"/>
                <w:color w:val="FFFFFF"/>
                <w:lang w:eastAsia="en-AU"/>
              </w:rPr>
            </w:pPr>
            <w:r w:rsidRPr="00CD6886">
              <w:rPr>
                <w:rFonts w:eastAsiaTheme="minorEastAsia"/>
                <w:color w:val="FFFFFF"/>
                <w:lang w:eastAsia="en-AU"/>
              </w:rPr>
              <w:t>2014 actual</w:t>
            </w:r>
            <w:r w:rsidRPr="00CD6886">
              <w:rPr>
                <w:rFonts w:eastAsiaTheme="minorEastAsia"/>
                <w:color w:val="FFFFFF"/>
                <w:vertAlign w:val="superscript"/>
                <w:lang w:eastAsia="en-AU"/>
              </w:rPr>
              <w:t>(a)(b)</w:t>
            </w:r>
          </w:p>
        </w:tc>
        <w:tc>
          <w:tcPr>
            <w:tcW w:w="3053" w:type="dxa"/>
            <w:gridSpan w:val="3"/>
            <w:tcBorders>
              <w:top w:val="single" w:sz="6" w:space="0" w:color="auto"/>
              <w:left w:val="nil"/>
              <w:bottom w:val="nil"/>
              <w:right w:val="single" w:sz="6" w:space="0" w:color="auto"/>
            </w:tcBorders>
            <w:shd w:val="clear" w:color="000000" w:fill="000000"/>
          </w:tcPr>
          <w:p w:rsidR="008079E9" w:rsidRPr="00CD6886" w:rsidRDefault="008079E9" w:rsidP="00016914">
            <w:pPr>
              <w:pStyle w:val="Tabletextheading"/>
              <w:jc w:val="center"/>
              <w:rPr>
                <w:rFonts w:eastAsiaTheme="minorEastAsia"/>
                <w:color w:val="FFFFFF"/>
                <w:lang w:eastAsia="en-AU"/>
              </w:rPr>
            </w:pPr>
            <w:r w:rsidRPr="00CD6886">
              <w:rPr>
                <w:rFonts w:eastAsiaTheme="minorEastAsia"/>
                <w:color w:val="FFFFFF"/>
                <w:lang w:eastAsia="en-AU"/>
              </w:rPr>
              <w:t>Estimated as at 30 June</w:t>
            </w:r>
          </w:p>
        </w:tc>
      </w:tr>
      <w:tr w:rsidR="008079E9" w:rsidRPr="00CD6886" w:rsidTr="008079E9">
        <w:trPr>
          <w:cantSplit/>
          <w:trHeight w:val="488"/>
          <w:tblHeader/>
        </w:trPr>
        <w:tc>
          <w:tcPr>
            <w:tcW w:w="3559" w:type="dxa"/>
            <w:vMerge/>
            <w:tcBorders>
              <w:left w:val="single" w:sz="6" w:space="0" w:color="auto"/>
              <w:right w:val="nil"/>
            </w:tcBorders>
            <w:shd w:val="clear" w:color="000000" w:fill="000000"/>
          </w:tcPr>
          <w:p w:rsidR="008079E9" w:rsidRPr="00CD6886" w:rsidRDefault="008079E9" w:rsidP="00016914">
            <w:pPr>
              <w:pStyle w:val="Tabletext"/>
              <w:rPr>
                <w:rFonts w:eastAsiaTheme="minorEastAsia"/>
                <w:lang w:eastAsia="en-AU"/>
              </w:rPr>
            </w:pPr>
          </w:p>
        </w:tc>
        <w:tc>
          <w:tcPr>
            <w:tcW w:w="1148" w:type="dxa"/>
            <w:vMerge/>
            <w:tcBorders>
              <w:left w:val="nil"/>
              <w:right w:val="nil"/>
            </w:tcBorders>
            <w:shd w:val="clear" w:color="000000" w:fill="000000"/>
          </w:tcPr>
          <w:p w:rsidR="008079E9" w:rsidRPr="00CD6886" w:rsidRDefault="008079E9" w:rsidP="00016914">
            <w:pPr>
              <w:pStyle w:val="Tabletextheading"/>
              <w:rPr>
                <w:rFonts w:eastAsiaTheme="minorEastAsia"/>
                <w:color w:val="FFFFFF"/>
                <w:lang w:eastAsia="en-AU"/>
              </w:rPr>
            </w:pPr>
          </w:p>
        </w:tc>
        <w:tc>
          <w:tcPr>
            <w:tcW w:w="1175" w:type="dxa"/>
            <w:tcBorders>
              <w:top w:val="nil"/>
              <w:left w:val="nil"/>
              <w:right w:val="nil"/>
            </w:tcBorders>
            <w:shd w:val="clear" w:color="000000" w:fill="000000"/>
          </w:tcPr>
          <w:p w:rsidR="008079E9" w:rsidRPr="00CD6886" w:rsidRDefault="008079E9" w:rsidP="008079E9">
            <w:pPr>
              <w:pStyle w:val="Tabletextheading"/>
              <w:rPr>
                <w:rFonts w:eastAsiaTheme="minorEastAsia"/>
                <w:color w:val="FFFFFF"/>
                <w:lang w:eastAsia="en-AU"/>
              </w:rPr>
            </w:pPr>
            <w:r w:rsidRPr="00CD6886">
              <w:rPr>
                <w:rFonts w:eastAsiaTheme="minorEastAsia"/>
                <w:color w:val="FFFFFF"/>
                <w:lang w:eastAsia="en-AU"/>
              </w:rPr>
              <w:t>2015 budget</w:t>
            </w:r>
            <w:r w:rsidRPr="00CD6886">
              <w:rPr>
                <w:rFonts w:eastAsiaTheme="minorEastAsia"/>
                <w:color w:val="FFFFFF"/>
                <w:vertAlign w:val="superscript"/>
                <w:lang w:eastAsia="en-AU"/>
              </w:rPr>
              <w:t>(a)(b)(c)</w:t>
            </w:r>
          </w:p>
        </w:tc>
        <w:tc>
          <w:tcPr>
            <w:tcW w:w="924" w:type="dxa"/>
            <w:tcBorders>
              <w:top w:val="nil"/>
              <w:left w:val="nil"/>
              <w:right w:val="nil"/>
            </w:tcBorders>
            <w:shd w:val="clear" w:color="000000" w:fill="000000"/>
          </w:tcPr>
          <w:p w:rsidR="008079E9" w:rsidRPr="00CD6886" w:rsidRDefault="008079E9" w:rsidP="008079E9">
            <w:pPr>
              <w:pStyle w:val="Tabletextheading"/>
              <w:rPr>
                <w:rFonts w:eastAsiaTheme="minorEastAsia"/>
                <w:color w:val="FFFFFF"/>
                <w:lang w:eastAsia="en-AU"/>
              </w:rPr>
            </w:pPr>
            <w:r w:rsidRPr="00CD6886">
              <w:rPr>
                <w:rFonts w:eastAsiaTheme="minorEastAsia"/>
                <w:color w:val="FFFFFF"/>
                <w:lang w:eastAsia="en-AU"/>
              </w:rPr>
              <w:t>2015 revised</w:t>
            </w:r>
          </w:p>
        </w:tc>
        <w:tc>
          <w:tcPr>
            <w:tcW w:w="954" w:type="dxa"/>
            <w:tcBorders>
              <w:top w:val="nil"/>
              <w:left w:val="nil"/>
              <w:right w:val="single" w:sz="6" w:space="0" w:color="auto"/>
            </w:tcBorders>
            <w:shd w:val="clear" w:color="000000" w:fill="000000"/>
          </w:tcPr>
          <w:p w:rsidR="008079E9" w:rsidRPr="00CD6886" w:rsidRDefault="008079E9" w:rsidP="008079E9">
            <w:pPr>
              <w:pStyle w:val="Tabletextheading"/>
              <w:rPr>
                <w:rFonts w:eastAsiaTheme="minorEastAsia"/>
                <w:color w:val="FFFFFF"/>
                <w:lang w:eastAsia="en-AU"/>
              </w:rPr>
            </w:pPr>
            <w:r w:rsidRPr="00CD6886">
              <w:rPr>
                <w:rFonts w:eastAsiaTheme="minorEastAsia"/>
                <w:color w:val="FFFFFF"/>
                <w:lang w:eastAsia="en-AU"/>
              </w:rPr>
              <w:t>2016 budget</w:t>
            </w:r>
          </w:p>
        </w:tc>
      </w:tr>
      <w:tr w:rsidR="008079E9" w:rsidRPr="00CD6886" w:rsidTr="008079E9">
        <w:trPr>
          <w:cantSplit/>
        </w:trPr>
        <w:tc>
          <w:tcPr>
            <w:tcW w:w="7760" w:type="dxa"/>
            <w:gridSpan w:val="5"/>
            <w:tcBorders>
              <w:top w:val="single" w:sz="6" w:space="0" w:color="auto"/>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Assets</w:t>
            </w:r>
          </w:p>
        </w:tc>
      </w:tr>
      <w:tr w:rsidR="008079E9" w:rsidRPr="00CD6886" w:rsidTr="008079E9">
        <w:trPr>
          <w:cantSplit/>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Financial assets</w:t>
            </w:r>
            <w:r w:rsidRPr="00CD6886">
              <w:rPr>
                <w:rFonts w:eastAsiaTheme="minorEastAsia"/>
                <w:b/>
                <w:lang w:eastAsia="en-AU"/>
              </w:rPr>
              <w:t xml:space="preserve"> </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Cash and deposits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801.6</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796.0</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858.0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882.6</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Receivables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1 321.5</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1 351.7</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1 524.8</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1 614.9</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 financial assets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424.5</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437.1</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359.0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380.0</w:t>
            </w:r>
          </w:p>
        </w:tc>
      </w:tr>
      <w:tr w:rsidR="00B03921" w:rsidRPr="00CD6886" w:rsidTr="00016914">
        <w:trPr>
          <w:cantSplit/>
        </w:trPr>
        <w:tc>
          <w:tcPr>
            <w:tcW w:w="3559"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financial assets</w:t>
            </w:r>
          </w:p>
        </w:tc>
        <w:tc>
          <w:tcPr>
            <w:tcW w:w="1148"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2 547.6</w:t>
            </w:r>
          </w:p>
        </w:tc>
        <w:tc>
          <w:tcPr>
            <w:tcW w:w="1175"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2 584.7</w:t>
            </w:r>
          </w:p>
        </w:tc>
        <w:tc>
          <w:tcPr>
            <w:tcW w:w="92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2 741.9</w:t>
            </w:r>
          </w:p>
        </w:tc>
        <w:tc>
          <w:tcPr>
            <w:tcW w:w="95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2 877.5</w:t>
            </w:r>
          </w:p>
        </w:tc>
      </w:tr>
      <w:tr w:rsidR="008079E9" w:rsidRPr="00CD6886" w:rsidTr="008079E9">
        <w:trPr>
          <w:cantSplit/>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Non-financial assets</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Inventories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3.8</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4.9</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2.4</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2.3</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Non-financial assets classified as held for sale including disposal group assets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121.9</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121.9</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111.7</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111.7</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Property, plant and equipment</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18 130.7</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18 189.8</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18 073.6</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18 136.0</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Biological assets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3.1</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3.0</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2.2</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1.8</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Investment properties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31.0</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35.5</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33.0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33.0</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Intangible assets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108.6</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108.0</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78.0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86.4</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Other</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29.8</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29.4</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29.2</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28.4</w:t>
            </w:r>
          </w:p>
        </w:tc>
      </w:tr>
      <w:tr w:rsidR="00B03921" w:rsidRPr="00CD6886" w:rsidTr="00016914">
        <w:trPr>
          <w:cantSplit/>
        </w:trPr>
        <w:tc>
          <w:tcPr>
            <w:tcW w:w="3559"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non-financial assets</w:t>
            </w:r>
          </w:p>
        </w:tc>
        <w:tc>
          <w:tcPr>
            <w:tcW w:w="1148"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18 428.8</w:t>
            </w:r>
          </w:p>
        </w:tc>
        <w:tc>
          <w:tcPr>
            <w:tcW w:w="1175"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18 492.5</w:t>
            </w:r>
          </w:p>
        </w:tc>
        <w:tc>
          <w:tcPr>
            <w:tcW w:w="92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18 329.9</w:t>
            </w:r>
          </w:p>
        </w:tc>
        <w:tc>
          <w:tcPr>
            <w:tcW w:w="95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18 399.5</w:t>
            </w:r>
          </w:p>
        </w:tc>
      </w:tr>
      <w:tr w:rsidR="00B03921" w:rsidRPr="00CD6886" w:rsidTr="00016914">
        <w:trPr>
          <w:cantSplit/>
        </w:trPr>
        <w:tc>
          <w:tcPr>
            <w:tcW w:w="3559"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assets</w:t>
            </w:r>
          </w:p>
        </w:tc>
        <w:tc>
          <w:tcPr>
            <w:tcW w:w="1148"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20 976.4</w:t>
            </w:r>
          </w:p>
        </w:tc>
        <w:tc>
          <w:tcPr>
            <w:tcW w:w="1175"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21 077.2</w:t>
            </w:r>
          </w:p>
        </w:tc>
        <w:tc>
          <w:tcPr>
            <w:tcW w:w="92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21 071.8</w:t>
            </w:r>
          </w:p>
        </w:tc>
        <w:tc>
          <w:tcPr>
            <w:tcW w:w="95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21 277.0</w:t>
            </w:r>
          </w:p>
        </w:tc>
      </w:tr>
      <w:tr w:rsidR="008079E9" w:rsidRPr="00CD6886" w:rsidTr="008079E9">
        <w:trPr>
          <w:cantSplit/>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Liabilities</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Payables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605.9</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609.2</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612.0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598.6</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Borrowings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220.5</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221.8</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202.0</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197.3</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Provisions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1 423.1</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1 466.4</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1 455.2</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1 501.4</w:t>
            </w:r>
          </w:p>
        </w:tc>
      </w:tr>
      <w:tr w:rsidR="00B03921" w:rsidRPr="00CD6886" w:rsidTr="00016914">
        <w:trPr>
          <w:cantSplit/>
        </w:trPr>
        <w:tc>
          <w:tcPr>
            <w:tcW w:w="3559" w:type="dxa"/>
            <w:tcBorders>
              <w:top w:val="single" w:sz="6" w:space="0" w:color="auto"/>
              <w:left w:val="nil"/>
              <w:bottom w:val="single" w:sz="6"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liabilities</w:t>
            </w:r>
          </w:p>
        </w:tc>
        <w:tc>
          <w:tcPr>
            <w:tcW w:w="1148"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2 249.5</w:t>
            </w:r>
          </w:p>
        </w:tc>
        <w:tc>
          <w:tcPr>
            <w:tcW w:w="1175"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2 297.4</w:t>
            </w:r>
          </w:p>
        </w:tc>
        <w:tc>
          <w:tcPr>
            <w:tcW w:w="92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2 269.3</w:t>
            </w:r>
          </w:p>
        </w:tc>
        <w:tc>
          <w:tcPr>
            <w:tcW w:w="954" w:type="dxa"/>
            <w:tcBorders>
              <w:top w:val="single" w:sz="6" w:space="0" w:color="auto"/>
              <w:left w:val="nil"/>
              <w:bottom w:val="single" w:sz="6"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2 297.2</w:t>
            </w:r>
          </w:p>
        </w:tc>
      </w:tr>
      <w:tr w:rsidR="00B03921" w:rsidRPr="00CD6886" w:rsidTr="00016914">
        <w:trPr>
          <w:cantSplit/>
        </w:trPr>
        <w:tc>
          <w:tcPr>
            <w:tcW w:w="3559" w:type="dxa"/>
            <w:tcBorders>
              <w:top w:val="single" w:sz="6" w:space="0" w:color="auto"/>
              <w:left w:val="nil"/>
              <w:bottom w:val="single" w:sz="12" w:space="0" w:color="auto"/>
              <w:right w:val="nil"/>
            </w:tcBorders>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Net assets</w:t>
            </w:r>
          </w:p>
        </w:tc>
        <w:tc>
          <w:tcPr>
            <w:tcW w:w="1148" w:type="dxa"/>
            <w:tcBorders>
              <w:top w:val="single" w:sz="6" w:space="0" w:color="auto"/>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18 726.9</w:t>
            </w:r>
          </w:p>
        </w:tc>
        <w:tc>
          <w:tcPr>
            <w:tcW w:w="1175" w:type="dxa"/>
            <w:tcBorders>
              <w:top w:val="single" w:sz="6" w:space="0" w:color="auto"/>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18 779.8</w:t>
            </w:r>
          </w:p>
        </w:tc>
        <w:tc>
          <w:tcPr>
            <w:tcW w:w="924" w:type="dxa"/>
            <w:tcBorders>
              <w:top w:val="single" w:sz="6" w:space="0" w:color="auto"/>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18 802.5</w:t>
            </w:r>
          </w:p>
        </w:tc>
        <w:tc>
          <w:tcPr>
            <w:tcW w:w="954" w:type="dxa"/>
            <w:tcBorders>
              <w:top w:val="single" w:sz="6" w:space="0" w:color="auto"/>
              <w:left w:val="nil"/>
              <w:bottom w:val="single" w:sz="12" w:space="0" w:color="auto"/>
              <w:right w:val="nil"/>
            </w:tcBorders>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18 979.7</w:t>
            </w:r>
          </w:p>
        </w:tc>
      </w:tr>
      <w:tr w:rsidR="008079E9" w:rsidRPr="00CD6886" w:rsidTr="008079E9">
        <w:trPr>
          <w:cantSplit/>
        </w:trPr>
        <w:tc>
          <w:tcPr>
            <w:tcW w:w="7760" w:type="dxa"/>
            <w:gridSpan w:val="5"/>
            <w:tcBorders>
              <w:top w:val="nil"/>
              <w:left w:val="nil"/>
              <w:bottom w:val="nil"/>
              <w:right w:val="nil"/>
            </w:tcBorders>
          </w:tcPr>
          <w:p w:rsidR="008079E9" w:rsidRPr="00CD6886" w:rsidRDefault="008079E9" w:rsidP="008079E9">
            <w:pPr>
              <w:pStyle w:val="Tabletext"/>
              <w:rPr>
                <w:rFonts w:eastAsiaTheme="minorEastAsia"/>
                <w:b/>
                <w:lang w:eastAsia="en-AU"/>
              </w:rPr>
            </w:pPr>
            <w:r w:rsidRPr="00CD6886">
              <w:rPr>
                <w:rFonts w:eastAsiaTheme="minorEastAsia"/>
                <w:b/>
                <w:bCs/>
                <w:lang w:eastAsia="en-AU"/>
              </w:rPr>
              <w:t>Equity</w:t>
            </w:r>
            <w:r w:rsidRPr="00CD6886">
              <w:rPr>
                <w:rFonts w:eastAsiaTheme="minorEastAsia"/>
                <w:b/>
                <w:lang w:eastAsia="en-AU"/>
              </w:rPr>
              <w:t xml:space="preserve"> </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Accumulated surplus/(deficit)</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1 880.3</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1 935.5</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1 903.7</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2 017.9</w:t>
            </w:r>
          </w:p>
        </w:tc>
      </w:tr>
      <w:tr w:rsidR="00B03921" w:rsidRPr="00CD6886" w:rsidTr="00016914">
        <w:trPr>
          <w:cantSplit/>
        </w:trPr>
        <w:tc>
          <w:tcPr>
            <w:tcW w:w="3559" w:type="dxa"/>
            <w:tcBorders>
              <w:top w:val="nil"/>
              <w:left w:val="nil"/>
              <w:bottom w:val="nil"/>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Reserves</w:t>
            </w:r>
          </w:p>
        </w:tc>
        <w:tc>
          <w:tcPr>
            <w:tcW w:w="1148"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7 563.6</w:t>
            </w:r>
          </w:p>
        </w:tc>
        <w:tc>
          <w:tcPr>
            <w:tcW w:w="1175"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7 509.8</w:t>
            </w:r>
          </w:p>
        </w:tc>
        <w:tc>
          <w:tcPr>
            <w:tcW w:w="92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7 553.7</w:t>
            </w:r>
          </w:p>
        </w:tc>
        <w:tc>
          <w:tcPr>
            <w:tcW w:w="954"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7 559.5</w:t>
            </w:r>
          </w:p>
        </w:tc>
      </w:tr>
      <w:tr w:rsidR="00B03921" w:rsidRPr="00CD6886" w:rsidTr="00016914">
        <w:trPr>
          <w:cantSplit/>
        </w:trPr>
        <w:tc>
          <w:tcPr>
            <w:tcW w:w="3559" w:type="dxa"/>
            <w:tcBorders>
              <w:top w:val="nil"/>
              <w:left w:val="nil"/>
              <w:bottom w:val="single" w:sz="6" w:space="0" w:color="auto"/>
              <w:right w:val="nil"/>
            </w:tcBorders>
          </w:tcPr>
          <w:p w:rsidR="00B03921" w:rsidRPr="00CD6886" w:rsidRDefault="00B03921" w:rsidP="00016914">
            <w:pPr>
              <w:pStyle w:val="Tabletext"/>
              <w:rPr>
                <w:rFonts w:eastAsiaTheme="minorEastAsia"/>
                <w:lang w:eastAsia="en-AU"/>
              </w:rPr>
            </w:pPr>
            <w:r w:rsidRPr="00CD6886">
              <w:rPr>
                <w:rFonts w:eastAsiaTheme="minorEastAsia"/>
                <w:lang w:eastAsia="en-AU"/>
              </w:rPr>
              <w:t>Contributed capital</w:t>
            </w:r>
          </w:p>
        </w:tc>
        <w:tc>
          <w:tcPr>
            <w:tcW w:w="1148"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9 283.1</w:t>
            </w:r>
          </w:p>
        </w:tc>
        <w:tc>
          <w:tcPr>
            <w:tcW w:w="1175"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9 334.4</w:t>
            </w:r>
          </w:p>
        </w:tc>
        <w:tc>
          <w:tcPr>
            <w:tcW w:w="924"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9 345.1</w:t>
            </w:r>
          </w:p>
        </w:tc>
        <w:tc>
          <w:tcPr>
            <w:tcW w:w="954"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9 402.3</w:t>
            </w:r>
          </w:p>
        </w:tc>
      </w:tr>
      <w:tr w:rsidR="00B03921" w:rsidRPr="00CD6886" w:rsidTr="00016914">
        <w:trPr>
          <w:cantSplit/>
        </w:trPr>
        <w:tc>
          <w:tcPr>
            <w:tcW w:w="3559"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text"/>
              <w:rPr>
                <w:rFonts w:eastAsiaTheme="minorEastAsia"/>
                <w:b/>
                <w:bCs/>
                <w:lang w:eastAsia="en-AU"/>
              </w:rPr>
            </w:pPr>
            <w:r w:rsidRPr="00CD6886">
              <w:rPr>
                <w:rFonts w:eastAsiaTheme="minorEastAsia"/>
                <w:b/>
                <w:bCs/>
                <w:lang w:eastAsia="en-AU"/>
              </w:rPr>
              <w:t>Total equity</w:t>
            </w:r>
          </w:p>
        </w:tc>
        <w:tc>
          <w:tcPr>
            <w:tcW w:w="1148"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18 726.9</w:t>
            </w:r>
          </w:p>
        </w:tc>
        <w:tc>
          <w:tcPr>
            <w:tcW w:w="1175"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18 779.8</w:t>
            </w:r>
          </w:p>
        </w:tc>
        <w:tc>
          <w:tcPr>
            <w:tcW w:w="92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18 802.5</w:t>
            </w:r>
          </w:p>
        </w:tc>
        <w:tc>
          <w:tcPr>
            <w:tcW w:w="954" w:type="dxa"/>
            <w:tcBorders>
              <w:top w:val="single" w:sz="6" w:space="0" w:color="auto"/>
              <w:left w:val="nil"/>
              <w:bottom w:val="single" w:sz="12" w:space="0" w:color="000000"/>
              <w:right w:val="nil"/>
            </w:tcBorders>
            <w:shd w:val="clear" w:color="auto" w:fill="auto"/>
          </w:tcPr>
          <w:p w:rsidR="00B03921" w:rsidRPr="00CD6886" w:rsidRDefault="00B03921" w:rsidP="00016914">
            <w:pPr>
              <w:pStyle w:val="TableofFigures"/>
              <w:rPr>
                <w:rFonts w:eastAsiaTheme="minorEastAsia"/>
                <w:b/>
                <w:bCs/>
                <w:lang w:eastAsia="en-AU"/>
              </w:rPr>
            </w:pPr>
            <w:r w:rsidRPr="00CD6886">
              <w:rPr>
                <w:rFonts w:eastAsiaTheme="minorEastAsia"/>
                <w:b/>
                <w:bCs/>
                <w:lang w:eastAsia="en-AU"/>
              </w:rPr>
              <w:t>18 979.7</w:t>
            </w:r>
          </w:p>
        </w:tc>
      </w:tr>
    </w:tbl>
    <w:p w:rsidR="00B03921" w:rsidRPr="001B6657" w:rsidRDefault="00B03921" w:rsidP="00016914">
      <w:pPr>
        <w:pStyle w:val="Source"/>
      </w:pPr>
      <w:r w:rsidRPr="001D350D">
        <w:t xml:space="preserve">Sources: </w:t>
      </w:r>
      <w:r>
        <w:t xml:space="preserve">Departments of </w:t>
      </w:r>
      <w:r w:rsidRPr="001B6657">
        <w:t>Education and Training, and Treasury and Finance</w:t>
      </w:r>
    </w:p>
    <w:p w:rsidR="00B03921" w:rsidRPr="000919DF" w:rsidRDefault="00B03921" w:rsidP="00016914">
      <w:pPr>
        <w:pStyle w:val="Notes"/>
      </w:pPr>
      <w:r>
        <w:t>Note</w:t>
      </w:r>
      <w:r w:rsidRPr="000919DF">
        <w:t>:</w:t>
      </w:r>
    </w:p>
    <w:p w:rsidR="00B03921" w:rsidRDefault="00B03921" w:rsidP="00016914">
      <w:pPr>
        <w:pStyle w:val="Notes"/>
      </w:pPr>
      <w:r w:rsidRPr="000919DF">
        <w:t xml:space="preserve">(a) </w:t>
      </w:r>
      <w:r w:rsidRPr="000919DF">
        <w:tab/>
        <w:t>Figures for 2014 actual and 2015 budget reflect the operations of the former Department of</w:t>
      </w:r>
      <w:r>
        <w:t xml:space="preserve"> </w:t>
      </w:r>
      <w:r w:rsidRPr="000919DF">
        <w:t xml:space="preserve">Education and Early Childhood Development included in the </w:t>
      </w:r>
      <w:r w:rsidRPr="000919DF">
        <w:rPr>
          <w:i w:val="0"/>
        </w:rPr>
        <w:t>2013</w:t>
      </w:r>
      <w:r>
        <w:rPr>
          <w:i w:val="0"/>
        </w:rPr>
        <w:noBreakHyphen/>
      </w:r>
      <w:r w:rsidRPr="000919DF">
        <w:rPr>
          <w:i w:val="0"/>
        </w:rPr>
        <w:t>14 Financial Report</w:t>
      </w:r>
      <w:r w:rsidRPr="000919DF">
        <w:t xml:space="preserve"> for the State of Victoria or the </w:t>
      </w:r>
      <w:r w:rsidRPr="000919DF">
        <w:rPr>
          <w:i w:val="0"/>
        </w:rPr>
        <w:t>2014</w:t>
      </w:r>
      <w:r>
        <w:rPr>
          <w:i w:val="0"/>
        </w:rPr>
        <w:noBreakHyphen/>
      </w:r>
      <w:r w:rsidRPr="000919DF">
        <w:rPr>
          <w:i w:val="0"/>
        </w:rPr>
        <w:t>15 Budget</w:t>
      </w:r>
      <w:r>
        <w:t>, which do not include the impact of machinery of government changes effective from 1 January 2015.</w:t>
      </w:r>
    </w:p>
    <w:p w:rsidR="00B03921" w:rsidRDefault="00B03921" w:rsidP="00016914">
      <w:pPr>
        <w:pStyle w:val="Notes"/>
      </w:pPr>
      <w:r>
        <w:t>(b)</w:t>
      </w:r>
      <w:r>
        <w:tab/>
      </w:r>
      <w:r w:rsidRPr="00F75B48">
        <w:t xml:space="preserve">Figures for </w:t>
      </w:r>
      <w:r>
        <w:t>20</w:t>
      </w:r>
      <w:r w:rsidRPr="00F75B48">
        <w:t>14 actual and 2015 budget have been r</w:t>
      </w:r>
      <w:r>
        <w:t xml:space="preserve">estated to incorporate a change </w:t>
      </w:r>
      <w:r w:rsidRPr="00F75B48">
        <w:t>i</w:t>
      </w:r>
      <w:r>
        <w:t>n</w:t>
      </w:r>
      <w:r w:rsidRPr="00F75B48">
        <w:t xml:space="preserve"> accounting policy for the fair value of fixed assets.</w:t>
      </w:r>
    </w:p>
    <w:p w:rsidR="00B03921" w:rsidRDefault="00B03921" w:rsidP="00016914">
      <w:pPr>
        <w:pStyle w:val="Notes"/>
      </w:pPr>
      <w:r>
        <w:t>(c)</w:t>
      </w:r>
      <w:r>
        <w:tab/>
        <w:t>The 2015 budget figures have been restated to reflect the 20</w:t>
      </w:r>
      <w:r w:rsidRPr="002C6181">
        <w:t>14 actual closing balance</w:t>
      </w:r>
      <w:r>
        <w:t>s</w:t>
      </w:r>
      <w:r w:rsidRPr="002C6181">
        <w:t>.</w:t>
      </w:r>
    </w:p>
    <w:p w:rsidR="00B03921" w:rsidRDefault="00B03921" w:rsidP="00016914">
      <w:pPr>
        <w:pStyle w:val="BodyText"/>
      </w:pPr>
    </w:p>
    <w:p w:rsidR="00B03921" w:rsidRPr="009251EC" w:rsidRDefault="00B03921" w:rsidP="00016914">
      <w:pPr>
        <w:pStyle w:val="BodyText"/>
      </w:pPr>
      <w:r>
        <w:br w:type="page"/>
      </w:r>
    </w:p>
    <w:p w:rsidR="00B03921" w:rsidRDefault="00B03921" w:rsidP="00016914">
      <w:pPr>
        <w:pStyle w:val="Tableheading"/>
      </w:pPr>
      <w:r>
        <w:t>Table 3.2.3: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8079E9" w:rsidRPr="00FE4FB8" w:rsidTr="008079E9">
        <w:trPr>
          <w:trHeight w:val="503"/>
          <w:tblHeader/>
        </w:trPr>
        <w:tc>
          <w:tcPr>
            <w:tcW w:w="3784"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8079E9" w:rsidRPr="00FE4FB8" w:rsidTr="008079E9">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operating activities</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Receipts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(b)</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10 447.5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10 817.0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10 782.4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11 359.0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609.5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688.1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29.3</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703.9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640.2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11 765.5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12 116.9</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12 125.6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12 716.6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(802.2)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(837.1)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(841.9)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(897.2)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(9 380.5)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(9 513.3)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(9 708.9)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(10 024.0)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(1 266.3)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(1 287.1)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(1 287.1)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(1 291.7)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(14.8)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(15.1)</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(11 464.8)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(11 652.4)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(11 854.1)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(12 228.0)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300.7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464.5</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271.5</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488.6</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(b)</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(66.8)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(791.6)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(527.7)</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(370.4)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(purchase)/disposal of investments – policy purposes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(832.4)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(522.4)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(296.5)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(502.6)</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(13.8)</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459.3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52.2</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81.5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38.7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(72.4)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56.4</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24.6</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874.1</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801.6</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801.6</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858.0</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801.6</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796.0</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858.0</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882.6</w:t>
            </w:r>
          </w:p>
        </w:tc>
      </w:tr>
    </w:tbl>
    <w:p w:rsidR="00B03921" w:rsidRDefault="00B03921" w:rsidP="00016914">
      <w:pPr>
        <w:pStyle w:val="Source"/>
      </w:pPr>
      <w:r w:rsidRPr="001D350D">
        <w:t>Source</w:t>
      </w:r>
      <w:r>
        <w:t>s</w:t>
      </w:r>
      <w:r w:rsidRPr="001D350D">
        <w:t xml:space="preserve">: </w:t>
      </w:r>
      <w:r>
        <w:t>Departments of Education and Training,</w:t>
      </w:r>
      <w:r w:rsidRPr="001D350D">
        <w:t xml:space="preserve"> and Treasury and Finance</w:t>
      </w:r>
    </w:p>
    <w:p w:rsidR="00B03921" w:rsidRPr="000919DF" w:rsidRDefault="00B03921" w:rsidP="00016914">
      <w:pPr>
        <w:pStyle w:val="Notes"/>
      </w:pPr>
      <w:r>
        <w:t>Note</w:t>
      </w:r>
      <w:r w:rsidRPr="000919DF">
        <w:t>:</w:t>
      </w:r>
    </w:p>
    <w:p w:rsidR="00B03921" w:rsidRPr="009251EC" w:rsidRDefault="00B03921" w:rsidP="00016914">
      <w:pPr>
        <w:pStyle w:val="Notes"/>
      </w:pPr>
      <w:r w:rsidRPr="000919DF">
        <w:t xml:space="preserve">(a) </w:t>
      </w:r>
      <w:r w:rsidRPr="000919DF">
        <w:tab/>
        <w:t>Figures for 20</w:t>
      </w:r>
      <w:r>
        <w:t>13-</w:t>
      </w:r>
      <w:r w:rsidRPr="000919DF">
        <w:t>14 actual and 20</w:t>
      </w:r>
      <w:r>
        <w:t>14-</w:t>
      </w:r>
      <w:r w:rsidRPr="000919DF">
        <w:t>15 budget reflect the operations of the former Department of</w:t>
      </w:r>
      <w:r>
        <w:t xml:space="preserve"> </w:t>
      </w:r>
      <w:r w:rsidRPr="000919DF">
        <w:t xml:space="preserve">Education and Early Childhood Development included in the </w:t>
      </w:r>
      <w:r w:rsidRPr="000919DF">
        <w:rPr>
          <w:i w:val="0"/>
        </w:rPr>
        <w:t>2013</w:t>
      </w:r>
      <w:r>
        <w:rPr>
          <w:i w:val="0"/>
        </w:rPr>
        <w:noBreakHyphen/>
      </w:r>
      <w:r w:rsidRPr="000919DF">
        <w:rPr>
          <w:i w:val="0"/>
        </w:rPr>
        <w:t>14 Financial Report</w:t>
      </w:r>
      <w:r w:rsidRPr="000919DF">
        <w:t xml:space="preserve"> for the State of Victoria or the </w:t>
      </w:r>
      <w:r w:rsidRPr="000919DF">
        <w:rPr>
          <w:i w:val="0"/>
        </w:rPr>
        <w:t>2014</w:t>
      </w:r>
      <w:r>
        <w:rPr>
          <w:i w:val="0"/>
        </w:rPr>
        <w:noBreakHyphen/>
      </w:r>
      <w:r w:rsidRPr="000919DF">
        <w:rPr>
          <w:i w:val="0"/>
        </w:rPr>
        <w:t>15 Budget</w:t>
      </w:r>
      <w:r>
        <w:rPr>
          <w:i w:val="0"/>
        </w:rPr>
        <w:t xml:space="preserve">, </w:t>
      </w:r>
      <w:r>
        <w:t>which do not include the impact of machinery of government changes effective from 1 January 2015.</w:t>
      </w:r>
    </w:p>
    <w:p w:rsidR="00B03921" w:rsidRDefault="00B03921" w:rsidP="00016914">
      <w:pPr>
        <w:pStyle w:val="Notes"/>
        <w:ind w:left="0" w:firstLine="0"/>
      </w:pPr>
      <w:r>
        <w:t>(b)</w:t>
      </w:r>
      <w:r>
        <w:tab/>
        <w:t xml:space="preserve">Figures have been restated to better reflect the nature of related cash flows. </w:t>
      </w:r>
    </w:p>
    <w:p w:rsidR="00B03921" w:rsidRPr="009251EC" w:rsidRDefault="00B03921" w:rsidP="00016914">
      <w:pPr>
        <w:pStyle w:val="BodyText"/>
      </w:pPr>
      <w:r>
        <w:br w:type="page"/>
      </w:r>
    </w:p>
    <w:p w:rsidR="00B03921" w:rsidRDefault="00B03921" w:rsidP="00016914">
      <w:pPr>
        <w:pStyle w:val="Tableheading"/>
      </w:pPr>
      <w:r>
        <w:t>Table 3.2.4:</w:t>
      </w:r>
      <w:r>
        <w:tab/>
        <w:t>Statement of changes in equity</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285"/>
        <w:gridCol w:w="505"/>
        <w:gridCol w:w="994"/>
        <w:gridCol w:w="1189"/>
        <w:gridCol w:w="1077"/>
        <w:gridCol w:w="840"/>
        <w:gridCol w:w="870"/>
      </w:tblGrid>
      <w:tr w:rsidR="00B03921" w:rsidRPr="00C76647" w:rsidTr="00016914">
        <w:trPr>
          <w:cantSplit/>
          <w:tblHeader/>
        </w:trPr>
        <w:tc>
          <w:tcPr>
            <w:tcW w:w="2285" w:type="dxa"/>
            <w:tcBorders>
              <w:top w:val="single" w:sz="6" w:space="0" w:color="auto"/>
              <w:left w:val="single" w:sz="6" w:space="0" w:color="auto"/>
              <w:bottom w:val="single" w:sz="6" w:space="0" w:color="auto"/>
              <w:right w:val="nil"/>
            </w:tcBorders>
            <w:shd w:val="clear" w:color="000000" w:fill="000000"/>
          </w:tcPr>
          <w:p w:rsidR="00B03921" w:rsidRPr="00C76647" w:rsidRDefault="00B03921" w:rsidP="00016914">
            <w:pPr>
              <w:pStyle w:val="Tabletext"/>
              <w:rPr>
                <w:rFonts w:eastAsiaTheme="minorEastAsia"/>
                <w:lang w:eastAsia="en-AU"/>
              </w:rPr>
            </w:pPr>
            <w:r w:rsidRPr="00C76647">
              <w:rPr>
                <w:rFonts w:eastAsiaTheme="minorEastAsia"/>
                <w:lang w:eastAsia="en-AU"/>
              </w:rPr>
              <w:t xml:space="preserve"> </w:t>
            </w:r>
          </w:p>
        </w:tc>
        <w:tc>
          <w:tcPr>
            <w:tcW w:w="1499" w:type="dxa"/>
            <w:gridSpan w:val="2"/>
            <w:tcBorders>
              <w:top w:val="single" w:sz="6" w:space="0" w:color="auto"/>
              <w:left w:val="nil"/>
              <w:bottom w:val="single" w:sz="6" w:space="0" w:color="auto"/>
              <w:right w:val="nil"/>
            </w:tcBorders>
            <w:shd w:val="clear" w:color="000000" w:fill="000000"/>
          </w:tcPr>
          <w:p w:rsidR="00B03921" w:rsidRPr="00C76647" w:rsidRDefault="00B03921" w:rsidP="00016914">
            <w:pPr>
              <w:pStyle w:val="Tabletextheading"/>
              <w:rPr>
                <w:rFonts w:eastAsiaTheme="minorEastAsia"/>
                <w:iCs/>
                <w:color w:val="FFFFFF"/>
                <w:lang w:eastAsia="en-AU"/>
              </w:rPr>
            </w:pPr>
            <w:r w:rsidRPr="00C76647">
              <w:rPr>
                <w:rFonts w:eastAsiaTheme="minorEastAsia"/>
                <w:iCs/>
                <w:color w:val="FFFFFF"/>
                <w:lang w:eastAsia="en-AU"/>
              </w:rPr>
              <w:t>Accumulated surplus/(deficit)</w:t>
            </w:r>
          </w:p>
        </w:tc>
        <w:tc>
          <w:tcPr>
            <w:tcW w:w="1189" w:type="dxa"/>
            <w:tcBorders>
              <w:top w:val="single" w:sz="6" w:space="0" w:color="auto"/>
              <w:left w:val="nil"/>
              <w:bottom w:val="single" w:sz="6" w:space="0" w:color="auto"/>
              <w:right w:val="nil"/>
            </w:tcBorders>
            <w:shd w:val="clear" w:color="000000" w:fill="000000"/>
          </w:tcPr>
          <w:p w:rsidR="00B03921" w:rsidRPr="00C76647" w:rsidRDefault="00B03921" w:rsidP="00016914">
            <w:pPr>
              <w:pStyle w:val="Tabletextheading"/>
              <w:rPr>
                <w:rFonts w:eastAsiaTheme="minorEastAsia"/>
                <w:iCs/>
                <w:color w:val="FFFFFF"/>
                <w:lang w:eastAsia="en-AU"/>
              </w:rPr>
            </w:pPr>
            <w:r w:rsidRPr="00C76647">
              <w:rPr>
                <w:rFonts w:eastAsiaTheme="minorEastAsia"/>
                <w:iCs/>
                <w:color w:val="FFFFFF"/>
                <w:lang w:eastAsia="en-AU"/>
              </w:rPr>
              <w:t>Contributions by owner</w:t>
            </w:r>
          </w:p>
        </w:tc>
        <w:tc>
          <w:tcPr>
            <w:tcW w:w="1077" w:type="dxa"/>
            <w:tcBorders>
              <w:top w:val="single" w:sz="6" w:space="0" w:color="auto"/>
              <w:left w:val="nil"/>
              <w:bottom w:val="single" w:sz="6" w:space="0" w:color="auto"/>
              <w:right w:val="nil"/>
            </w:tcBorders>
            <w:shd w:val="clear" w:color="000000" w:fill="000000"/>
          </w:tcPr>
          <w:p w:rsidR="00B03921" w:rsidRPr="00C76647" w:rsidRDefault="00B03921" w:rsidP="00016914">
            <w:pPr>
              <w:pStyle w:val="Tabletextheading"/>
              <w:rPr>
                <w:rFonts w:eastAsiaTheme="minorEastAsia"/>
                <w:iCs/>
                <w:color w:val="FFFFFF"/>
                <w:lang w:eastAsia="en-AU"/>
              </w:rPr>
            </w:pPr>
            <w:r w:rsidRPr="00C76647">
              <w:rPr>
                <w:rFonts w:eastAsiaTheme="minorEastAsia"/>
                <w:iCs/>
                <w:color w:val="FFFFFF"/>
                <w:lang w:eastAsia="en-AU"/>
              </w:rPr>
              <w:t>Revaluation surplus</w:t>
            </w:r>
          </w:p>
        </w:tc>
        <w:tc>
          <w:tcPr>
            <w:tcW w:w="840" w:type="dxa"/>
            <w:tcBorders>
              <w:top w:val="single" w:sz="6" w:space="0" w:color="auto"/>
              <w:left w:val="nil"/>
              <w:bottom w:val="single" w:sz="6" w:space="0" w:color="auto"/>
              <w:right w:val="nil"/>
            </w:tcBorders>
            <w:shd w:val="clear" w:color="000000" w:fill="000000"/>
          </w:tcPr>
          <w:p w:rsidR="00B03921" w:rsidRPr="00C76647" w:rsidRDefault="00B03921" w:rsidP="00016914">
            <w:pPr>
              <w:pStyle w:val="Tabletextheading"/>
              <w:rPr>
                <w:rFonts w:eastAsiaTheme="minorEastAsia"/>
                <w:iCs/>
                <w:color w:val="FFFFFF"/>
                <w:lang w:eastAsia="en-AU"/>
              </w:rPr>
            </w:pPr>
            <w:r w:rsidRPr="00C76647">
              <w:rPr>
                <w:rFonts w:eastAsiaTheme="minorEastAsia"/>
                <w:iCs/>
                <w:color w:val="FFFFFF"/>
                <w:lang w:eastAsia="en-AU"/>
              </w:rPr>
              <w:t>Other reserves</w:t>
            </w:r>
          </w:p>
        </w:tc>
        <w:tc>
          <w:tcPr>
            <w:tcW w:w="870" w:type="dxa"/>
            <w:tcBorders>
              <w:top w:val="single" w:sz="6" w:space="0" w:color="auto"/>
              <w:left w:val="nil"/>
              <w:bottom w:val="single" w:sz="6" w:space="0" w:color="auto"/>
              <w:right w:val="single" w:sz="6" w:space="0" w:color="auto"/>
            </w:tcBorders>
            <w:shd w:val="clear" w:color="000000" w:fill="000000"/>
          </w:tcPr>
          <w:p w:rsidR="00B03921" w:rsidRPr="00C76647" w:rsidRDefault="00B03921" w:rsidP="00016914">
            <w:pPr>
              <w:pStyle w:val="Tabletextheading"/>
              <w:rPr>
                <w:rFonts w:eastAsiaTheme="minorEastAsia"/>
                <w:iCs/>
                <w:color w:val="FFFFFF"/>
                <w:lang w:eastAsia="en-AU"/>
              </w:rPr>
            </w:pPr>
            <w:r w:rsidRPr="00C76647">
              <w:rPr>
                <w:rFonts w:eastAsiaTheme="minorEastAsia"/>
                <w:iCs/>
                <w:color w:val="FFFFFF"/>
                <w:lang w:eastAsia="en-AU"/>
              </w:rPr>
              <w:t xml:space="preserve">Total equity </w:t>
            </w:r>
          </w:p>
        </w:tc>
      </w:tr>
      <w:tr w:rsidR="00B03921" w:rsidRPr="00C76647" w:rsidTr="00016914">
        <w:trPr>
          <w:cantSplit/>
        </w:trPr>
        <w:tc>
          <w:tcPr>
            <w:tcW w:w="2790" w:type="dxa"/>
            <w:gridSpan w:val="2"/>
            <w:tcBorders>
              <w:top w:val="single" w:sz="6" w:space="0" w:color="auto"/>
              <w:left w:val="nil"/>
              <w:bottom w:val="nil"/>
              <w:right w:val="nil"/>
            </w:tcBorders>
          </w:tcPr>
          <w:p w:rsidR="00B03921" w:rsidRPr="00C76647" w:rsidRDefault="00B03921" w:rsidP="00016914">
            <w:pPr>
              <w:pStyle w:val="Tabletext"/>
              <w:rPr>
                <w:rFonts w:eastAsiaTheme="minorEastAsia"/>
                <w:b/>
                <w:bCs/>
                <w:vertAlign w:val="superscript"/>
                <w:lang w:eastAsia="en-AU"/>
              </w:rPr>
            </w:pPr>
            <w:r w:rsidRPr="00C76647">
              <w:rPr>
                <w:rFonts w:eastAsiaTheme="minorEastAsia"/>
                <w:b/>
                <w:bCs/>
                <w:lang w:eastAsia="en-AU"/>
              </w:rPr>
              <w:t>Opening balance 1 July 2013</w:t>
            </w:r>
            <w:r w:rsidRPr="00C76647">
              <w:rPr>
                <w:rFonts w:eastAsiaTheme="minorEastAsia"/>
                <w:b/>
                <w:bCs/>
                <w:vertAlign w:val="superscript"/>
                <w:lang w:eastAsia="en-AU"/>
              </w:rPr>
              <w:t>(a)</w:t>
            </w:r>
          </w:p>
        </w:tc>
        <w:tc>
          <w:tcPr>
            <w:tcW w:w="994"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2 259.6</w:t>
            </w:r>
          </w:p>
        </w:tc>
        <w:tc>
          <w:tcPr>
            <w:tcW w:w="1189"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9 312.1</w:t>
            </w:r>
          </w:p>
        </w:tc>
        <w:tc>
          <w:tcPr>
            <w:tcW w:w="1077"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7 962.8</w:t>
            </w:r>
          </w:p>
        </w:tc>
        <w:tc>
          <w:tcPr>
            <w:tcW w:w="84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20.6</w:t>
            </w:r>
          </w:p>
        </w:tc>
        <w:tc>
          <w:tcPr>
            <w:tcW w:w="87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19 555.0</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Comprehensive result</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(379.3)</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(416.0)</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(3.8)</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Pr>
                <w:rFonts w:eastAsiaTheme="minorEastAsia"/>
                <w:b/>
                <w:bCs/>
                <w:lang w:eastAsia="en-AU"/>
              </w:rPr>
              <w:t>(799.1)</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Transactions with owners in their capacity as owners</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(29.0)</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Pr>
                <w:rFonts w:eastAsiaTheme="minorEastAsia"/>
                <w:b/>
                <w:bCs/>
                <w:lang w:eastAsia="en-AU"/>
              </w:rPr>
              <w:t>(29.0)</w:t>
            </w:r>
          </w:p>
        </w:tc>
      </w:tr>
      <w:tr w:rsidR="00B03921" w:rsidRPr="00C76647" w:rsidTr="00016914">
        <w:trPr>
          <w:cantSplit/>
        </w:trPr>
        <w:tc>
          <w:tcPr>
            <w:tcW w:w="2790" w:type="dxa"/>
            <w:gridSpan w:val="2"/>
            <w:tcBorders>
              <w:top w:val="single" w:sz="6" w:space="0" w:color="auto"/>
              <w:left w:val="nil"/>
              <w:bottom w:val="nil"/>
              <w:right w:val="nil"/>
            </w:tcBorders>
          </w:tcPr>
          <w:p w:rsidR="00B03921" w:rsidRPr="00C76647" w:rsidRDefault="00B03921" w:rsidP="00016914">
            <w:pPr>
              <w:pStyle w:val="Tabletext"/>
              <w:rPr>
                <w:rFonts w:eastAsiaTheme="minorEastAsia"/>
                <w:b/>
                <w:bCs/>
                <w:vertAlign w:val="superscript"/>
                <w:lang w:eastAsia="en-AU"/>
              </w:rPr>
            </w:pPr>
            <w:r w:rsidRPr="00C76647">
              <w:rPr>
                <w:rFonts w:eastAsiaTheme="minorEastAsia"/>
                <w:b/>
                <w:bCs/>
                <w:lang w:eastAsia="en-AU"/>
              </w:rPr>
              <w:t>Closing balance 30 June 2014 (actual)</w:t>
            </w:r>
            <w:r w:rsidRPr="00C76647">
              <w:rPr>
                <w:rFonts w:eastAsiaTheme="minorEastAsia"/>
                <w:b/>
                <w:bCs/>
                <w:vertAlign w:val="superscript"/>
                <w:lang w:eastAsia="en-AU"/>
              </w:rPr>
              <w:t>(a)(b)</w:t>
            </w:r>
          </w:p>
        </w:tc>
        <w:tc>
          <w:tcPr>
            <w:tcW w:w="994"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1 880.3</w:t>
            </w:r>
          </w:p>
        </w:tc>
        <w:tc>
          <w:tcPr>
            <w:tcW w:w="1189"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9 283.1</w:t>
            </w:r>
          </w:p>
        </w:tc>
        <w:tc>
          <w:tcPr>
            <w:tcW w:w="1077"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7 546.8</w:t>
            </w:r>
          </w:p>
        </w:tc>
        <w:tc>
          <w:tcPr>
            <w:tcW w:w="84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16.8</w:t>
            </w:r>
          </w:p>
        </w:tc>
        <w:tc>
          <w:tcPr>
            <w:tcW w:w="87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18 726.9</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Comprehensive result</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55.3</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(51.0)</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(2.7)</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1.5</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Transactions with owners in their capacity as owners</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51.4</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51.4</w:t>
            </w:r>
          </w:p>
        </w:tc>
      </w:tr>
      <w:tr w:rsidR="00B03921" w:rsidRPr="00C76647" w:rsidTr="00016914">
        <w:trPr>
          <w:cantSplit/>
        </w:trPr>
        <w:tc>
          <w:tcPr>
            <w:tcW w:w="2790" w:type="dxa"/>
            <w:gridSpan w:val="2"/>
            <w:tcBorders>
              <w:top w:val="single" w:sz="6" w:space="0" w:color="auto"/>
              <w:left w:val="nil"/>
              <w:bottom w:val="nil"/>
              <w:right w:val="nil"/>
            </w:tcBorders>
          </w:tcPr>
          <w:p w:rsidR="00B03921" w:rsidRPr="00C76647" w:rsidRDefault="00B03921" w:rsidP="00016914">
            <w:pPr>
              <w:pStyle w:val="Tabletext"/>
              <w:rPr>
                <w:rFonts w:eastAsiaTheme="minorEastAsia"/>
                <w:b/>
                <w:bCs/>
                <w:vertAlign w:val="superscript"/>
                <w:lang w:eastAsia="en-AU"/>
              </w:rPr>
            </w:pPr>
            <w:r w:rsidRPr="00C76647">
              <w:rPr>
                <w:rFonts w:eastAsiaTheme="minorEastAsia"/>
                <w:b/>
                <w:bCs/>
                <w:lang w:eastAsia="en-AU"/>
              </w:rPr>
              <w:t>Closing balance 30 June 2015 (budget)</w:t>
            </w:r>
            <w:r w:rsidRPr="00C76647">
              <w:rPr>
                <w:rFonts w:eastAsiaTheme="minorEastAsia"/>
                <w:b/>
                <w:bCs/>
                <w:vertAlign w:val="superscript"/>
                <w:lang w:eastAsia="en-AU"/>
              </w:rPr>
              <w:t>(a)(b)(c)</w:t>
            </w:r>
          </w:p>
        </w:tc>
        <w:tc>
          <w:tcPr>
            <w:tcW w:w="994"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1 935.5</w:t>
            </w:r>
          </w:p>
        </w:tc>
        <w:tc>
          <w:tcPr>
            <w:tcW w:w="1189" w:type="dxa"/>
            <w:tcBorders>
              <w:top w:val="single" w:sz="6" w:space="0" w:color="auto"/>
              <w:left w:val="nil"/>
              <w:bottom w:val="nil"/>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9 334.5</w:t>
            </w:r>
          </w:p>
        </w:tc>
        <w:tc>
          <w:tcPr>
            <w:tcW w:w="1077"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7 495.8</w:t>
            </w:r>
          </w:p>
        </w:tc>
        <w:tc>
          <w:tcPr>
            <w:tcW w:w="84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14.1</w:t>
            </w:r>
          </w:p>
        </w:tc>
        <w:tc>
          <w:tcPr>
            <w:tcW w:w="87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18 779.8</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Comprehensive result</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23.5</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Pr>
                <w:rFonts w:eastAsiaTheme="minorEastAsia"/>
                <w:lang w:eastAsia="en-AU"/>
              </w:rPr>
              <w:t>(10.6)</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0.8</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13.6</w:t>
            </w:r>
          </w:p>
        </w:tc>
      </w:tr>
      <w:tr w:rsidR="00B03921" w:rsidRPr="00C76647" w:rsidTr="00016914">
        <w:trPr>
          <w:cantSplit/>
        </w:trPr>
        <w:tc>
          <w:tcPr>
            <w:tcW w:w="2790" w:type="dxa"/>
            <w:gridSpan w:val="2"/>
            <w:tcBorders>
              <w:top w:val="nil"/>
              <w:left w:val="nil"/>
              <w:bottom w:val="single" w:sz="6" w:space="0" w:color="auto"/>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Transactions with owners in their capacity as owners</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62.0</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62.0</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b/>
                <w:bCs/>
                <w:lang w:eastAsia="en-AU"/>
              </w:rPr>
            </w:pPr>
            <w:r w:rsidRPr="00C76647">
              <w:rPr>
                <w:rFonts w:eastAsiaTheme="minorEastAsia"/>
                <w:b/>
                <w:bCs/>
                <w:lang w:eastAsia="en-AU"/>
              </w:rPr>
              <w:t>Closing balance 30 June 2015 (revised)</w:t>
            </w:r>
          </w:p>
        </w:tc>
        <w:tc>
          <w:tcPr>
            <w:tcW w:w="994"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1 903.7</w:t>
            </w:r>
          </w:p>
        </w:tc>
        <w:tc>
          <w:tcPr>
            <w:tcW w:w="1189"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9 345.1</w:t>
            </w:r>
          </w:p>
        </w:tc>
        <w:tc>
          <w:tcPr>
            <w:tcW w:w="1077"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7 536.2</w:t>
            </w:r>
          </w:p>
        </w:tc>
        <w:tc>
          <w:tcPr>
            <w:tcW w:w="84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17.5</w:t>
            </w:r>
          </w:p>
        </w:tc>
        <w:tc>
          <w:tcPr>
            <w:tcW w:w="870" w:type="dxa"/>
            <w:tcBorders>
              <w:top w:val="single" w:sz="6" w:space="0" w:color="auto"/>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18 802.5</w:t>
            </w:r>
          </w:p>
        </w:tc>
      </w:tr>
      <w:tr w:rsidR="00B03921" w:rsidRPr="00C76647" w:rsidTr="00016914">
        <w:trPr>
          <w:cantSplit/>
        </w:trPr>
        <w:tc>
          <w:tcPr>
            <w:tcW w:w="2790" w:type="dxa"/>
            <w:gridSpan w:val="2"/>
            <w:tcBorders>
              <w:top w:val="nil"/>
              <w:left w:val="nil"/>
              <w:bottom w:val="nil"/>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Comprehensive result</w:t>
            </w:r>
          </w:p>
        </w:tc>
        <w:tc>
          <w:tcPr>
            <w:tcW w:w="994"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114.2</w:t>
            </w:r>
          </w:p>
        </w:tc>
        <w:tc>
          <w:tcPr>
            <w:tcW w:w="1189"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077"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5.8</w:t>
            </w:r>
          </w:p>
        </w:tc>
        <w:tc>
          <w:tcPr>
            <w:tcW w:w="840" w:type="dxa"/>
            <w:tcBorders>
              <w:top w:val="nil"/>
              <w:left w:val="nil"/>
              <w:bottom w:val="nil"/>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70" w:type="dxa"/>
            <w:tcBorders>
              <w:top w:val="nil"/>
              <w:left w:val="nil"/>
              <w:bottom w:val="nil"/>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120.0</w:t>
            </w:r>
          </w:p>
        </w:tc>
      </w:tr>
      <w:tr w:rsidR="00B03921" w:rsidRPr="00C76647" w:rsidTr="00016914">
        <w:trPr>
          <w:cantSplit/>
        </w:trPr>
        <w:tc>
          <w:tcPr>
            <w:tcW w:w="2790" w:type="dxa"/>
            <w:gridSpan w:val="2"/>
            <w:tcBorders>
              <w:top w:val="nil"/>
              <w:left w:val="nil"/>
              <w:bottom w:val="single" w:sz="6" w:space="0" w:color="auto"/>
              <w:right w:val="nil"/>
            </w:tcBorders>
          </w:tcPr>
          <w:p w:rsidR="00B03921" w:rsidRPr="00C76647" w:rsidRDefault="00B03921" w:rsidP="00016914">
            <w:pPr>
              <w:pStyle w:val="Tabletext"/>
              <w:rPr>
                <w:rFonts w:eastAsiaTheme="minorEastAsia"/>
                <w:lang w:eastAsia="en-AU"/>
              </w:rPr>
            </w:pPr>
            <w:r w:rsidRPr="00C76647">
              <w:rPr>
                <w:rFonts w:eastAsiaTheme="minorEastAsia"/>
                <w:lang w:eastAsia="en-AU"/>
              </w:rPr>
              <w:t>Transactions with owners in their capacity as owners</w:t>
            </w:r>
          </w:p>
        </w:tc>
        <w:tc>
          <w:tcPr>
            <w:tcW w:w="994" w:type="dxa"/>
            <w:tcBorders>
              <w:top w:val="nil"/>
              <w:left w:val="nil"/>
              <w:bottom w:val="single" w:sz="6" w:space="0" w:color="auto"/>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1189" w:type="dxa"/>
            <w:tcBorders>
              <w:top w:val="nil"/>
              <w:left w:val="nil"/>
              <w:bottom w:val="single" w:sz="6" w:space="0" w:color="auto"/>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 xml:space="preserve"> 57.2</w:t>
            </w:r>
          </w:p>
        </w:tc>
        <w:tc>
          <w:tcPr>
            <w:tcW w:w="1077" w:type="dxa"/>
            <w:tcBorders>
              <w:top w:val="nil"/>
              <w:left w:val="nil"/>
              <w:bottom w:val="single" w:sz="6" w:space="0" w:color="auto"/>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40" w:type="dxa"/>
            <w:tcBorders>
              <w:top w:val="nil"/>
              <w:left w:val="nil"/>
              <w:bottom w:val="single" w:sz="6" w:space="0" w:color="auto"/>
              <w:right w:val="nil"/>
            </w:tcBorders>
          </w:tcPr>
          <w:p w:rsidR="00B03921" w:rsidRPr="00C76647" w:rsidRDefault="00B03921" w:rsidP="00016914">
            <w:pPr>
              <w:pStyle w:val="TableofFigures"/>
              <w:rPr>
                <w:rFonts w:eastAsiaTheme="minorEastAsia"/>
                <w:lang w:eastAsia="en-AU"/>
              </w:rPr>
            </w:pPr>
            <w:r w:rsidRPr="00C76647">
              <w:rPr>
                <w:rFonts w:eastAsiaTheme="minorEastAsia"/>
                <w:lang w:eastAsia="en-AU"/>
              </w:rPr>
              <w:t>..</w:t>
            </w:r>
          </w:p>
        </w:tc>
        <w:tc>
          <w:tcPr>
            <w:tcW w:w="870" w:type="dxa"/>
            <w:tcBorders>
              <w:top w:val="nil"/>
              <w:left w:val="nil"/>
              <w:bottom w:val="single" w:sz="6" w:space="0" w:color="auto"/>
              <w:right w:val="nil"/>
            </w:tcBorders>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57.2</w:t>
            </w:r>
          </w:p>
        </w:tc>
      </w:tr>
      <w:tr w:rsidR="00B03921" w:rsidRPr="00C76647" w:rsidTr="00016914">
        <w:trPr>
          <w:cantSplit/>
        </w:trPr>
        <w:tc>
          <w:tcPr>
            <w:tcW w:w="2790" w:type="dxa"/>
            <w:gridSpan w:val="2"/>
            <w:tcBorders>
              <w:top w:val="single" w:sz="6" w:space="0" w:color="auto"/>
              <w:left w:val="nil"/>
              <w:bottom w:val="single" w:sz="12" w:space="0" w:color="000000"/>
              <w:right w:val="nil"/>
            </w:tcBorders>
            <w:shd w:val="clear" w:color="auto" w:fill="auto"/>
          </w:tcPr>
          <w:p w:rsidR="00B03921" w:rsidRPr="00C76647" w:rsidRDefault="00B03921" w:rsidP="00016914">
            <w:pPr>
              <w:pStyle w:val="Tabletext"/>
              <w:rPr>
                <w:rFonts w:eastAsiaTheme="minorEastAsia"/>
                <w:b/>
                <w:bCs/>
                <w:lang w:eastAsia="en-AU"/>
              </w:rPr>
            </w:pPr>
            <w:r w:rsidRPr="00C76647">
              <w:rPr>
                <w:rFonts w:eastAsiaTheme="minorEastAsia"/>
                <w:b/>
                <w:bCs/>
                <w:lang w:eastAsia="en-AU"/>
              </w:rPr>
              <w:t>Closing balance 30 June 2016 (budget)</w:t>
            </w:r>
          </w:p>
        </w:tc>
        <w:tc>
          <w:tcPr>
            <w:tcW w:w="994" w:type="dxa"/>
            <w:tcBorders>
              <w:top w:val="single" w:sz="6" w:space="0" w:color="auto"/>
              <w:left w:val="nil"/>
              <w:bottom w:val="single" w:sz="12" w:space="0" w:color="000000"/>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2 017.9</w:t>
            </w:r>
          </w:p>
        </w:tc>
        <w:tc>
          <w:tcPr>
            <w:tcW w:w="1189" w:type="dxa"/>
            <w:tcBorders>
              <w:top w:val="single" w:sz="6" w:space="0" w:color="auto"/>
              <w:left w:val="nil"/>
              <w:bottom w:val="single" w:sz="12" w:space="0" w:color="000000"/>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9 402.3</w:t>
            </w:r>
          </w:p>
        </w:tc>
        <w:tc>
          <w:tcPr>
            <w:tcW w:w="1077" w:type="dxa"/>
            <w:tcBorders>
              <w:top w:val="single" w:sz="6" w:space="0" w:color="auto"/>
              <w:left w:val="nil"/>
              <w:bottom w:val="single" w:sz="12" w:space="0" w:color="000000"/>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7 542.0</w:t>
            </w:r>
          </w:p>
        </w:tc>
        <w:tc>
          <w:tcPr>
            <w:tcW w:w="840" w:type="dxa"/>
            <w:tcBorders>
              <w:top w:val="single" w:sz="6" w:space="0" w:color="auto"/>
              <w:left w:val="nil"/>
              <w:bottom w:val="single" w:sz="12" w:space="0" w:color="000000"/>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 xml:space="preserve"> 17.5</w:t>
            </w:r>
          </w:p>
        </w:tc>
        <w:tc>
          <w:tcPr>
            <w:tcW w:w="870" w:type="dxa"/>
            <w:tcBorders>
              <w:top w:val="single" w:sz="6" w:space="0" w:color="auto"/>
              <w:left w:val="nil"/>
              <w:bottom w:val="single" w:sz="12" w:space="0" w:color="000000"/>
              <w:right w:val="nil"/>
            </w:tcBorders>
            <w:shd w:val="clear" w:color="auto" w:fill="auto"/>
          </w:tcPr>
          <w:p w:rsidR="00B03921" w:rsidRPr="00C76647" w:rsidRDefault="00B03921" w:rsidP="00016914">
            <w:pPr>
              <w:pStyle w:val="TableofFigures"/>
              <w:rPr>
                <w:rFonts w:eastAsiaTheme="minorEastAsia"/>
                <w:b/>
                <w:bCs/>
                <w:lang w:eastAsia="en-AU"/>
              </w:rPr>
            </w:pPr>
            <w:r w:rsidRPr="00C76647">
              <w:rPr>
                <w:rFonts w:eastAsiaTheme="minorEastAsia"/>
                <w:b/>
                <w:bCs/>
                <w:lang w:eastAsia="en-AU"/>
              </w:rPr>
              <w:t>18 979.7</w:t>
            </w:r>
          </w:p>
        </w:tc>
      </w:tr>
    </w:tbl>
    <w:p w:rsidR="00B03921" w:rsidRDefault="00B03921" w:rsidP="00016914">
      <w:pPr>
        <w:pStyle w:val="Source"/>
      </w:pPr>
      <w:r w:rsidRPr="001D350D">
        <w:t xml:space="preserve">Sources: </w:t>
      </w:r>
      <w:r>
        <w:t>Departments of Education and Training,</w:t>
      </w:r>
      <w:r w:rsidRPr="001D350D">
        <w:t xml:space="preserve"> and Treasury and Finance</w:t>
      </w:r>
    </w:p>
    <w:p w:rsidR="00B03921" w:rsidRPr="000919DF" w:rsidRDefault="00B03921" w:rsidP="00016914">
      <w:pPr>
        <w:pStyle w:val="Notes"/>
      </w:pPr>
      <w:r>
        <w:t>Note</w:t>
      </w:r>
      <w:r w:rsidRPr="000919DF">
        <w:t>:</w:t>
      </w:r>
    </w:p>
    <w:p w:rsidR="00B03921" w:rsidRDefault="00B03921" w:rsidP="00016914">
      <w:pPr>
        <w:pStyle w:val="Notes"/>
      </w:pPr>
      <w:r w:rsidRPr="000919DF">
        <w:t xml:space="preserve">(a) </w:t>
      </w:r>
      <w:r w:rsidRPr="000919DF">
        <w:tab/>
      </w:r>
      <w:r w:rsidRPr="008E01FD">
        <w:t>Figures for 20</w:t>
      </w:r>
      <w:r>
        <w:t>14 actual and 20</w:t>
      </w:r>
      <w:r w:rsidRPr="008E01FD">
        <w:t>15 budget have been resta</w:t>
      </w:r>
      <w:r>
        <w:t xml:space="preserve">ted to incorporate a change in </w:t>
      </w:r>
      <w:r w:rsidRPr="008E01FD">
        <w:t>accounting policy fo</w:t>
      </w:r>
      <w:r>
        <w:t>r the fair value of fixed assets.</w:t>
      </w:r>
    </w:p>
    <w:p w:rsidR="00B03921" w:rsidRDefault="00B03921" w:rsidP="00016914">
      <w:pPr>
        <w:pStyle w:val="Notes"/>
      </w:pPr>
      <w:r>
        <w:t>(b)</w:t>
      </w:r>
      <w:r>
        <w:tab/>
      </w:r>
      <w:r w:rsidRPr="000919DF">
        <w:t>Figures for 2014 actual and 2015 budget reflect the operations of the former Department of</w:t>
      </w:r>
      <w:r>
        <w:t xml:space="preserve"> </w:t>
      </w:r>
      <w:r w:rsidRPr="000919DF">
        <w:t xml:space="preserve">Education and Early Childhood Development included in the </w:t>
      </w:r>
      <w:r w:rsidRPr="000919DF">
        <w:rPr>
          <w:i w:val="0"/>
        </w:rPr>
        <w:t>2013</w:t>
      </w:r>
      <w:r>
        <w:rPr>
          <w:i w:val="0"/>
        </w:rPr>
        <w:noBreakHyphen/>
      </w:r>
      <w:r w:rsidRPr="000919DF">
        <w:rPr>
          <w:i w:val="0"/>
        </w:rPr>
        <w:t>14 Financial Report</w:t>
      </w:r>
      <w:r w:rsidRPr="000919DF">
        <w:t xml:space="preserve"> for the State of Victoria or the </w:t>
      </w:r>
      <w:r w:rsidRPr="000919DF">
        <w:rPr>
          <w:i w:val="0"/>
        </w:rPr>
        <w:t>2014</w:t>
      </w:r>
      <w:r>
        <w:rPr>
          <w:i w:val="0"/>
        </w:rPr>
        <w:noBreakHyphen/>
      </w:r>
      <w:r w:rsidRPr="000919DF">
        <w:rPr>
          <w:i w:val="0"/>
        </w:rPr>
        <w:t>15 Budget</w:t>
      </w:r>
      <w:r>
        <w:rPr>
          <w:i w:val="0"/>
        </w:rPr>
        <w:t xml:space="preserve">, </w:t>
      </w:r>
      <w:r>
        <w:t>which do not include the impact of machinery of government changes effective from 1 January 2015.</w:t>
      </w:r>
    </w:p>
    <w:p w:rsidR="00B03921" w:rsidRPr="009251EC" w:rsidRDefault="00B03921" w:rsidP="00016914">
      <w:pPr>
        <w:pStyle w:val="Notes"/>
      </w:pPr>
      <w:r>
        <w:t>(c)</w:t>
      </w:r>
      <w:r>
        <w:tab/>
        <w:t>The 2015 budget figures have been restated to reflect the 20</w:t>
      </w:r>
      <w:r w:rsidRPr="002C6181">
        <w:t>14 actual closing balance</w:t>
      </w:r>
      <w:r>
        <w:t>s</w:t>
      </w:r>
      <w:r w:rsidRPr="002C6181">
        <w:t>.</w:t>
      </w:r>
    </w:p>
    <w:p w:rsidR="00B03921" w:rsidRDefault="00B03921">
      <w:pPr>
        <w:spacing w:after="0"/>
        <w:rPr>
          <w:rFonts w:ascii="Calibri" w:hAnsi="Calibri"/>
          <w:b/>
        </w:rPr>
      </w:pPr>
      <w:r>
        <w:br w:type="page"/>
      </w:r>
    </w:p>
    <w:p w:rsidR="00B03921" w:rsidRDefault="00B03921" w:rsidP="00016914">
      <w:pPr>
        <w:pStyle w:val="Tableheading"/>
      </w:pPr>
      <w:r>
        <w:t>Table 3.2.5:</w:t>
      </w:r>
      <w:r>
        <w:tab/>
        <w:t>Administered items statement</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8079E9" w:rsidRPr="00FE4FB8" w:rsidTr="008079E9">
        <w:trPr>
          <w:trHeight w:val="503"/>
          <w:tblHeader/>
        </w:trPr>
        <w:tc>
          <w:tcPr>
            <w:tcW w:w="3784"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8079E9" w:rsidRPr="00FE4FB8" w:rsidTr="008079E9">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2 444.8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2 573.0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2 680.5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2 849.7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2 454.2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2 577.7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2 685.2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2 854.5</w:t>
            </w:r>
          </w:p>
        </w:tc>
      </w:tr>
      <w:tr w:rsidR="008079E9" w:rsidRPr="00FE4FB8" w:rsidTr="008079E9">
        <w:trPr>
          <w:trHeight w:hRule="exact" w:val="120"/>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lang w:eastAsia="en-AU"/>
              </w:rPr>
            </w:pPr>
            <w:r w:rsidRPr="00FE4FB8">
              <w:rPr>
                <w:rFonts w:eastAsiaTheme="minorEastAsia"/>
                <w:lang w:eastAsia="en-AU"/>
              </w:rPr>
              <w:t xml:space="preserve"> </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2 446.3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2 573.2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2 680.7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2 849.8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2 434.6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2 610.6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2 718.2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2 899.7</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(45.2)</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45.2</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(18.4)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45.2</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B03921" w:rsidRPr="00FE4FB8" w:rsidTr="00016914">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8079E9" w:rsidRPr="00FE4FB8" w:rsidTr="008079E9">
        <w:trPr>
          <w:trHeight w:hRule="exact" w:val="120"/>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bCs/>
                <w:lang w:eastAsia="en-AU"/>
              </w:rPr>
            </w:pPr>
            <w:r w:rsidRPr="00FE4FB8">
              <w:rPr>
                <w:rFonts w:eastAsiaTheme="minorEastAsia"/>
                <w:b/>
                <w:bCs/>
                <w:lang w:eastAsia="en-AU"/>
              </w:rPr>
              <w:t xml:space="preserve"> </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r>
      <w:tr w:rsidR="008079E9" w:rsidRPr="00FE4FB8" w:rsidTr="008079E9">
        <w:trPr>
          <w:trHeight w:hRule="exact" w:val="120"/>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lang w:eastAsia="en-AU"/>
              </w:rPr>
            </w:pPr>
            <w:r w:rsidRPr="00FE4FB8">
              <w:rPr>
                <w:rFonts w:eastAsiaTheme="minorEastAsia"/>
                <w:lang w:eastAsia="en-AU"/>
              </w:rPr>
              <w:t xml:space="preserve"> </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liabilities</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15.6</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r>
    </w:tbl>
    <w:p w:rsidR="00B03921" w:rsidRPr="000919DF" w:rsidRDefault="00B03921" w:rsidP="00016914">
      <w:pPr>
        <w:pStyle w:val="Source"/>
      </w:pPr>
      <w:r w:rsidRPr="000919DF">
        <w:t>Sources: Departments of Education and Training, and Treasury and Finance</w:t>
      </w:r>
    </w:p>
    <w:p w:rsidR="00B03921" w:rsidRPr="000919DF" w:rsidRDefault="00B03921" w:rsidP="00016914">
      <w:pPr>
        <w:pStyle w:val="Notes"/>
      </w:pPr>
      <w:r>
        <w:t>Note</w:t>
      </w:r>
      <w:r w:rsidRPr="000919DF">
        <w:t>:</w:t>
      </w:r>
    </w:p>
    <w:p w:rsidR="00B03921" w:rsidRDefault="00B03921" w:rsidP="00016914">
      <w:pPr>
        <w:pStyle w:val="Notes"/>
      </w:pPr>
      <w:r>
        <w:t xml:space="preserve">(a) </w:t>
      </w:r>
      <w:r>
        <w:tab/>
        <w:t>Figures for 2013-14 actual and 2014-15</w:t>
      </w:r>
      <w:r w:rsidRPr="000919DF">
        <w:t xml:space="preserve"> budget reflect the operations of the former Department of</w:t>
      </w:r>
      <w:r>
        <w:t xml:space="preserve"> </w:t>
      </w:r>
      <w:r w:rsidRPr="000919DF">
        <w:t xml:space="preserve">Education and Early Childhood Development included in the </w:t>
      </w:r>
      <w:r w:rsidRPr="000919DF">
        <w:rPr>
          <w:i w:val="0"/>
        </w:rPr>
        <w:t>2013</w:t>
      </w:r>
      <w:r>
        <w:rPr>
          <w:i w:val="0"/>
        </w:rPr>
        <w:noBreakHyphen/>
      </w:r>
      <w:r w:rsidRPr="000919DF">
        <w:rPr>
          <w:i w:val="0"/>
        </w:rPr>
        <w:t>14 Financial Report</w:t>
      </w:r>
      <w:r w:rsidRPr="000919DF">
        <w:t xml:space="preserve"> for the State of Victoria or the </w:t>
      </w:r>
      <w:r w:rsidRPr="000919DF">
        <w:rPr>
          <w:i w:val="0"/>
        </w:rPr>
        <w:t>2014</w:t>
      </w:r>
      <w:r>
        <w:rPr>
          <w:i w:val="0"/>
        </w:rPr>
        <w:noBreakHyphen/>
      </w:r>
      <w:r w:rsidRPr="000919DF">
        <w:rPr>
          <w:i w:val="0"/>
        </w:rPr>
        <w:t>15 Budget</w:t>
      </w:r>
      <w:r>
        <w:rPr>
          <w:i w:val="0"/>
        </w:rPr>
        <w:t xml:space="preserve">, </w:t>
      </w:r>
      <w:r>
        <w:t>which do not include the impact of machinery of government changes effective from 1 January 2015.</w:t>
      </w:r>
    </w:p>
    <w:p w:rsidR="00B03921" w:rsidRDefault="00B03921" w:rsidP="00016914">
      <w:pPr>
        <w:pStyle w:val="Notes"/>
      </w:pPr>
      <w:r>
        <w:t>(b)</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p>
    <w:p w:rsidR="00B03921" w:rsidRPr="0090460D" w:rsidRDefault="00B03921" w:rsidP="00016914">
      <w:pPr>
        <w:pStyle w:val="Notes"/>
      </w:pPr>
    </w:p>
    <w:p w:rsidR="00B03921" w:rsidRDefault="00B03921" w:rsidP="00016914">
      <w:pPr>
        <w:sectPr w:rsidR="00B03921" w:rsidSect="00016914">
          <w:headerReference w:type="even" r:id="rId37"/>
          <w:headerReference w:type="default" r:id="rId38"/>
          <w:footerReference w:type="even" r:id="rId39"/>
          <w:footerReference w:type="default" r:id="rId40"/>
          <w:headerReference w:type="first" r:id="rId41"/>
          <w:footerReference w:type="first" r:id="rId42"/>
          <w:pgSz w:w="9979" w:h="14181" w:code="34"/>
          <w:pgMar w:top="1138" w:right="1138" w:bottom="1138" w:left="1138" w:header="720" w:footer="432" w:gutter="0"/>
          <w:cols w:space="708"/>
          <w:docGrid w:linePitch="360"/>
        </w:sectPr>
      </w:pPr>
    </w:p>
    <w:p w:rsidR="00B03921" w:rsidRPr="00252214" w:rsidRDefault="00B03921" w:rsidP="00016914">
      <w:pPr>
        <w:pStyle w:val="Heading1"/>
      </w:pPr>
      <w:bookmarkStart w:id="119" w:name="_Toc418274759"/>
      <w:r w:rsidRPr="00252214">
        <w:t xml:space="preserve">Department of </w:t>
      </w:r>
      <w:r w:rsidRPr="00C467BB">
        <w:t>Environment, Land, Water and Planning</w:t>
      </w:r>
      <w:bookmarkEnd w:id="119"/>
    </w:p>
    <w:p w:rsidR="00B03921" w:rsidRDefault="00B03921" w:rsidP="00016914">
      <w:pPr>
        <w:pStyle w:val="Heading2"/>
      </w:pPr>
      <w:r>
        <w:t>Operating performance</w:t>
      </w:r>
    </w:p>
    <w:p w:rsidR="00B03921" w:rsidRDefault="00B03921" w:rsidP="00016914">
      <w:r>
        <w:t xml:space="preserve">The </w:t>
      </w:r>
      <w:r w:rsidRPr="000963E7">
        <w:t>Department of Environment, Land, Water and Planning</w:t>
      </w:r>
      <w:r>
        <w:t xml:space="preserve"> is expected to report an estimated net deficit of $16.7 million for the 2015</w:t>
      </w:r>
      <w:r>
        <w:noBreakHyphen/>
        <w:t>16 b</w:t>
      </w:r>
      <w:r w:rsidRPr="007127A4">
        <w:t>udget</w:t>
      </w:r>
      <w:r w:rsidRPr="006D1EAD">
        <w:t>.</w:t>
      </w:r>
      <w:r>
        <w:t xml:space="preserve"> </w:t>
      </w:r>
    </w:p>
    <w:p w:rsidR="00B03921" w:rsidRDefault="00B03921" w:rsidP="00016914">
      <w:r w:rsidRPr="001963AC">
        <w:t>The variances</w:t>
      </w:r>
      <w:r>
        <w:t xml:space="preserve"> f</w:t>
      </w:r>
      <w:r w:rsidRPr="001963AC">
        <w:t>rom the 2014</w:t>
      </w:r>
      <w:r w:rsidRPr="001963AC">
        <w:noBreakHyphen/>
        <w:t xml:space="preserve">15 revised budget to the </w:t>
      </w:r>
      <w:r>
        <w:t>2015</w:t>
      </w:r>
      <w:r>
        <w:noBreakHyphen/>
        <w:t>16 b</w:t>
      </w:r>
      <w:r w:rsidRPr="006D1EAD">
        <w:t>udget</w:t>
      </w:r>
      <w:r>
        <w:t xml:space="preserve"> reflect the impact of machinery of government changes.</w:t>
      </w:r>
    </w:p>
    <w:p w:rsidR="00B03921" w:rsidRDefault="00B03921" w:rsidP="00016914">
      <w:pPr>
        <w:pStyle w:val="Heading2"/>
      </w:pPr>
      <w:r>
        <w:t>Balance sheet</w:t>
      </w:r>
    </w:p>
    <w:p w:rsidR="00B03921" w:rsidRDefault="00B03921" w:rsidP="00016914">
      <w:r>
        <w:t>The Department</w:t>
      </w:r>
      <w:r w:rsidR="00BA5A16">
        <w:t>’</w:t>
      </w:r>
      <w:r>
        <w:t xml:space="preserve">s net asset position is estimated to decrease </w:t>
      </w:r>
      <w:r w:rsidRPr="00FF07ED">
        <w:t>by $</w:t>
      </w:r>
      <w:r>
        <w:t>21.3</w:t>
      </w:r>
      <w:r w:rsidRPr="00FF07ED">
        <w:t xml:space="preserve"> million in</w:t>
      </w:r>
      <w:r>
        <w:t xml:space="preserve"> 2015-16. This primarily reflects a decrease in non-financial assets and the result of machinery of government changes offset by funding of new asset initiatives.</w:t>
      </w:r>
    </w:p>
    <w:p w:rsidR="00B03921" w:rsidRPr="008C2F4B" w:rsidRDefault="00B03921" w:rsidP="00016914">
      <w:r w:rsidRPr="008C2F4B">
        <w:t xml:space="preserve">Significant capital expenditure projects in the </w:t>
      </w:r>
      <w:r w:rsidRPr="008C2F4B">
        <w:rPr>
          <w:i/>
        </w:rPr>
        <w:t>2015</w:t>
      </w:r>
      <w:r w:rsidRPr="008C2F4B">
        <w:rPr>
          <w:i/>
        </w:rPr>
        <w:noBreakHyphen/>
        <w:t>16 Budget</w:t>
      </w:r>
      <w:r w:rsidRPr="008C2F4B">
        <w:t xml:space="preserve"> include:</w:t>
      </w:r>
    </w:p>
    <w:p w:rsidR="00B03921" w:rsidRPr="008C2F4B" w:rsidRDefault="00B03921" w:rsidP="00016914">
      <w:pPr>
        <w:pStyle w:val="BulletText"/>
      </w:pPr>
      <w:r w:rsidRPr="008C2F4B">
        <w:t>Portarlington Safe Harbour;</w:t>
      </w:r>
    </w:p>
    <w:p w:rsidR="00B03921" w:rsidRPr="008C2F4B" w:rsidRDefault="00B03921" w:rsidP="00016914">
      <w:pPr>
        <w:pStyle w:val="BulletText"/>
      </w:pPr>
      <w:r w:rsidRPr="008C2F4B">
        <w:t>Zoos</w:t>
      </w:r>
      <w:r>
        <w:t xml:space="preserve"> Victoria: Predator Prey Precinct</w:t>
      </w:r>
      <w:r w:rsidRPr="008C2F4B">
        <w:t>;</w:t>
      </w:r>
      <w:r>
        <w:t xml:space="preserve"> and</w:t>
      </w:r>
    </w:p>
    <w:p w:rsidR="00B03921" w:rsidRPr="008C2F4B" w:rsidRDefault="00B03921" w:rsidP="00016914">
      <w:pPr>
        <w:pStyle w:val="BulletText"/>
      </w:pPr>
      <w:r w:rsidRPr="008C2F4B">
        <w:t>Hazelwood Mine Fire Enquiry: R</w:t>
      </w:r>
      <w:r>
        <w:t>apid response air m</w:t>
      </w:r>
      <w:r w:rsidRPr="008C2F4B">
        <w:t>onitoring.</w:t>
      </w:r>
    </w:p>
    <w:p w:rsidR="00B03921" w:rsidRDefault="00B03921" w:rsidP="00016914">
      <w:pPr>
        <w:pStyle w:val="Heading2"/>
      </w:pPr>
      <w:r>
        <w:t>Investing and financing</w:t>
      </w:r>
    </w:p>
    <w:p w:rsidR="00B03921" w:rsidRDefault="00B03921" w:rsidP="00016914">
      <w:r>
        <w:t xml:space="preserve">The Department is anticipating a reduction of $112.3 million in its net cash position in </w:t>
      </w:r>
      <w:r w:rsidRPr="007C3ECB">
        <w:t>2015</w:t>
      </w:r>
      <w:r w:rsidRPr="007C3ECB">
        <w:noBreakHyphen/>
        <w:t>16</w:t>
      </w:r>
      <w:r w:rsidRPr="00365029">
        <w:rPr>
          <w:i/>
        </w:rPr>
        <w:t xml:space="preserve"> </w:t>
      </w:r>
      <w:r>
        <w:t>mainly resulting from changed responsibilities under the machinery of government changes.</w:t>
      </w:r>
    </w:p>
    <w:p w:rsidR="00B03921" w:rsidRDefault="00B03921" w:rsidP="00016914">
      <w:r>
        <w:t>Cash flows for investing activities include payments for property, plant and equipment of $60.8 million, reflecting the Government</w:t>
      </w:r>
      <w:r w:rsidR="00BA5A16">
        <w:t>’</w:t>
      </w:r>
      <w:r>
        <w:t>s continued investment in the environment, land, water and planning sectors.</w:t>
      </w:r>
    </w:p>
    <w:p w:rsidR="00B03921" w:rsidRDefault="00B03921" w:rsidP="00016914">
      <w:pPr>
        <w:pStyle w:val="Heading2"/>
      </w:pPr>
      <w:r w:rsidRPr="0090460D">
        <w:t>Administered items statement</w:t>
      </w:r>
    </w:p>
    <w:p w:rsidR="00B03921" w:rsidRDefault="00B03921" w:rsidP="00016914">
      <w:r>
        <w:t>The Department administers certain expenses on behalf of the State relating to Victoria</w:t>
      </w:r>
      <w:r w:rsidR="00BA5A16">
        <w:t>’</w:t>
      </w:r>
      <w:r>
        <w:t>s share of Murray Darling Basin Authority operating costs.</w:t>
      </w:r>
    </w:p>
    <w:p w:rsidR="00B03921" w:rsidRDefault="00B03921" w:rsidP="00016914">
      <w:r w:rsidRPr="00B0260D">
        <w:t>Commonwealth funding reflected as grants inclu</w:t>
      </w:r>
      <w:r>
        <w:t>des a range of Commonwealth own</w:t>
      </w:r>
      <w:r>
        <w:noBreakHyphen/>
      </w:r>
      <w:r w:rsidRPr="00B0260D">
        <w:t>purpose payments for:</w:t>
      </w:r>
    </w:p>
    <w:p w:rsidR="00B03921" w:rsidRDefault="00B03921" w:rsidP="00016914">
      <w:pPr>
        <w:pStyle w:val="BulletText"/>
      </w:pPr>
      <w:r>
        <w:t>Coal Seam Gas – Phase 1 Bioregional Assessments;</w:t>
      </w:r>
    </w:p>
    <w:p w:rsidR="00B03921" w:rsidRDefault="00B03921" w:rsidP="00016914">
      <w:pPr>
        <w:pStyle w:val="BulletText"/>
      </w:pPr>
      <w:r>
        <w:t>Cleaning up the Yarra – Installation of Litter Traps; and</w:t>
      </w:r>
    </w:p>
    <w:p w:rsidR="00B03921" w:rsidRDefault="00B03921" w:rsidP="00016914">
      <w:pPr>
        <w:pStyle w:val="BulletText"/>
      </w:pPr>
      <w:r>
        <w:t>National Landcare Programme Regional Allocations.</w:t>
      </w:r>
    </w:p>
    <w:p w:rsidR="00B03921" w:rsidRDefault="00B03921" w:rsidP="00016914">
      <w:r>
        <w:t>Other than Commonwealth grants, the Department</w:t>
      </w:r>
      <w:r w:rsidR="00BA5A16">
        <w:t>’</w:t>
      </w:r>
      <w:r>
        <w:t>s administered income represents contributions to the Victorian Desalination Plant project, the Goulburn</w:t>
      </w:r>
      <w:r>
        <w:noBreakHyphen/>
        <w:t>Murray Water Connections project, and environment contributions.</w:t>
      </w:r>
    </w:p>
    <w:p w:rsidR="00B03921" w:rsidRDefault="00B03921" w:rsidP="00016914">
      <w:pPr>
        <w:pStyle w:val="Tableheading"/>
      </w:pPr>
      <w:r>
        <w:t>Table 3.3.1: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8079E9" w:rsidRPr="00FE4FB8" w:rsidTr="008079E9">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8079E9" w:rsidRPr="00FE4FB8" w:rsidTr="008079E9">
        <w:trPr>
          <w:gridAfter w:val="1"/>
          <w:wAfter w:w="37" w:type="dxa"/>
        </w:trPr>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Net result from continuing operations</w:t>
            </w: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1 396.2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1 463.6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1 242.5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1 172.3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259.9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267.9</w:t>
            </w:r>
          </w:p>
        </w:tc>
      </w:tr>
      <w:tr w:rsidR="00B03921" w:rsidRPr="00FE4FB8" w:rsidTr="00016914">
        <w:trPr>
          <w:gridAfter w:val="1"/>
          <w:wAfter w:w="37" w:type="dxa"/>
        </w:trPr>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1 885.6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1 926.7</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1 925.6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1 809.2</w:t>
            </w: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379.1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672.6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91.4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626.3</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1 707.8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1 826.5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1 752.8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1 825.8</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177.8</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100.2</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172.8</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(16.7)</w:t>
            </w:r>
          </w:p>
        </w:tc>
      </w:tr>
      <w:tr w:rsidR="008079E9" w:rsidRPr="00FE4FB8" w:rsidTr="008079E9">
        <w:trPr>
          <w:gridAfter w:val="1"/>
          <w:wAfter w:w="37" w:type="dxa"/>
        </w:trPr>
        <w:tc>
          <w:tcPr>
            <w:tcW w:w="7760" w:type="dxa"/>
            <w:gridSpan w:val="5"/>
            <w:tcBorders>
              <w:top w:val="nil"/>
              <w:left w:val="nil"/>
              <w:bottom w:val="nil"/>
              <w:right w:val="nil"/>
            </w:tcBorders>
          </w:tcPr>
          <w:p w:rsidR="008079E9" w:rsidRPr="00FE4FB8" w:rsidRDefault="008079E9" w:rsidP="008079E9">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w:t>
            </w:r>
          </w:p>
        </w:tc>
      </w:tr>
      <w:tr w:rsidR="00B03921" w:rsidRPr="00FE4FB8" w:rsidTr="00016914">
        <w:trPr>
          <w:gridAfter w:val="1"/>
          <w:wAfter w:w="37" w:type="dxa"/>
        </w:trPr>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169.1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169.7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(15.5)</w:t>
            </w:r>
          </w:p>
        </w:tc>
      </w:tr>
      <w:tr w:rsidR="008079E9" w:rsidRPr="00FE4FB8" w:rsidTr="008079E9">
        <w:tc>
          <w:tcPr>
            <w:tcW w:w="7797" w:type="dxa"/>
            <w:gridSpan w:val="6"/>
            <w:tcBorders>
              <w:top w:val="nil"/>
              <w:left w:val="nil"/>
              <w:bottom w:val="nil"/>
              <w:right w:val="nil"/>
            </w:tcBorders>
          </w:tcPr>
          <w:p w:rsidR="008079E9" w:rsidRPr="00FE4FB8" w:rsidRDefault="008079E9" w:rsidP="008079E9">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14.2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183.3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99.8</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223.7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(15.5)</w:t>
            </w:r>
          </w:p>
        </w:tc>
      </w:tr>
    </w:tbl>
    <w:p w:rsidR="00B03921" w:rsidRDefault="00B03921" w:rsidP="00016914">
      <w:pPr>
        <w:pStyle w:val="Source"/>
      </w:pPr>
      <w:r w:rsidRPr="001D350D">
        <w:t xml:space="preserve">Sources: </w:t>
      </w:r>
      <w:r>
        <w:t>Departments of Environment, Land, Water and Planning,</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w:t>
      </w:r>
      <w:r w:rsidRPr="009F4051">
        <w:t>Department of Env</w:t>
      </w:r>
      <w:r>
        <w:t>ironment and Primary Industries</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877C37">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3.3.2:</w:t>
      </w:r>
      <w:r>
        <w:tab/>
        <w:t>Balance sheet</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8079E9" w:rsidRPr="00FE4FB8" w:rsidTr="008079E9">
        <w:trPr>
          <w:trHeight w:val="42"/>
          <w:tblHeader/>
        </w:trPr>
        <w:tc>
          <w:tcPr>
            <w:tcW w:w="3784" w:type="dxa"/>
            <w:vMerge w:val="restart"/>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vMerge w:val="restart"/>
            <w:tcBorders>
              <w:top w:val="single" w:sz="6" w:space="0" w:color="auto"/>
              <w:left w:val="nil"/>
              <w:right w:val="nil"/>
            </w:tcBorders>
            <w:shd w:val="clear" w:color="000000" w:fill="000000"/>
          </w:tcPr>
          <w:p w:rsidR="008079E9" w:rsidRDefault="008079E9" w:rsidP="008079E9">
            <w:pPr>
              <w:pStyle w:val="Tabletextheading"/>
              <w:rPr>
                <w:rFonts w:eastAsiaTheme="minorEastAsia"/>
                <w:color w:val="FFFFFF"/>
                <w:lang w:eastAsia="en-AU"/>
              </w:rPr>
            </w:pPr>
          </w:p>
          <w:p w:rsidR="008079E9" w:rsidRPr="00FE4FB8" w:rsidRDefault="008079E9" w:rsidP="008079E9">
            <w:pPr>
              <w:pStyle w:val="Tabletextheading"/>
              <w:rPr>
                <w:rFonts w:eastAsiaTheme="minorEastAsia"/>
                <w:color w:val="FFFFFF"/>
                <w:lang w:eastAsia="en-AU"/>
              </w:rPr>
            </w:pPr>
            <w:r>
              <w:rPr>
                <w:rFonts w:eastAsiaTheme="minorEastAsia"/>
                <w:color w:val="FFFFFF"/>
                <w:lang w:eastAsia="en-AU"/>
              </w:rPr>
              <w:t>2</w:t>
            </w:r>
            <w:r w:rsidRPr="00FE4FB8">
              <w:rPr>
                <w:rFonts w:eastAsiaTheme="minorEastAsia"/>
                <w:color w:val="FFFFFF"/>
                <w:lang w:eastAsia="en-AU"/>
              </w:rPr>
              <w:t>014</w:t>
            </w:r>
            <w:r>
              <w:rPr>
                <w:rFonts w:eastAsiaTheme="minorEastAsia"/>
                <w:color w:val="FFFFFF"/>
                <w:lang w:eastAsia="en-AU"/>
              </w:rPr>
              <w:t xml:space="preserve"> </w:t>
            </w: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8079E9" w:rsidRPr="00FE4FB8" w:rsidRDefault="008079E9" w:rsidP="008079E9">
            <w:pPr>
              <w:pStyle w:val="Tabletextheadingcentred"/>
              <w:rPr>
                <w:rFonts w:eastAsiaTheme="minorEastAsia"/>
                <w:color w:val="FFFFFF"/>
                <w:lang w:eastAsia="en-AU"/>
              </w:rPr>
            </w:pPr>
            <w:r w:rsidRPr="00FE4FB8">
              <w:rPr>
                <w:rFonts w:eastAsiaTheme="minorEastAsia"/>
                <w:lang w:eastAsia="en-AU"/>
              </w:rPr>
              <w:t>Estimated as at 30 June</w:t>
            </w:r>
          </w:p>
        </w:tc>
      </w:tr>
      <w:tr w:rsidR="008079E9" w:rsidRPr="00FE4FB8" w:rsidTr="008079E9">
        <w:trPr>
          <w:trHeight w:val="488"/>
          <w:tblHeader/>
        </w:trPr>
        <w:tc>
          <w:tcPr>
            <w:tcW w:w="3784" w:type="dxa"/>
            <w:vMerge/>
            <w:tcBorders>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vMerge/>
            <w:tcBorders>
              <w:left w:val="nil"/>
              <w:right w:val="nil"/>
            </w:tcBorders>
            <w:shd w:val="clear" w:color="000000" w:fill="000000"/>
          </w:tcPr>
          <w:p w:rsidR="008079E9" w:rsidRPr="00FE4FB8" w:rsidRDefault="008079E9"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nil"/>
              <w:left w:val="nil"/>
              <w:right w:val="nil"/>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8079E9" w:rsidRPr="00FE4FB8" w:rsidRDefault="008079E9" w:rsidP="008079E9">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8079E9" w:rsidRPr="00FE4FB8" w:rsidTr="008079E9">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Assets</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335.3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293.4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302.2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525.0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Investments accounted for using equity method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1 025.6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1 132.8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1 133.2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1 129.7</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8 059.7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8 062.0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7 702.2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7 691.2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Biological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104.1</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8 235.8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8 245.7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7 889.7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7 862.6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9 261.4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9 378.5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9 022.8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8 992.2</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202.1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135.8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134.1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148.9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672.1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659.9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304.8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295.6</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8 589.3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8 718.0</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8 696.7</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529.2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628.5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715.4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5 654.0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5 654.5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5 654.0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5 654.0</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2 406.1</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2 435.6</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2 333.2</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2 327.3</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8 589.3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8 718.6</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8 696.7</w:t>
            </w:r>
          </w:p>
        </w:tc>
      </w:tr>
    </w:tbl>
    <w:p w:rsidR="00B03921" w:rsidRDefault="00B03921" w:rsidP="00016914">
      <w:pPr>
        <w:pStyle w:val="Source"/>
      </w:pPr>
      <w:r w:rsidRPr="001D350D">
        <w:t xml:space="preserve">Sources: </w:t>
      </w:r>
      <w:r>
        <w:t>Departments of Environment, Land, Water and Planning,</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rsidRPr="009F4051">
        <w:t>Department of Env</w:t>
      </w:r>
      <w:r>
        <w:t>ironment and Primary Industries</w:t>
      </w:r>
      <w:r w:rsidRPr="004D3EC3">
        <w:t xml:space="preserve"> included in the </w:t>
      </w:r>
      <w:r w:rsidRPr="00ED1C61">
        <w:rPr>
          <w:i w:val="0"/>
        </w:rPr>
        <w:t>2013-14 Financial Report</w:t>
      </w:r>
      <w:r w:rsidRPr="00A25614">
        <w:rPr>
          <w:i w:val="0"/>
        </w:rPr>
        <w:t xml:space="preserve"> </w:t>
      </w:r>
      <w:r w:rsidRPr="00ED1C61">
        <w:t>for the State of Victoria</w:t>
      </w:r>
      <w:r w:rsidRPr="00B0679B">
        <w:t xml:space="preserve"> </w:t>
      </w:r>
      <w:r w:rsidRPr="004D3EC3">
        <w:t xml:space="preserve">or the </w:t>
      </w:r>
      <w:r w:rsidRPr="00877C37">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 w:rsidR="00B03921" w:rsidRDefault="00B03921" w:rsidP="00016914">
      <w:pPr>
        <w:spacing w:after="0"/>
        <w:rPr>
          <w:rFonts w:ascii="Calibri" w:hAnsi="Calibri"/>
          <w:b/>
        </w:rPr>
      </w:pPr>
      <w:r>
        <w:br w:type="page"/>
      </w:r>
    </w:p>
    <w:p w:rsidR="00B03921" w:rsidRDefault="00B03921" w:rsidP="00016914">
      <w:pPr>
        <w:pStyle w:val="Tableheading"/>
      </w:pPr>
      <w:r>
        <w:t>Table 3.3.3:</w:t>
      </w:r>
      <w:r>
        <w:tab/>
        <w:t>Statement of cash flows</w:t>
      </w:r>
    </w:p>
    <w:p w:rsidR="00B03921" w:rsidRPr="00FE4FB8" w:rsidRDefault="00B03921" w:rsidP="00016914">
      <w:pPr>
        <w:pStyle w:val="million"/>
        <w:rPr>
          <w:rFonts w:ascii="Times New Roman" w:hAnsi="Times New Roman"/>
          <w:i w:val="0"/>
          <w:sz w:val="20"/>
          <w:szCs w:val="20"/>
          <w:lang w:eastAsia="en-AU"/>
        </w:rPr>
      </w:pPr>
      <w:r>
        <w:t xml:space="preserve">($ </w:t>
      </w:r>
      <w:r w:rsidRPr="00337186">
        <w:rPr>
          <w:rStyle w:val="millionChar"/>
        </w:rPr>
        <w:t>m</w:t>
      </w:r>
      <w:r>
        <w:t>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8079E9" w:rsidRPr="00FE4FB8" w:rsidTr="008079E9">
        <w:trPr>
          <w:trHeight w:val="503"/>
          <w:tblHeader/>
        </w:trPr>
        <w:tc>
          <w:tcPr>
            <w:tcW w:w="3784" w:type="dxa"/>
            <w:tcBorders>
              <w:top w:val="single" w:sz="6" w:space="0" w:color="auto"/>
              <w:left w:val="single" w:sz="6" w:space="0" w:color="auto"/>
            </w:tcBorders>
            <w:shd w:val="clear" w:color="000000" w:fill="000000"/>
          </w:tcPr>
          <w:p w:rsidR="008079E9" w:rsidRPr="00FE4FB8" w:rsidRDefault="008079E9" w:rsidP="00016914">
            <w:pPr>
              <w:pStyle w:val="Tabletext"/>
              <w:rPr>
                <w:rFonts w:eastAsiaTheme="minorEastAsia"/>
                <w:lang w:eastAsia="en-AU"/>
              </w:rPr>
            </w:pPr>
          </w:p>
        </w:tc>
        <w:tc>
          <w:tcPr>
            <w:tcW w:w="994" w:type="dxa"/>
            <w:tcBorders>
              <w:top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right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8079E9" w:rsidRPr="00FE4FB8" w:rsidTr="008079E9">
        <w:tc>
          <w:tcPr>
            <w:tcW w:w="7760"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operating activities</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Receipts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1 412.4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1 451.9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1 359.8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1 177.0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638.0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21.6</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1 933.8</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1 881.3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1 956.9</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1 848.5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(472.1)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(641.3)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(583.6)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(741.7)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(1 130.3)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(973.5)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(1 088.5)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(992.1)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(114.4)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(91.4)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(24.0)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(18.8)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(1 738.6)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(1 748.1)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(1 785.5)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(1 826.2)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195.1</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133.2</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171.4</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22.3</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(114.6)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(58.0)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(74.7)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(139.1)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(97.9)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(164.7)</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(purchase)/disposal of investments – policy purposes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(9.0)</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(241.2)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(157.9)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(231.1)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(133.2)</w:t>
            </w:r>
          </w:p>
        </w:tc>
      </w:tr>
      <w:tr w:rsidR="008079E9" w:rsidRPr="00FE4FB8" w:rsidTr="008079E9">
        <w:tc>
          <w:tcPr>
            <w:tcW w:w="7760"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(14.3)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(13.4)</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44.5</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128.0</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(2.1)</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(112.3)</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338.9</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337.4</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337.4</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405.7</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337.4</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335.3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405.7</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293.4</w:t>
            </w:r>
          </w:p>
        </w:tc>
      </w:tr>
    </w:tbl>
    <w:p w:rsidR="00B03921" w:rsidRDefault="00B03921" w:rsidP="00016914">
      <w:pPr>
        <w:pStyle w:val="Source"/>
      </w:pPr>
      <w:r w:rsidRPr="001D350D">
        <w:t>Source</w:t>
      </w:r>
      <w:r>
        <w:t>s</w:t>
      </w:r>
      <w:r w:rsidRPr="001D350D">
        <w:t xml:space="preserve">: </w:t>
      </w:r>
      <w:r>
        <w:t>Departments of Environment, Land, Water and Planning,</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w:t>
      </w:r>
      <w:r w:rsidRPr="009F4051">
        <w:t>Department of Env</w:t>
      </w:r>
      <w:r>
        <w:t>ironment and Primary Industries</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877C37">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Pr="001D350D" w:rsidRDefault="00B03921" w:rsidP="00016914">
      <w:pPr>
        <w:pStyle w:val="Notes"/>
      </w:pPr>
      <w:r>
        <w:t>(c)</w:t>
      </w:r>
      <w:r>
        <w:tab/>
        <w:t>Figures have been restated to better reflect the nature of related cash flows.</w:t>
      </w:r>
    </w:p>
    <w:p w:rsidR="00B03921" w:rsidRDefault="00B03921" w:rsidP="00016914">
      <w:pPr>
        <w:spacing w:after="0"/>
        <w:rPr>
          <w:rFonts w:ascii="Calibri" w:hAnsi="Calibri"/>
          <w:b/>
        </w:rPr>
      </w:pPr>
      <w:r>
        <w:br w:type="page"/>
      </w:r>
    </w:p>
    <w:p w:rsidR="00B03921" w:rsidRDefault="00B03921" w:rsidP="00016914">
      <w:pPr>
        <w:pStyle w:val="Tableheading"/>
      </w:pPr>
      <w:r>
        <w:t>Table 3.3.4: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002"/>
        <w:gridCol w:w="788"/>
        <w:gridCol w:w="895"/>
        <w:gridCol w:w="1204"/>
        <w:gridCol w:w="1147"/>
        <w:gridCol w:w="882"/>
        <w:gridCol w:w="842"/>
      </w:tblGrid>
      <w:tr w:rsidR="00B03921" w:rsidRPr="00FE4FB8" w:rsidTr="00016914">
        <w:trPr>
          <w:tblHeader/>
        </w:trPr>
        <w:tc>
          <w:tcPr>
            <w:tcW w:w="2002" w:type="dxa"/>
            <w:tcBorders>
              <w:top w:val="single" w:sz="6" w:space="0" w:color="000000"/>
              <w:left w:val="single" w:sz="6" w:space="0" w:color="000000"/>
              <w:bottom w:val="single" w:sz="6" w:space="0" w:color="000000"/>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683" w:type="dxa"/>
            <w:gridSpan w:val="2"/>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04"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147"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882"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842" w:type="dxa"/>
            <w:tcBorders>
              <w:top w:val="single" w:sz="6" w:space="0" w:color="000000"/>
              <w:left w:val="nil"/>
              <w:bottom w:val="single" w:sz="6" w:space="0" w:color="000000"/>
              <w:right w:val="single" w:sz="6" w:space="0" w:color="000000"/>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000000"/>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895"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346.8</w:t>
            </w:r>
          </w:p>
        </w:tc>
        <w:tc>
          <w:tcPr>
            <w:tcW w:w="1204"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2 462.0</w:t>
            </w:r>
          </w:p>
        </w:tc>
        <w:tc>
          <w:tcPr>
            <w:tcW w:w="1147"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5 653.0</w:t>
            </w:r>
          </w:p>
        </w:tc>
        <w:tc>
          <w:tcPr>
            <w:tcW w:w="882"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2"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8 461.9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182.3</w:t>
            </w:r>
          </w:p>
        </w:tc>
        <w:tc>
          <w:tcPr>
            <w:tcW w:w="120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183.3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(55.9)</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(55.9)</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2014 (actual)</w:t>
            </w:r>
            <w:r w:rsidRPr="00FE4FB8">
              <w:rPr>
                <w:rFonts w:eastAsiaTheme="minorEastAsia"/>
                <w:b/>
                <w:bCs/>
                <w:vertAlign w:val="superscript"/>
                <w:lang w:eastAsia="en-AU"/>
              </w:rPr>
              <w:t>(a)</w:t>
            </w:r>
          </w:p>
        </w:tc>
        <w:tc>
          <w:tcPr>
            <w:tcW w:w="89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529.2</w:t>
            </w:r>
          </w:p>
        </w:tc>
        <w:tc>
          <w:tcPr>
            <w:tcW w:w="120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2 406.1</w:t>
            </w:r>
          </w:p>
        </w:tc>
        <w:tc>
          <w:tcPr>
            <w:tcW w:w="114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5 654.0</w:t>
            </w:r>
          </w:p>
        </w:tc>
        <w:tc>
          <w:tcPr>
            <w:tcW w:w="88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8 589.3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99.3</w:t>
            </w:r>
          </w:p>
        </w:tc>
        <w:tc>
          <w:tcPr>
            <w:tcW w:w="120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99.8</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29.4</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29.4</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cs="Calibri"/>
                <w:b/>
                <w:bCs/>
                <w:color w:val="000000"/>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w:t>
            </w:r>
            <w:r w:rsidRPr="00FE4FB8">
              <w:rPr>
                <w:rFonts w:eastAsiaTheme="minorEastAsia" w:cs="Calibri"/>
                <w:b/>
                <w:bCs/>
                <w:color w:val="000000"/>
                <w:vertAlign w:val="superscript"/>
                <w:lang w:eastAsia="en-AU"/>
              </w:rPr>
              <w:t>)(b)</w:t>
            </w:r>
          </w:p>
        </w:tc>
        <w:tc>
          <w:tcPr>
            <w:tcW w:w="89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628.5</w:t>
            </w:r>
          </w:p>
        </w:tc>
        <w:tc>
          <w:tcPr>
            <w:tcW w:w="120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2 435.6</w:t>
            </w:r>
          </w:p>
        </w:tc>
        <w:tc>
          <w:tcPr>
            <w:tcW w:w="114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5 654.5</w:t>
            </w:r>
          </w:p>
        </w:tc>
        <w:tc>
          <w:tcPr>
            <w:tcW w:w="88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8 718.6</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223.7</w:t>
            </w:r>
          </w:p>
        </w:tc>
        <w:tc>
          <w:tcPr>
            <w:tcW w:w="120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47"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223.7</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(22.0)</w:t>
            </w:r>
          </w:p>
        </w:tc>
        <w:tc>
          <w:tcPr>
            <w:tcW w:w="120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(72.9)</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(95.0)</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(revised)</w:t>
            </w:r>
            <w:r w:rsidRPr="00FE4FB8">
              <w:rPr>
                <w:rFonts w:eastAsiaTheme="minorEastAsia"/>
                <w:b/>
                <w:bCs/>
                <w:vertAlign w:val="superscript"/>
                <w:lang w:eastAsia="en-AU"/>
              </w:rPr>
              <w:t>(c)</w:t>
            </w:r>
          </w:p>
        </w:tc>
        <w:tc>
          <w:tcPr>
            <w:tcW w:w="89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730.8</w:t>
            </w:r>
          </w:p>
        </w:tc>
        <w:tc>
          <w:tcPr>
            <w:tcW w:w="120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2 333.2</w:t>
            </w:r>
          </w:p>
        </w:tc>
        <w:tc>
          <w:tcPr>
            <w:tcW w:w="114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5 654.0</w:t>
            </w:r>
          </w:p>
        </w:tc>
        <w:tc>
          <w:tcPr>
            <w:tcW w:w="88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8 718.0</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(15.5)</w:t>
            </w:r>
          </w:p>
        </w:tc>
        <w:tc>
          <w:tcPr>
            <w:tcW w:w="120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4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(15.5)</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95"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single" w:sz="6" w:space="0" w:color="auto"/>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(5.9)</w:t>
            </w:r>
          </w:p>
        </w:tc>
        <w:tc>
          <w:tcPr>
            <w:tcW w:w="1147"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2"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2" w:type="dxa"/>
            <w:tcBorders>
              <w:top w:val="nil"/>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(5.9)</w:t>
            </w:r>
          </w:p>
        </w:tc>
      </w:tr>
      <w:tr w:rsidR="00B03921" w:rsidRPr="00FE4FB8" w:rsidTr="00016914">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2016 (budget)</w:t>
            </w:r>
            <w:r w:rsidRPr="00FE4FB8">
              <w:rPr>
                <w:rFonts w:eastAsiaTheme="minorEastAsia"/>
                <w:b/>
                <w:bCs/>
                <w:vertAlign w:val="superscript"/>
                <w:lang w:eastAsia="en-AU"/>
              </w:rPr>
              <w:t>(c)</w:t>
            </w:r>
          </w:p>
        </w:tc>
        <w:tc>
          <w:tcPr>
            <w:tcW w:w="89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715.4</w:t>
            </w:r>
          </w:p>
        </w:tc>
        <w:tc>
          <w:tcPr>
            <w:tcW w:w="120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2 327.3</w:t>
            </w:r>
          </w:p>
        </w:tc>
        <w:tc>
          <w:tcPr>
            <w:tcW w:w="1147"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5 654.0</w:t>
            </w:r>
          </w:p>
        </w:tc>
        <w:tc>
          <w:tcPr>
            <w:tcW w:w="882"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2"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8 696.7</w:t>
            </w:r>
          </w:p>
        </w:tc>
      </w:tr>
    </w:tbl>
    <w:p w:rsidR="00B03921" w:rsidRPr="00FC4A23" w:rsidRDefault="00B03921" w:rsidP="00016914">
      <w:pPr>
        <w:pStyle w:val="Source"/>
        <w:rPr>
          <w:rStyle w:val="PageNumber"/>
          <w:sz w:val="15"/>
        </w:rPr>
      </w:pPr>
      <w:r w:rsidRPr="00FC4A23">
        <w:rPr>
          <w:rStyle w:val="PageNumber"/>
          <w:sz w:val="15"/>
        </w:rPr>
        <w:t>Sources: Departments of Environment, Land, Water and Planning</w:t>
      </w:r>
      <w:r>
        <w:rPr>
          <w:rStyle w:val="PageNumber"/>
          <w:sz w:val="15"/>
        </w:rPr>
        <w:t>,</w:t>
      </w:r>
      <w:r w:rsidRPr="00FC4A23">
        <w:rPr>
          <w:rStyle w:val="PageNumber"/>
          <w:sz w:val="15"/>
        </w:rPr>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rsidRPr="009F4051">
        <w:t>Department of Env</w:t>
      </w:r>
      <w:r>
        <w:t>ironment and Primary Industries</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pStyle w:val="million"/>
      </w:pP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3.3.5:</w:t>
      </w:r>
      <w:r>
        <w:tab/>
        <w:t>Administered items statement</w:t>
      </w:r>
    </w:p>
    <w:p w:rsidR="00B03921" w:rsidRPr="00FE4FB8" w:rsidRDefault="00B03921" w:rsidP="00016914">
      <w:pPr>
        <w:pStyle w:val="million"/>
        <w:rPr>
          <w:rFonts w:ascii="Times New Roman" w:hAnsi="Times New Roman"/>
          <w:i w:val="0"/>
          <w:sz w:val="20"/>
          <w:szCs w:val="20"/>
          <w:lang w:eastAsia="en-AU"/>
        </w:rPr>
      </w:pPr>
      <w:r>
        <w:t>($ million)</w:t>
      </w:r>
      <w:r w:rsidRPr="004F7ADD">
        <w:t xml:space="preserve"> </w:t>
      </w:r>
    </w:p>
    <w:tbl>
      <w:tblPr>
        <w:tblW w:w="7761"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5"/>
      </w:tblGrid>
      <w:tr w:rsidR="008079E9" w:rsidRPr="00FE4FB8" w:rsidTr="008079E9">
        <w:trPr>
          <w:trHeight w:val="503"/>
          <w:tblHeader/>
        </w:trPr>
        <w:tc>
          <w:tcPr>
            <w:tcW w:w="3784" w:type="dxa"/>
            <w:tcBorders>
              <w:top w:val="single" w:sz="6" w:space="0" w:color="auto"/>
              <w:left w:val="single" w:sz="6" w:space="0" w:color="auto"/>
              <w:right w:val="nil"/>
            </w:tcBorders>
            <w:shd w:val="clear" w:color="000000" w:fill="000000"/>
          </w:tcPr>
          <w:p w:rsidR="008079E9" w:rsidRPr="00FE4FB8" w:rsidRDefault="008079E9"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(c)</w:t>
            </w:r>
          </w:p>
        </w:tc>
        <w:tc>
          <w:tcPr>
            <w:tcW w:w="995" w:type="dxa"/>
            <w:tcBorders>
              <w:top w:val="single" w:sz="6" w:space="0" w:color="auto"/>
              <w:left w:val="nil"/>
              <w:right w:val="single" w:sz="6" w:space="0" w:color="auto"/>
            </w:tcBorders>
            <w:shd w:val="clear" w:color="000000" w:fill="000000"/>
          </w:tcPr>
          <w:p w:rsidR="008079E9" w:rsidRPr="00FE4FB8" w:rsidRDefault="008079E9" w:rsidP="008079E9">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8079E9" w:rsidRPr="00FE4FB8" w:rsidTr="008079E9">
        <w:tc>
          <w:tcPr>
            <w:tcW w:w="7761" w:type="dxa"/>
            <w:gridSpan w:val="5"/>
            <w:tcBorders>
              <w:top w:val="single" w:sz="6" w:space="0" w:color="auto"/>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income</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Appropriations – payments made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696.7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649.1</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650.5</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311.7</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417.1</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307.1</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573.3</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466.8</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462.7</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194.8</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202.1</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1 562.2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1 565.0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1 929.6</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2 305.7</w:t>
            </w:r>
          </w:p>
        </w:tc>
      </w:tr>
      <w:tr w:rsidR="008079E9" w:rsidRPr="00FE4FB8" w:rsidTr="008079E9">
        <w:trPr>
          <w:trHeight w:hRule="exact" w:val="120"/>
        </w:trPr>
        <w:tc>
          <w:tcPr>
            <w:tcW w:w="7761" w:type="dxa"/>
            <w:gridSpan w:val="5"/>
            <w:tcBorders>
              <w:top w:val="nil"/>
              <w:left w:val="nil"/>
              <w:bottom w:val="nil"/>
              <w:right w:val="nil"/>
            </w:tcBorders>
          </w:tcPr>
          <w:p w:rsidR="008079E9" w:rsidRPr="00FE4FB8" w:rsidRDefault="008079E9" w:rsidP="008079E9">
            <w:pPr>
              <w:pStyle w:val="Tabletext"/>
              <w:rPr>
                <w:rFonts w:eastAsiaTheme="minorEastAsia"/>
                <w:lang w:eastAsia="en-AU"/>
              </w:rPr>
            </w:pPr>
            <w:r w:rsidRPr="00FE4FB8">
              <w:rPr>
                <w:rFonts w:eastAsiaTheme="minorEastAsia"/>
                <w:lang w:eastAsia="en-AU"/>
              </w:rPr>
              <w:t xml:space="preserve">  </w:t>
            </w:r>
          </w:p>
        </w:tc>
      </w:tr>
      <w:tr w:rsidR="008079E9" w:rsidRPr="00FE4FB8" w:rsidTr="008079E9">
        <w:tc>
          <w:tcPr>
            <w:tcW w:w="7761"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115.0</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121.6</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294.1</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560.7</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991.2</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1 108.1</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Interest and Depreciation expense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467.0</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462.9</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1 601.0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1 614.5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1 867.3</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2 253.3</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(38.8)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(49.5)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62.3</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52.4</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Other economic flows included in net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5"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(23.3)</w:t>
            </w:r>
          </w:p>
        </w:tc>
        <w:tc>
          <w:tcPr>
            <w:tcW w:w="9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other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(18.8)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(23.3)</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(1.3)</w:t>
            </w:r>
          </w:p>
        </w:tc>
      </w:tr>
      <w:tr w:rsidR="00B03921" w:rsidRPr="00FE4FB8" w:rsidTr="008079E9">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(57.6)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(6.7)</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39.0</w:t>
            </w:r>
          </w:p>
        </w:tc>
        <w:tc>
          <w:tcPr>
            <w:tcW w:w="995"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51.2</w:t>
            </w:r>
          </w:p>
        </w:tc>
      </w:tr>
      <w:tr w:rsidR="008079E9" w:rsidRPr="00FE4FB8" w:rsidTr="008079E9">
        <w:trPr>
          <w:trHeight w:hRule="exact" w:val="120"/>
        </w:trPr>
        <w:tc>
          <w:tcPr>
            <w:tcW w:w="7761" w:type="dxa"/>
            <w:gridSpan w:val="5"/>
            <w:tcBorders>
              <w:top w:val="nil"/>
              <w:left w:val="nil"/>
              <w:bottom w:val="nil"/>
              <w:right w:val="nil"/>
            </w:tcBorders>
          </w:tcPr>
          <w:p w:rsidR="008079E9" w:rsidRPr="00FE4FB8" w:rsidRDefault="008079E9" w:rsidP="008079E9">
            <w:pPr>
              <w:pStyle w:val="Tabletext"/>
              <w:rPr>
                <w:rFonts w:eastAsiaTheme="minorEastAsia"/>
                <w:b/>
                <w:bCs/>
                <w:lang w:eastAsia="en-AU"/>
              </w:rPr>
            </w:pPr>
          </w:p>
        </w:tc>
      </w:tr>
      <w:tr w:rsidR="008079E9" w:rsidRPr="00FE4FB8" w:rsidTr="008079E9">
        <w:tc>
          <w:tcPr>
            <w:tcW w:w="7761" w:type="dxa"/>
            <w:gridSpan w:val="5"/>
            <w:tcBorders>
              <w:top w:val="nil"/>
              <w:left w:val="nil"/>
              <w:bottom w:val="nil"/>
              <w:right w:val="nil"/>
            </w:tcBorders>
          </w:tcPr>
          <w:p w:rsidR="008079E9" w:rsidRPr="00FE4FB8" w:rsidRDefault="008079E9" w:rsidP="008079E9">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(23.7)</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(23.7)</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8079E9">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(53.2)</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19.1</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15.3</w:t>
            </w:r>
          </w:p>
        </w:tc>
        <w:tc>
          <w:tcPr>
            <w:tcW w:w="995"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51.2</w:t>
            </w:r>
          </w:p>
        </w:tc>
      </w:tr>
      <w:tr w:rsidR="00B03921" w:rsidRPr="00FE4FB8" w:rsidTr="008079E9">
        <w:trPr>
          <w:trHeight w:hRule="exact" w:val="120"/>
        </w:trPr>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5"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8079E9" w:rsidRPr="00FE4FB8" w:rsidTr="008079E9">
        <w:tc>
          <w:tcPr>
            <w:tcW w:w="7761" w:type="dxa"/>
            <w:gridSpan w:val="5"/>
            <w:tcBorders>
              <w:top w:val="nil"/>
              <w:left w:val="nil"/>
              <w:bottom w:val="nil"/>
              <w:right w:val="nil"/>
            </w:tcBorders>
          </w:tcPr>
          <w:p w:rsidR="008079E9" w:rsidRPr="00FE4FB8" w:rsidRDefault="008079E9" w:rsidP="008079E9">
            <w:pPr>
              <w:pStyle w:val="Tabletext"/>
              <w:rPr>
                <w:rFonts w:eastAsiaTheme="minorEastAsia"/>
                <w:b/>
                <w:lang w:eastAsia="en-AU"/>
              </w:rPr>
            </w:pPr>
            <w:r w:rsidRPr="00FE4FB8">
              <w:rPr>
                <w:rFonts w:eastAsiaTheme="minorEastAsia"/>
                <w:b/>
                <w:bCs/>
                <w:lang w:eastAsia="en-AU"/>
              </w:rPr>
              <w:t>Administered assets</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4 339.4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4 277.0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4 302.4</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4 254.0</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12.7</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12.7</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688.0</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688.0</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103.1</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103.1</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5 144.8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5 108.2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5 107.7</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5 059.4</w:t>
            </w:r>
          </w:p>
        </w:tc>
      </w:tr>
    </w:tbl>
    <w:p w:rsidR="00CA2DDF" w:rsidRDefault="00CA2DDF">
      <w:pPr>
        <w:spacing w:after="0"/>
        <w:rPr>
          <w:rFonts w:ascii="Calibri" w:hAnsi="Calibri"/>
          <w:b/>
        </w:rPr>
      </w:pPr>
      <w:r>
        <w:br w:type="page"/>
      </w:r>
    </w:p>
    <w:p w:rsidR="00CA2DDF" w:rsidRDefault="00CA2DDF" w:rsidP="00CA2DDF">
      <w:pPr>
        <w:pStyle w:val="Tableheadingcontinued"/>
      </w:pPr>
      <w:r>
        <w:t>Table 3.3.5:</w:t>
      </w:r>
      <w:r>
        <w:tab/>
        <w:t xml:space="preserve">Administered items statement </w:t>
      </w:r>
      <w:r w:rsidRPr="00CA2DDF">
        <w:rPr>
          <w:i/>
        </w:rPr>
        <w:t>(continued)</w:t>
      </w:r>
    </w:p>
    <w:p w:rsidR="00CA2DDF" w:rsidRDefault="00CA2DDF" w:rsidP="00CA2DDF">
      <w:pPr>
        <w:pStyle w:val="million"/>
      </w:pPr>
      <w:r>
        <w:t xml:space="preserve">($ million) </w:t>
      </w:r>
    </w:p>
    <w:tbl>
      <w:tblPr>
        <w:tblW w:w="7761"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5"/>
      </w:tblGrid>
      <w:tr w:rsidR="00CA2DDF" w:rsidRPr="00FE4FB8" w:rsidTr="00975CAD">
        <w:trPr>
          <w:trHeight w:val="503"/>
          <w:tblHeader/>
        </w:trPr>
        <w:tc>
          <w:tcPr>
            <w:tcW w:w="3784" w:type="dxa"/>
            <w:tcBorders>
              <w:top w:val="single" w:sz="6" w:space="0" w:color="auto"/>
              <w:left w:val="single" w:sz="6" w:space="0" w:color="auto"/>
              <w:right w:val="nil"/>
            </w:tcBorders>
            <w:shd w:val="clear" w:color="000000" w:fill="000000"/>
          </w:tcPr>
          <w:p w:rsidR="00CA2DDF" w:rsidRPr="00FE4FB8" w:rsidRDefault="00CA2DDF" w:rsidP="00975CAD">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CA2DDF" w:rsidRPr="00FE4FB8" w:rsidRDefault="00CA2DDF"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CA2DDF" w:rsidRPr="00FE4FB8" w:rsidRDefault="00CA2DDF"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CA2DDF" w:rsidRPr="00FE4FB8" w:rsidRDefault="00CA2DDF"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(c)</w:t>
            </w:r>
          </w:p>
        </w:tc>
        <w:tc>
          <w:tcPr>
            <w:tcW w:w="995" w:type="dxa"/>
            <w:tcBorders>
              <w:top w:val="single" w:sz="6" w:space="0" w:color="auto"/>
              <w:left w:val="nil"/>
              <w:right w:val="single" w:sz="6" w:space="0" w:color="auto"/>
            </w:tcBorders>
            <w:shd w:val="clear" w:color="000000" w:fill="000000"/>
          </w:tcPr>
          <w:p w:rsidR="00CA2DDF" w:rsidRPr="00FE4FB8" w:rsidRDefault="00CA2DDF"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CA2DDF" w:rsidRPr="00FE4FB8" w:rsidTr="00975CAD">
        <w:tc>
          <w:tcPr>
            <w:tcW w:w="7761" w:type="dxa"/>
            <w:gridSpan w:val="5"/>
            <w:tcBorders>
              <w:top w:val="nil"/>
              <w:left w:val="nil"/>
              <w:bottom w:val="nil"/>
              <w:right w:val="nil"/>
            </w:tcBorders>
          </w:tcPr>
          <w:p w:rsidR="00CA2DDF" w:rsidRPr="00FE4FB8" w:rsidRDefault="00CA2DDF" w:rsidP="00CA2DDF">
            <w:pPr>
              <w:pStyle w:val="Tabletext"/>
              <w:ind w:left="181" w:hanging="181"/>
              <w:rPr>
                <w:rFonts w:eastAsiaTheme="minorEastAsia"/>
                <w:b/>
                <w:lang w:eastAsia="en-AU"/>
              </w:rPr>
            </w:pPr>
            <w:r w:rsidRPr="00FE4FB8">
              <w:rPr>
                <w:rFonts w:eastAsiaTheme="minorEastAsia"/>
                <w:b/>
                <w:bCs/>
                <w:lang w:eastAsia="en-AU"/>
              </w:rPr>
              <w:t>Administered liabilities</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98.3</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98.2</w:t>
            </w:r>
          </w:p>
        </w:tc>
      </w:tr>
      <w:tr w:rsidR="00B03921" w:rsidRPr="00FE4FB8" w:rsidTr="008079E9">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4 264.8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4 203.9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4 227.6</w:t>
            </w:r>
          </w:p>
        </w:tc>
        <w:tc>
          <w:tcPr>
            <w:tcW w:w="9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4 183.4</w:t>
            </w:r>
          </w:p>
        </w:tc>
      </w:tr>
      <w:tr w:rsidR="00B03921" w:rsidRPr="00FE4FB8" w:rsidTr="008079E9">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4 386.8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4 325.7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4 326.0</w:t>
            </w:r>
          </w:p>
        </w:tc>
        <w:tc>
          <w:tcPr>
            <w:tcW w:w="9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4 281.5</w:t>
            </w:r>
          </w:p>
        </w:tc>
      </w:tr>
      <w:tr w:rsidR="00B03921" w:rsidRPr="00FE4FB8" w:rsidTr="008079E9">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758.0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782.5</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781.8</w:t>
            </w:r>
          </w:p>
        </w:tc>
        <w:tc>
          <w:tcPr>
            <w:tcW w:w="99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777.9</w:t>
            </w:r>
          </w:p>
        </w:tc>
      </w:tr>
    </w:tbl>
    <w:p w:rsidR="00B03921" w:rsidRDefault="00B03921" w:rsidP="00016914">
      <w:pPr>
        <w:pStyle w:val="Source"/>
      </w:pPr>
      <w:r w:rsidRPr="004F7ADD">
        <w:t xml:space="preserve">Sources: </w:t>
      </w:r>
      <w:r>
        <w:t>Departments of Environment, Land, Water and Planning,</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former </w:t>
      </w:r>
      <w:r w:rsidRPr="009F4051">
        <w:t>Department of Env</w:t>
      </w:r>
      <w:r>
        <w:t>ironment and Primary Industries</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877C37">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(c)</w:t>
      </w:r>
      <w:r>
        <w:tab/>
        <w:t>The 2014-15 r</w:t>
      </w:r>
      <w:r w:rsidRPr="00B0679B">
        <w:t>evised</w:t>
      </w:r>
      <w:r>
        <w:t xml:space="preserve"> and 2015-16 budget reflect</w:t>
      </w:r>
      <w:r w:rsidRPr="00B0679B">
        <w:t xml:space="preserve"> the full impact of machinery of gove</w:t>
      </w:r>
      <w:r>
        <w:t>rnment changes effective from 1 </w:t>
      </w:r>
      <w:r w:rsidRPr="00B0679B">
        <w:t>January 2015.</w:t>
      </w:r>
    </w:p>
    <w:p w:rsidR="00B03921" w:rsidRDefault="00B03921" w:rsidP="00016914"/>
    <w:p w:rsidR="00B03921" w:rsidRDefault="00B03921" w:rsidP="00016914"/>
    <w:p w:rsidR="00B03921" w:rsidRDefault="00B03921" w:rsidP="00016914">
      <w:pPr>
        <w:pStyle w:val="Tableheading"/>
      </w:pPr>
      <w:r>
        <w:t>Table 3.3.6:</w:t>
      </w:r>
      <w:r>
        <w:tab/>
        <w:t>Payments made on behalf of the State</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CA2DDF" w:rsidRPr="00FE4FB8" w:rsidTr="00975CAD">
        <w:trPr>
          <w:trHeight w:val="503"/>
        </w:trPr>
        <w:tc>
          <w:tcPr>
            <w:tcW w:w="4640" w:type="dxa"/>
            <w:tcBorders>
              <w:top w:val="single" w:sz="6" w:space="0" w:color="auto"/>
              <w:left w:val="single" w:sz="6" w:space="0" w:color="auto"/>
              <w:right w:val="nil"/>
            </w:tcBorders>
            <w:shd w:val="clear" w:color="000000" w:fill="000000"/>
          </w:tcPr>
          <w:p w:rsidR="00CA2DDF" w:rsidRPr="00FE4FB8" w:rsidRDefault="00CA2DDF" w:rsidP="00016914">
            <w:pPr>
              <w:pStyle w:val="Tabletext"/>
              <w:rPr>
                <w:rFonts w:eastAsiaTheme="minorEastAsia"/>
                <w:i/>
                <w:lang w:eastAsia="en-AU"/>
              </w:rPr>
            </w:pPr>
          </w:p>
          <w:p w:rsidR="00CA2DDF" w:rsidRPr="00FE4FB8" w:rsidRDefault="00CA2DDF" w:rsidP="00016914">
            <w:pPr>
              <w:pStyle w:val="Tabletext"/>
              <w:rPr>
                <w:rFonts w:eastAsiaTheme="minorEastAsia"/>
                <w:i/>
                <w:lang w:eastAsia="en-AU"/>
              </w:rPr>
            </w:pPr>
            <w:r w:rsidRPr="00FE4FB8">
              <w:rPr>
                <w:rFonts w:eastAsiaTheme="minorEastAsia"/>
                <w:i/>
                <w:lang w:eastAsia="en-AU"/>
              </w:rPr>
              <w:t>Accounts</w:t>
            </w:r>
          </w:p>
        </w:tc>
        <w:tc>
          <w:tcPr>
            <w:tcW w:w="1040"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p>
        </w:tc>
        <w:tc>
          <w:tcPr>
            <w:tcW w:w="1040"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(b)</w:t>
            </w:r>
          </w:p>
        </w:tc>
        <w:tc>
          <w:tcPr>
            <w:tcW w:w="1040" w:type="dxa"/>
            <w:tcBorders>
              <w:top w:val="single" w:sz="6" w:space="0" w:color="auto"/>
              <w:left w:val="nil"/>
              <w:right w:val="single" w:sz="6" w:space="0" w:color="auto"/>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(b)</w:t>
            </w:r>
          </w:p>
        </w:tc>
      </w:tr>
      <w:tr w:rsidR="00B03921" w:rsidRPr="00FE4FB8" w:rsidTr="00016914">
        <w:tc>
          <w:tcPr>
            <w:tcW w:w="4640" w:type="dxa"/>
            <w:tcBorders>
              <w:top w:val="single" w:sz="6" w:space="0" w:color="auto"/>
              <w:left w:val="nil"/>
              <w:bottom w:val="nil"/>
              <w:right w:val="nil"/>
            </w:tcBorders>
          </w:tcPr>
          <w:p w:rsidR="00B03921" w:rsidRPr="00FE4FB8" w:rsidRDefault="00B03921" w:rsidP="00016914">
            <w:pPr>
              <w:pStyle w:val="Tabletext"/>
              <w:rPr>
                <w:rFonts w:eastAsiaTheme="minorEastAsia"/>
                <w:szCs w:val="22"/>
                <w:lang w:eastAsia="en-AU"/>
              </w:rPr>
            </w:pPr>
            <w:r w:rsidRPr="00FE4FB8">
              <w:rPr>
                <w:rFonts w:eastAsiaTheme="minorEastAsia"/>
                <w:szCs w:val="22"/>
                <w:lang w:eastAsia="en-AU"/>
              </w:rPr>
              <w:t>Murray-Darling Basin contribution</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30.7</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18.0</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30.5</w:t>
            </w:r>
          </w:p>
        </w:tc>
      </w:tr>
      <w:tr w:rsidR="00B03921" w:rsidRPr="00FE4FB8" w:rsidTr="00016914">
        <w:tc>
          <w:tcPr>
            <w:tcW w:w="4640" w:type="dxa"/>
            <w:tcBorders>
              <w:top w:val="nil"/>
              <w:left w:val="nil"/>
              <w:bottom w:val="single" w:sz="6" w:space="0" w:color="auto"/>
              <w:right w:val="nil"/>
            </w:tcBorders>
          </w:tcPr>
          <w:p w:rsidR="00B03921" w:rsidRPr="00FE4FB8" w:rsidRDefault="00B03921" w:rsidP="00016914">
            <w:pPr>
              <w:pStyle w:val="Tabletext"/>
              <w:rPr>
                <w:rFonts w:eastAsiaTheme="minorEastAsia"/>
                <w:szCs w:val="22"/>
                <w:lang w:eastAsia="en-AU"/>
              </w:rPr>
            </w:pPr>
            <w:r w:rsidRPr="00FE4FB8">
              <w:rPr>
                <w:rFonts w:eastAsiaTheme="minorEastAsia"/>
                <w:szCs w:val="22"/>
                <w:lang w:eastAsia="en-AU"/>
              </w:rPr>
              <w:t>Victorian Desalination Project finance lease liability</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666.0</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631.1</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620.0</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696.7</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649.1</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650.5</w:t>
            </w:r>
          </w:p>
        </w:tc>
      </w:tr>
    </w:tbl>
    <w:p w:rsidR="00B03921" w:rsidRPr="00FC4A23" w:rsidRDefault="00B03921" w:rsidP="00016914">
      <w:pPr>
        <w:pStyle w:val="Source"/>
        <w:rPr>
          <w:rStyle w:val="PageNumber"/>
          <w:sz w:val="15"/>
        </w:rPr>
      </w:pPr>
      <w:r w:rsidRPr="00FC4A23">
        <w:rPr>
          <w:rStyle w:val="PageNumber"/>
          <w:sz w:val="15"/>
        </w:rPr>
        <w:t>Sources: Departments of Environment, Land, Water and Planning</w:t>
      </w:r>
      <w:r>
        <w:rPr>
          <w:rStyle w:val="PageNumber"/>
          <w:sz w:val="15"/>
        </w:rPr>
        <w:t>,</w:t>
      </w:r>
      <w:r w:rsidRPr="00FC4A23">
        <w:rPr>
          <w:rStyle w:val="PageNumber"/>
          <w:sz w:val="15"/>
        </w:rPr>
        <w:t xml:space="preserve"> and Treasury and Finance</w:t>
      </w:r>
    </w:p>
    <w:p w:rsidR="00B03921" w:rsidRDefault="00B03921" w:rsidP="00016914">
      <w:pPr>
        <w:pStyle w:val="Notes"/>
      </w:pPr>
      <w:r>
        <w:t>Notes:</w:t>
      </w:r>
    </w:p>
    <w:p w:rsidR="00B03921" w:rsidRDefault="00B03921" w:rsidP="00016914">
      <w:pPr>
        <w:pStyle w:val="Notes"/>
      </w:pPr>
      <w:r>
        <w:t>(a)</w:t>
      </w:r>
      <w:r>
        <w:tab/>
        <w:t xml:space="preserve">The 2014-15 budget reflects the operations of the former </w:t>
      </w:r>
      <w:r w:rsidRPr="009F4051">
        <w:t>Department of Env</w:t>
      </w:r>
      <w:r>
        <w:t xml:space="preserve">ironment and Primary Industries included in the </w:t>
      </w:r>
      <w:r>
        <w:rPr>
          <w:i w:val="0"/>
        </w:rPr>
        <w:t>2014-15 Budget</w:t>
      </w:r>
      <w:r>
        <w:t xml:space="preserve">, which does not include the impact of machinery of government changes effective from 1 January 2015. </w:t>
      </w:r>
    </w:p>
    <w:p w:rsidR="00B03921" w:rsidRDefault="00B03921" w:rsidP="00016914">
      <w:pPr>
        <w:pStyle w:val="Notes"/>
      </w:pPr>
      <w:r>
        <w:t xml:space="preserve">(b) </w:t>
      </w:r>
      <w:r>
        <w:tab/>
        <w:t>The 2014-15 revised and 2015-16 budget reflect the full impact of machinery of government changes effective from 1 January 2015.</w:t>
      </w:r>
    </w:p>
    <w:p w:rsidR="00B03921" w:rsidRDefault="00B03921" w:rsidP="00016914"/>
    <w:p w:rsidR="00B03921" w:rsidRPr="0090460D" w:rsidRDefault="00B03921" w:rsidP="00016914"/>
    <w:p w:rsidR="00B03921" w:rsidRDefault="00B03921" w:rsidP="00016914">
      <w:pPr>
        <w:sectPr w:rsidR="00B03921" w:rsidSect="00016914">
          <w:headerReference w:type="even" r:id="rId43"/>
          <w:headerReference w:type="default" r:id="rId44"/>
          <w:footerReference w:type="even" r:id="rId45"/>
          <w:footerReference w:type="default" r:id="rId46"/>
          <w:headerReference w:type="first" r:id="rId47"/>
          <w:footerReference w:type="first" r:id="rId48"/>
          <w:pgSz w:w="9979" w:h="14181" w:code="34"/>
          <w:pgMar w:top="1138" w:right="1138" w:bottom="1138" w:left="1138" w:header="720" w:footer="432" w:gutter="0"/>
          <w:cols w:space="708"/>
          <w:docGrid w:linePitch="360"/>
        </w:sectPr>
      </w:pPr>
    </w:p>
    <w:p w:rsidR="00B03921" w:rsidRPr="00252214" w:rsidRDefault="00B03921" w:rsidP="00016914">
      <w:pPr>
        <w:pStyle w:val="Heading1"/>
      </w:pPr>
      <w:bookmarkStart w:id="120" w:name="_Toc418274760"/>
      <w:r w:rsidRPr="00252214">
        <w:t xml:space="preserve">Department of </w:t>
      </w:r>
      <w:r>
        <w:t>Health and</w:t>
      </w:r>
      <w:r w:rsidRPr="00651B6B">
        <w:t xml:space="preserve"> Human Services</w:t>
      </w:r>
      <w:bookmarkEnd w:id="120"/>
    </w:p>
    <w:p w:rsidR="00B03921" w:rsidRDefault="00B03921" w:rsidP="00016914">
      <w:pPr>
        <w:pStyle w:val="Heading2"/>
      </w:pPr>
      <w:r>
        <w:t>Operating performance</w:t>
      </w:r>
    </w:p>
    <w:p w:rsidR="00B03921" w:rsidRDefault="00B03921" w:rsidP="00016914">
      <w:r>
        <w:t>The Department of Health and Human Services is expected to report a net result from transactions of $99 million in 2015</w:t>
      </w:r>
      <w:r>
        <w:noBreakHyphen/>
        <w:t>16.</w:t>
      </w:r>
    </w:p>
    <w:p w:rsidR="00B03921" w:rsidRDefault="00B03921" w:rsidP="00016914">
      <w:r>
        <w:t>The operating statement shows an increase in income of $3 222 million between the 2014</w:t>
      </w:r>
      <w:r>
        <w:noBreakHyphen/>
        <w:t>15 revised budget and the 2015</w:t>
      </w:r>
      <w:r>
        <w:noBreakHyphen/>
        <w:t>16 budget. This is due to the:</w:t>
      </w:r>
    </w:p>
    <w:p w:rsidR="00B03921" w:rsidRDefault="00B03921" w:rsidP="00016914">
      <w:pPr>
        <w:pStyle w:val="BulletText"/>
      </w:pPr>
      <w:r>
        <w:t>impact of machinery of government changes;</w:t>
      </w:r>
    </w:p>
    <w:p w:rsidR="00B03921" w:rsidRDefault="00B03921" w:rsidP="00016914">
      <w:pPr>
        <w:pStyle w:val="BulletText"/>
      </w:pPr>
      <w:r>
        <w:t>funding of new initiatives announced in this b</w:t>
      </w:r>
      <w:r w:rsidRPr="0063455D">
        <w:t>udget</w:t>
      </w:r>
      <w:r>
        <w:t>, including Meeting hospital services demand, Hospital Beds Rescue Fund, More support for people with disabilities and their families, Child FIRST and family services, and Child protection demand;</w:t>
      </w:r>
    </w:p>
    <w:p w:rsidR="00B03921" w:rsidRDefault="00B03921" w:rsidP="00016914">
      <w:pPr>
        <w:pStyle w:val="BulletText"/>
      </w:pPr>
      <w:r>
        <w:t>continuing implementation of existing initiatives;</w:t>
      </w:r>
    </w:p>
    <w:p w:rsidR="00B03921" w:rsidRPr="00C424C2" w:rsidRDefault="00B03921" w:rsidP="00016914">
      <w:pPr>
        <w:pStyle w:val="BulletText"/>
      </w:pPr>
      <w:r w:rsidRPr="00C424C2">
        <w:t>additional f</w:t>
      </w:r>
      <w:r>
        <w:t>unding for anticipated cost</w:t>
      </w:r>
      <w:r w:rsidRPr="00C424C2">
        <w:t xml:space="preserve"> increases in 2015</w:t>
      </w:r>
      <w:r w:rsidRPr="00C424C2">
        <w:noBreakHyphen/>
        <w:t>16; and</w:t>
      </w:r>
    </w:p>
    <w:p w:rsidR="00B03921" w:rsidRDefault="00B03921" w:rsidP="00016914">
      <w:pPr>
        <w:pStyle w:val="BulletText"/>
      </w:pPr>
      <w:r>
        <w:t>additional Commonwealth funding available under the National Health Reform Agreement.</w:t>
      </w:r>
    </w:p>
    <w:p w:rsidR="00B03921" w:rsidRDefault="00B03921" w:rsidP="00016914">
      <w:r>
        <w:t>Operating expenses are budgeted to increase by $3 075 million between the 2014</w:t>
      </w:r>
      <w:r>
        <w:noBreakHyphen/>
        <w:t>15 revised budget and 2015</w:t>
      </w:r>
      <w:r>
        <w:noBreakHyphen/>
        <w:t>16 budget, reflecting the increases in income outlined above.</w:t>
      </w:r>
    </w:p>
    <w:p w:rsidR="00B03921" w:rsidRDefault="00B03921" w:rsidP="00016914">
      <w:pPr>
        <w:pStyle w:val="Heading2"/>
      </w:pPr>
      <w:r>
        <w:t>Balance sheet</w:t>
      </w:r>
    </w:p>
    <w:p w:rsidR="00B03921" w:rsidRDefault="00B03921" w:rsidP="00016914">
      <w:r>
        <w:t>The Department</w:t>
      </w:r>
      <w:r w:rsidR="00BA5A16">
        <w:t>’</w:t>
      </w:r>
      <w:r>
        <w:t>s net asset position is estimated to improve by $331 million between the 2014</w:t>
      </w:r>
      <w:r>
        <w:noBreakHyphen/>
        <w:t>15 revised budget and the 2015</w:t>
      </w:r>
      <w:r>
        <w:noBreakHyphen/>
        <w:t>16 budget, reflecting an increase in total assets of $1 498 million, and an increase in total liabilities of $1 166 million.</w:t>
      </w:r>
    </w:p>
    <w:p w:rsidR="00B03921" w:rsidRDefault="00B03921" w:rsidP="00016914">
      <w:r>
        <w:t>The estimated increase in assets is mainly due to an increase in assets reflecting the Government</w:t>
      </w:r>
      <w:r w:rsidR="00BA5A16">
        <w:t>’</w:t>
      </w:r>
      <w:r>
        <w:t xml:space="preserve">s commitment to build new sports and health facilities and other health infrastructure across the State, based on modern service models and needs for the future. New asset funding included in the </w:t>
      </w:r>
      <w:r w:rsidRPr="00845C16">
        <w:rPr>
          <w:i/>
        </w:rPr>
        <w:t>2015-16 Budget</w:t>
      </w:r>
      <w:r>
        <w:t xml:space="preserve"> includes:</w:t>
      </w:r>
    </w:p>
    <w:p w:rsidR="00B03921" w:rsidRPr="0016725A" w:rsidRDefault="00B03921" w:rsidP="00016914">
      <w:pPr>
        <w:pStyle w:val="BulletText"/>
      </w:pPr>
      <w:r w:rsidRPr="0016725A">
        <w:t>Western Women</w:t>
      </w:r>
      <w:r w:rsidR="00BA5A16">
        <w:t>’</w:t>
      </w:r>
      <w:r w:rsidRPr="0016725A">
        <w:t>s and Children</w:t>
      </w:r>
      <w:r w:rsidR="00BA5A16">
        <w:t>’</w:t>
      </w:r>
      <w:r>
        <w:t>s Hospital</w:t>
      </w:r>
      <w:r w:rsidRPr="0016725A">
        <w:t>;</w:t>
      </w:r>
    </w:p>
    <w:p w:rsidR="00B03921" w:rsidRPr="0016725A" w:rsidRDefault="00B03921" w:rsidP="00016914">
      <w:pPr>
        <w:pStyle w:val="BulletText"/>
      </w:pPr>
      <w:r>
        <w:t>Werribee Mercy Hospital –</w:t>
      </w:r>
      <w:r w:rsidRPr="0016725A">
        <w:t xml:space="preserve"> acute expansion;</w:t>
      </w:r>
    </w:p>
    <w:p w:rsidR="00B03921" w:rsidRPr="0016725A" w:rsidRDefault="00B03921" w:rsidP="00016914">
      <w:pPr>
        <w:pStyle w:val="BulletText"/>
      </w:pPr>
      <w:r>
        <w:t>Victorian Heart Hospital – planning and early works</w:t>
      </w:r>
      <w:r w:rsidRPr="0016725A">
        <w:t>; and</w:t>
      </w:r>
    </w:p>
    <w:p w:rsidR="00B03921" w:rsidRDefault="00B03921" w:rsidP="00016914">
      <w:pPr>
        <w:pStyle w:val="BulletText"/>
      </w:pPr>
      <w:r>
        <w:t xml:space="preserve">various upgrades and expansions across several health, sporting and community services facilities. </w:t>
      </w:r>
    </w:p>
    <w:p w:rsidR="00B03921" w:rsidRDefault="00B03921" w:rsidP="00016914">
      <w:r w:rsidRPr="006501A2">
        <w:t>The m</w:t>
      </w:r>
      <w:r>
        <w:t>ovement in liabilities of $1 166</w:t>
      </w:r>
      <w:r w:rsidRPr="006501A2">
        <w:t> million between the 2014</w:t>
      </w:r>
      <w:r w:rsidRPr="006501A2">
        <w:noBreakHyphen/>
        <w:t>15 revised budget and the 2015</w:t>
      </w:r>
      <w:r w:rsidRPr="006501A2">
        <w:noBreakHyphen/>
        <w:t xml:space="preserve">16 budget is </w:t>
      </w:r>
      <w:r>
        <w:t>largely due to increases in finance lease</w:t>
      </w:r>
      <w:r w:rsidRPr="006501A2">
        <w:t xml:space="preserve"> related to the Victorian Comprehensive Cancer Centre.</w:t>
      </w:r>
    </w:p>
    <w:p w:rsidR="00B03921" w:rsidRDefault="00B03921" w:rsidP="00016914">
      <w:pPr>
        <w:pStyle w:val="Heading2"/>
      </w:pPr>
      <w:r>
        <w:t>Investing and financing</w:t>
      </w:r>
    </w:p>
    <w:p w:rsidR="00B03921" w:rsidRDefault="00B03921" w:rsidP="00016914">
      <w:r>
        <w:t xml:space="preserve">Cash flows from operating activities are consistent with the trends discussed in the statement of operating performance. </w:t>
      </w:r>
    </w:p>
    <w:p w:rsidR="00B03921" w:rsidRDefault="00B03921" w:rsidP="00016914">
      <w:r>
        <w:t>Cash flows from investing activities include payments for property, plant and equipment reflecting the Government</w:t>
      </w:r>
      <w:r w:rsidR="00BA5A16">
        <w:t>’</w:t>
      </w:r>
      <w:r>
        <w:t>s continued asset investment in the health and community services sectors.</w:t>
      </w:r>
    </w:p>
    <w:p w:rsidR="00B03921" w:rsidRDefault="00B03921" w:rsidP="00016914">
      <w:pPr>
        <w:pStyle w:val="Heading2"/>
      </w:pPr>
      <w:r w:rsidRPr="0090460D">
        <w:t>Administered items statement</w:t>
      </w:r>
    </w:p>
    <w:p w:rsidR="00B03921" w:rsidRDefault="00B03921" w:rsidP="00016914">
      <w:pPr>
        <w:pStyle w:val="BodyText"/>
      </w:pPr>
      <w:r w:rsidRPr="00F02AC3">
        <w:t>Revenue administered by the Department on behalf of the State and third parties (including the National Health Funding Pool</w:t>
      </w:r>
      <w:r>
        <w:t>) is forecast to increase by $342 million</w:t>
      </w:r>
      <w:r w:rsidRPr="00F02AC3">
        <w:t xml:space="preserve"> from the 2014</w:t>
      </w:r>
      <w:r>
        <w:noBreakHyphen/>
      </w:r>
      <w:r w:rsidRPr="00F02AC3">
        <w:t>15 revised</w:t>
      </w:r>
      <w:r>
        <w:t xml:space="preserve"> budget</w:t>
      </w:r>
      <w:r w:rsidRPr="00F02AC3">
        <w:t xml:space="preserve"> to the 2015</w:t>
      </w:r>
      <w:r>
        <w:noBreakHyphen/>
      </w:r>
      <w:r w:rsidRPr="00F02AC3">
        <w:t>16 budget</w:t>
      </w:r>
      <w:r>
        <w:t>.</w:t>
      </w:r>
    </w:p>
    <w:p w:rsidR="00B03921" w:rsidRDefault="00B03921">
      <w:pPr>
        <w:spacing w:after="0"/>
      </w:pPr>
      <w:r>
        <w:br w:type="page"/>
      </w:r>
    </w:p>
    <w:p w:rsidR="00B03921" w:rsidRDefault="00B03921" w:rsidP="00016914">
      <w:pPr>
        <w:pStyle w:val="Tableheading"/>
      </w:pPr>
      <w:r>
        <w:t>Table 3.4.1:</w:t>
      </w:r>
      <w:r>
        <w:tab/>
        <w:t>Comprehensive operating statement</w:t>
      </w:r>
    </w:p>
    <w:p w:rsidR="00B03921" w:rsidRPr="00FE4FB8" w:rsidRDefault="00B03921" w:rsidP="00016914">
      <w:pPr>
        <w:pStyle w:val="million"/>
        <w:rPr>
          <w:rFonts w:ascii="Times New Roman" w:hAnsi="Times New Roman"/>
          <w:sz w:val="20"/>
          <w:lang w:eastAsia="en-AU"/>
        </w:rPr>
      </w:pPr>
      <w:r>
        <w:t>($ million)</w:t>
      </w:r>
    </w:p>
    <w:tbl>
      <w:tblPr>
        <w:tblW w:w="7768" w:type="dxa"/>
        <w:tblInd w:w="28" w:type="dxa"/>
        <w:tblLayout w:type="fixed"/>
        <w:tblCellMar>
          <w:left w:w="45" w:type="dxa"/>
          <w:right w:w="45" w:type="dxa"/>
        </w:tblCellMar>
        <w:tblLook w:val="0000" w:firstRow="0" w:lastRow="0" w:firstColumn="0" w:lastColumn="0" w:noHBand="0" w:noVBand="0"/>
      </w:tblPr>
      <w:tblGrid>
        <w:gridCol w:w="3764"/>
        <w:gridCol w:w="998"/>
        <w:gridCol w:w="998"/>
        <w:gridCol w:w="998"/>
        <w:gridCol w:w="999"/>
        <w:gridCol w:w="11"/>
      </w:tblGrid>
      <w:tr w:rsidR="00CA2DDF" w:rsidRPr="00FE4FB8" w:rsidTr="00975CAD">
        <w:trPr>
          <w:gridAfter w:val="1"/>
          <w:wAfter w:w="11" w:type="dxa"/>
          <w:trHeight w:val="503"/>
        </w:trPr>
        <w:tc>
          <w:tcPr>
            <w:tcW w:w="3765" w:type="dxa"/>
            <w:tcBorders>
              <w:top w:val="single" w:sz="6" w:space="0" w:color="auto"/>
              <w:left w:val="single" w:sz="6" w:space="0" w:color="auto"/>
              <w:right w:val="nil"/>
            </w:tcBorders>
            <w:shd w:val="clear" w:color="000000" w:fill="000000"/>
          </w:tcPr>
          <w:p w:rsidR="00CA2DDF" w:rsidRPr="00FE4FB8" w:rsidRDefault="00CA2DDF" w:rsidP="00016914">
            <w:pPr>
              <w:pStyle w:val="Tabletext"/>
              <w:rPr>
                <w:rFonts w:eastAsiaTheme="minorEastAsia"/>
                <w:lang w:eastAsia="en-AU"/>
              </w:rPr>
            </w:pPr>
          </w:p>
        </w:tc>
        <w:tc>
          <w:tcPr>
            <w:tcW w:w="998"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8"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8"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8" w:type="dxa"/>
            <w:tcBorders>
              <w:top w:val="single" w:sz="6" w:space="0" w:color="auto"/>
              <w:left w:val="nil"/>
              <w:right w:val="single" w:sz="6" w:space="0" w:color="auto"/>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CA2DDF" w:rsidRPr="00FE4FB8" w:rsidTr="00975CAD">
        <w:trPr>
          <w:gridAfter w:val="1"/>
          <w:wAfter w:w="11" w:type="dxa"/>
        </w:trPr>
        <w:tc>
          <w:tcPr>
            <w:tcW w:w="7757" w:type="dxa"/>
            <w:gridSpan w:val="5"/>
            <w:tcBorders>
              <w:top w:val="single" w:sz="6" w:space="0" w:color="auto"/>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CA2DDF" w:rsidRPr="00FE4FB8" w:rsidTr="00975CAD">
        <w:trPr>
          <w:gridAfter w:val="1"/>
          <w:wAfter w:w="11" w:type="dxa"/>
        </w:trPr>
        <w:tc>
          <w:tcPr>
            <w:tcW w:w="7757"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8 069.8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8 348.3</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10 023.8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12 870.2</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1 280.8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1 192.7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1 296.0</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1 360.9</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68.2</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1 702.0</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1 693.5</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1 732.3</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1 796.1</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4 195.4</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4 487.3</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4 599.7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4 861.6</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556.6</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395.8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485.9</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468.0</w:t>
            </w:r>
          </w:p>
        </w:tc>
      </w:tr>
      <w:tr w:rsidR="00B03921" w:rsidRPr="00FE4FB8" w:rsidTr="00CA2DDF">
        <w:trPr>
          <w:gridAfter w:val="1"/>
          <w:wAfter w:w="11" w:type="dxa"/>
        </w:trPr>
        <w:tc>
          <w:tcPr>
            <w:tcW w:w="3765"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15 871.3</w:t>
            </w:r>
          </w:p>
        </w:tc>
        <w:tc>
          <w:tcPr>
            <w:tcW w:w="99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16 185.5</w:t>
            </w:r>
          </w:p>
        </w:tc>
        <w:tc>
          <w:tcPr>
            <w:tcW w:w="99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18 202.8</w:t>
            </w:r>
          </w:p>
        </w:tc>
        <w:tc>
          <w:tcPr>
            <w:tcW w:w="99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21 425.1</w:t>
            </w:r>
          </w:p>
        </w:tc>
      </w:tr>
      <w:tr w:rsidR="00CA2DDF" w:rsidRPr="00FE4FB8" w:rsidTr="00CA2DDF">
        <w:tc>
          <w:tcPr>
            <w:tcW w:w="7768" w:type="dxa"/>
            <w:gridSpan w:val="6"/>
            <w:tcBorders>
              <w:top w:val="nil"/>
              <w:left w:val="nil"/>
              <w:bottom w:val="nil"/>
              <w:right w:val="nil"/>
            </w:tcBorders>
          </w:tcPr>
          <w:p w:rsidR="00CA2DDF" w:rsidRPr="00CA2DDF" w:rsidRDefault="00CA2DDF" w:rsidP="00CA2DDF">
            <w:pPr>
              <w:pStyle w:val="Tabletext"/>
              <w:rPr>
                <w:rFonts w:eastAsiaTheme="minorEastAsia" w:cs="Calibri"/>
                <w:b/>
                <w:color w:val="000000"/>
                <w:lang w:eastAsia="en-AU"/>
              </w:rPr>
            </w:pPr>
            <w:r w:rsidRPr="00CA2DDF">
              <w:rPr>
                <w:rFonts w:eastAsiaTheme="minorEastAsia"/>
                <w:b/>
                <w:lang w:eastAsia="en-AU"/>
              </w:rPr>
              <w:t>Expenses from transactions</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8 192.1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8 337.1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8 855.9</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9 804.4</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741.5</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893.0</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830.3</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880.3</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85.8</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76.2</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98.4</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102.9</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838.7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799.5</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1 239.6</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1 705.6</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814.6</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879.0</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909.9</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1 016.8</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4 829.9</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5 101.2</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6 316.5</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7 815.8</w:t>
            </w:r>
          </w:p>
        </w:tc>
      </w:tr>
      <w:tr w:rsidR="00B03921" w:rsidRPr="00FE4FB8" w:rsidTr="00CA2DDF">
        <w:trPr>
          <w:gridAfter w:val="1"/>
          <w:wAfter w:w="11" w:type="dxa"/>
        </w:trPr>
        <w:tc>
          <w:tcPr>
            <w:tcW w:w="3765"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15 502.7</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16 086.1</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18 250.5</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21 325.7</w:t>
            </w:r>
          </w:p>
        </w:tc>
      </w:tr>
      <w:tr w:rsidR="00B03921" w:rsidRPr="00FE4FB8" w:rsidTr="00CA2DDF">
        <w:trPr>
          <w:gridAfter w:val="1"/>
          <w:wAfter w:w="11" w:type="dxa"/>
        </w:trPr>
        <w:tc>
          <w:tcPr>
            <w:tcW w:w="3765"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8"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368.6</w:t>
            </w:r>
          </w:p>
        </w:tc>
        <w:tc>
          <w:tcPr>
            <w:tcW w:w="998"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99.4</w:t>
            </w:r>
          </w:p>
        </w:tc>
        <w:tc>
          <w:tcPr>
            <w:tcW w:w="998"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(47.7)</w:t>
            </w:r>
          </w:p>
        </w:tc>
        <w:tc>
          <w:tcPr>
            <w:tcW w:w="998"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99.4</w:t>
            </w:r>
          </w:p>
        </w:tc>
      </w:tr>
      <w:tr w:rsidR="00B03921" w:rsidRPr="00FE4FB8" w:rsidTr="00CA2DDF">
        <w:tc>
          <w:tcPr>
            <w:tcW w:w="7768" w:type="dxa"/>
            <w:gridSpan w:val="6"/>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w:t>
            </w:r>
          </w:p>
        </w:tc>
        <w:tc>
          <w:tcPr>
            <w:tcW w:w="998"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(3.8)</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8"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(15.5)</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CA2DDF">
        <w:trPr>
          <w:gridAfter w:val="1"/>
          <w:wAfter w:w="11" w:type="dxa"/>
        </w:trPr>
        <w:tc>
          <w:tcPr>
            <w:tcW w:w="3765"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15.8</w:t>
            </w:r>
          </w:p>
        </w:tc>
        <w:tc>
          <w:tcPr>
            <w:tcW w:w="998"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(10.4)</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CA2DDF">
        <w:trPr>
          <w:gridAfter w:val="1"/>
          <w:wAfter w:w="11" w:type="dxa"/>
        </w:trPr>
        <w:tc>
          <w:tcPr>
            <w:tcW w:w="3765"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8.1</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(10.4)</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10.6</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(3.8)</w:t>
            </w:r>
          </w:p>
        </w:tc>
      </w:tr>
      <w:tr w:rsidR="00B03921" w:rsidRPr="00FE4FB8" w:rsidTr="00CA2DDF">
        <w:trPr>
          <w:gridAfter w:val="1"/>
          <w:wAfter w:w="11" w:type="dxa"/>
        </w:trPr>
        <w:tc>
          <w:tcPr>
            <w:tcW w:w="3765"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376.7</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89.0</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(37.1)</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95.6</w:t>
            </w:r>
          </w:p>
        </w:tc>
      </w:tr>
      <w:tr w:rsidR="00B03921" w:rsidRPr="00FE4FB8" w:rsidTr="00CA2DDF">
        <w:trPr>
          <w:gridAfter w:val="1"/>
          <w:wAfter w:w="10" w:type="dxa"/>
        </w:trPr>
        <w:tc>
          <w:tcPr>
            <w:tcW w:w="7758" w:type="dxa"/>
            <w:gridSpan w:val="5"/>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2 150.7</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Financial assets available-for-sale reserve</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CA2DDF">
        <w:trPr>
          <w:gridAfter w:val="1"/>
          <w:wAfter w:w="11" w:type="dxa"/>
        </w:trPr>
        <w:tc>
          <w:tcPr>
            <w:tcW w:w="3765"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22.9</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8"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(16.6)</w:t>
            </w:r>
          </w:p>
        </w:tc>
        <w:tc>
          <w:tcPr>
            <w:tcW w:w="9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CA2DDF">
        <w:trPr>
          <w:gridAfter w:val="1"/>
          <w:wAfter w:w="11" w:type="dxa"/>
        </w:trPr>
        <w:tc>
          <w:tcPr>
            <w:tcW w:w="3765"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2 186.7</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(15.4)</w:t>
            </w:r>
          </w:p>
        </w:tc>
        <w:tc>
          <w:tcPr>
            <w:tcW w:w="9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CA2DDF">
        <w:trPr>
          <w:gridAfter w:val="1"/>
          <w:wAfter w:w="11" w:type="dxa"/>
        </w:trPr>
        <w:tc>
          <w:tcPr>
            <w:tcW w:w="376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2 563.5</w:t>
            </w:r>
          </w:p>
        </w:tc>
        <w:tc>
          <w:tcPr>
            <w:tcW w:w="9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89.0</w:t>
            </w:r>
          </w:p>
        </w:tc>
        <w:tc>
          <w:tcPr>
            <w:tcW w:w="9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(52.5)</w:t>
            </w:r>
          </w:p>
        </w:tc>
        <w:tc>
          <w:tcPr>
            <w:tcW w:w="9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95.6</w:t>
            </w:r>
          </w:p>
        </w:tc>
      </w:tr>
    </w:tbl>
    <w:p w:rsidR="00B03921" w:rsidRDefault="00B03921" w:rsidP="00016914">
      <w:pPr>
        <w:pStyle w:val="Source"/>
      </w:pPr>
      <w:r w:rsidRPr="001D350D">
        <w:t xml:space="preserve">Sources: </w:t>
      </w:r>
      <w:r>
        <w:t>Departments of Health and Human Services,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 xml:space="preserve">ns of the former </w:t>
      </w:r>
      <w:r w:rsidRPr="00141986">
        <w:t>Department of Health</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234E31">
        <w:rPr>
          <w:i w:val="0"/>
        </w:rPr>
        <w:t>2014</w:t>
      </w:r>
      <w:r w:rsidRPr="00234E31">
        <w:rPr>
          <w:i w:val="0"/>
        </w:rPr>
        <w:noBreakHyphen/>
        <w:t>15 Budget</w:t>
      </w:r>
      <w:r w:rsidRPr="00B0679B">
        <w:t xml:space="preserve">, which do not include the impact of machinery of government changes effective from 1 January 2015. </w:t>
      </w:r>
    </w:p>
    <w:p w:rsidR="00B03921" w:rsidRDefault="00B03921" w:rsidP="00016914">
      <w:pPr>
        <w:pStyle w:val="Notes"/>
        <w:rPr>
          <w:b/>
        </w:rPr>
      </w:pPr>
      <w:r w:rsidRPr="00B0679B">
        <w:t xml:space="preserve">(b) </w:t>
      </w:r>
      <w:r>
        <w:tab/>
        <w:t>The 2014</w:t>
      </w:r>
      <w:r>
        <w:noBreakHyphen/>
        <w:t>15 revised and 2015</w:t>
      </w:r>
      <w:r>
        <w:noBreakHyphen/>
        <w:t>16 budget reflect</w:t>
      </w:r>
      <w:r w:rsidRPr="00B0679B">
        <w:t xml:space="preserve"> the full impact of machinery of gove</w:t>
      </w:r>
      <w:r>
        <w:t>rnment changes effective from 1 </w:t>
      </w:r>
      <w:r w:rsidRPr="00B0679B">
        <w:t>January 2015.</w:t>
      </w:r>
    </w:p>
    <w:p w:rsidR="00B03921" w:rsidRDefault="00B03921">
      <w:pPr>
        <w:spacing w:after="0"/>
        <w:rPr>
          <w:rFonts w:ascii="Calibri" w:hAnsi="Calibri"/>
          <w:b/>
        </w:rPr>
      </w:pPr>
      <w:r>
        <w:br w:type="page"/>
      </w:r>
    </w:p>
    <w:p w:rsidR="00B03921" w:rsidRDefault="00B03921" w:rsidP="00016914">
      <w:pPr>
        <w:pStyle w:val="Tableheading"/>
      </w:pPr>
      <w:r>
        <w:t>Table 3.4.2:</w:t>
      </w:r>
      <w:r>
        <w:tab/>
        <w:t>Balance sheet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CA2DDF" w:rsidRPr="00FE4FB8" w:rsidTr="00975CAD">
        <w:tc>
          <w:tcPr>
            <w:tcW w:w="3784" w:type="dxa"/>
            <w:vMerge w:val="restart"/>
            <w:tcBorders>
              <w:top w:val="single" w:sz="6" w:space="0" w:color="auto"/>
              <w:left w:val="single" w:sz="6" w:space="0" w:color="auto"/>
              <w:right w:val="nil"/>
            </w:tcBorders>
            <w:shd w:val="clear" w:color="000000" w:fill="000000"/>
          </w:tcPr>
          <w:p w:rsidR="00CA2DDF" w:rsidRPr="00FE4FB8" w:rsidRDefault="00CA2DDF" w:rsidP="00016914">
            <w:pPr>
              <w:pStyle w:val="Tabletext"/>
              <w:rPr>
                <w:rFonts w:eastAsiaTheme="minorEastAsia"/>
                <w:i/>
                <w:lang w:eastAsia="en-AU"/>
              </w:rPr>
            </w:pPr>
          </w:p>
        </w:tc>
        <w:tc>
          <w:tcPr>
            <w:tcW w:w="994" w:type="dxa"/>
            <w:vMerge w:val="restart"/>
            <w:tcBorders>
              <w:top w:val="single" w:sz="6" w:space="0" w:color="auto"/>
              <w:left w:val="nil"/>
              <w:right w:val="nil"/>
            </w:tcBorders>
            <w:shd w:val="clear" w:color="000000" w:fill="000000"/>
          </w:tcPr>
          <w:p w:rsidR="00CA2DDF" w:rsidRPr="00FE4FB8" w:rsidRDefault="00CA2DDF"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CA2DDF" w:rsidRPr="00FE4FB8" w:rsidRDefault="00CA2DDF" w:rsidP="00CA2DDF">
            <w:pPr>
              <w:pStyle w:val="Tabletextheading"/>
              <w:jc w:val="center"/>
              <w:rPr>
                <w:rFonts w:eastAsiaTheme="minorEastAsia" w:cs="Calibri"/>
                <w:iCs/>
                <w:color w:val="FFFFFF"/>
                <w:lang w:eastAsia="en-AU"/>
              </w:rPr>
            </w:pPr>
            <w:r w:rsidRPr="00FE4FB8">
              <w:rPr>
                <w:rFonts w:eastAsiaTheme="minorEastAsia"/>
                <w:color w:val="FFFFFF"/>
                <w:lang w:eastAsia="en-AU"/>
              </w:rPr>
              <w:t>Estimated as at 30 June</w:t>
            </w:r>
          </w:p>
        </w:tc>
      </w:tr>
      <w:tr w:rsidR="00CA2DDF" w:rsidRPr="00FE4FB8" w:rsidTr="00975CAD">
        <w:trPr>
          <w:trHeight w:val="488"/>
        </w:trPr>
        <w:tc>
          <w:tcPr>
            <w:tcW w:w="3784" w:type="dxa"/>
            <w:vMerge/>
            <w:tcBorders>
              <w:left w:val="single" w:sz="6" w:space="0" w:color="auto"/>
              <w:right w:val="nil"/>
            </w:tcBorders>
            <w:shd w:val="clear" w:color="000000" w:fill="000000"/>
          </w:tcPr>
          <w:p w:rsidR="00CA2DDF" w:rsidRPr="00FE4FB8" w:rsidRDefault="00CA2DDF" w:rsidP="00016914">
            <w:pPr>
              <w:pStyle w:val="Tabletext"/>
              <w:rPr>
                <w:rFonts w:eastAsiaTheme="minorEastAsia"/>
                <w:lang w:eastAsia="en-AU"/>
              </w:rPr>
            </w:pPr>
          </w:p>
        </w:tc>
        <w:tc>
          <w:tcPr>
            <w:tcW w:w="994" w:type="dxa"/>
            <w:vMerge/>
            <w:tcBorders>
              <w:left w:val="nil"/>
              <w:right w:val="nil"/>
            </w:tcBorders>
            <w:shd w:val="clear" w:color="000000" w:fill="000000"/>
          </w:tcPr>
          <w:p w:rsidR="00CA2DDF" w:rsidRPr="00FE4FB8" w:rsidRDefault="00CA2DDF"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(a)(b)</w:t>
            </w:r>
          </w:p>
        </w:tc>
        <w:tc>
          <w:tcPr>
            <w:tcW w:w="994" w:type="dxa"/>
            <w:tcBorders>
              <w:top w:val="nil"/>
              <w:left w:val="nil"/>
              <w:right w:val="nil"/>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CA2DDF" w:rsidRPr="00FE4FB8" w:rsidRDefault="00CA2DDF" w:rsidP="00CA2DDF">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CA2DDF" w:rsidRPr="00FE4FB8" w:rsidTr="00975CAD">
        <w:tc>
          <w:tcPr>
            <w:tcW w:w="7760" w:type="dxa"/>
            <w:gridSpan w:val="5"/>
            <w:tcBorders>
              <w:top w:val="single" w:sz="6" w:space="0" w:color="auto"/>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Assets</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1 020.3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1 072.1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1 189.1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1 687.8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2 115.9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2 323.7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2 658.2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831.4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Investments accounted for using equity method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3 435.6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3 963.6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4 229.2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4 680.6</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12 761.4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12 718.4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13 728.5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14 785.1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 properties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111.6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13 042.8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12 985.8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14 022.3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15 068.6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16 478.4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16 949.3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18 251.5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19 749.2</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1 237.1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1 237.6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1 440.1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1 442.2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1 477.8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1 461.8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1 507.4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2 545.2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2 070.9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2 173.9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2 426.1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2 552.8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4 785.8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4 873.2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5 373.7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6 540.1</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11 692.6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12 076.1</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12 877.8</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13 209.0</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1 025.4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1 114.4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1 070.0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5 740.5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5 740.5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5 741.8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5 741.8</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4 926.7</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5 221.2</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6 161.6</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6 397.2</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11 692.6</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12 076.1</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12 877.8</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13 209.0</w:t>
            </w:r>
          </w:p>
        </w:tc>
      </w:tr>
    </w:tbl>
    <w:p w:rsidR="00B03921" w:rsidRDefault="00B03921" w:rsidP="00016914">
      <w:pPr>
        <w:pStyle w:val="Source"/>
      </w:pPr>
      <w:r w:rsidRPr="001D350D">
        <w:t xml:space="preserve">Sources: </w:t>
      </w:r>
      <w:r>
        <w:t>Departments of Health and Human Services,</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t>Department of Health</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234E31">
        <w:rPr>
          <w:i w:val="0"/>
        </w:rPr>
        <w:t>2014</w:t>
      </w:r>
      <w:r w:rsidRPr="00234E31">
        <w:rPr>
          <w:i w:val="0"/>
        </w:rPr>
        <w:noBreakHyphen/>
        <w:t>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spacing w:after="0"/>
        <w:rPr>
          <w:rFonts w:ascii="Calibri" w:hAnsi="Calibri"/>
          <w:b/>
        </w:rPr>
      </w:pPr>
      <w:r>
        <w:br w:type="page"/>
      </w:r>
    </w:p>
    <w:p w:rsidR="00B03921" w:rsidRDefault="00B03921" w:rsidP="00016914">
      <w:pPr>
        <w:pStyle w:val="Tableheading"/>
      </w:pPr>
      <w:r>
        <w:t>Table 3.4.3: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CA2DDF" w:rsidRPr="00FE4FB8" w:rsidTr="00975CAD">
        <w:trPr>
          <w:trHeight w:val="503"/>
          <w:tblHeader/>
        </w:trPr>
        <w:tc>
          <w:tcPr>
            <w:tcW w:w="3784" w:type="dxa"/>
            <w:tcBorders>
              <w:top w:val="single" w:sz="6" w:space="0" w:color="auto"/>
              <w:left w:val="single" w:sz="6" w:space="0" w:color="auto"/>
              <w:right w:val="nil"/>
            </w:tcBorders>
            <w:shd w:val="clear" w:color="000000" w:fill="000000"/>
          </w:tcPr>
          <w:p w:rsidR="00CA2DDF" w:rsidRPr="00FE4FB8" w:rsidRDefault="00CA2DDF"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CA2DDF" w:rsidRPr="00FE4FB8" w:rsidRDefault="00CA2DDF" w:rsidP="00CA2DDF">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CA2DDF" w:rsidRPr="00FE4FB8" w:rsidTr="00975CAD">
        <w:tc>
          <w:tcPr>
            <w:tcW w:w="7760" w:type="dxa"/>
            <w:gridSpan w:val="5"/>
            <w:tcBorders>
              <w:top w:val="single" w:sz="6" w:space="0" w:color="auto"/>
              <w:left w:val="nil"/>
              <w:bottom w:val="nil"/>
              <w:right w:val="nil"/>
            </w:tcBorders>
          </w:tcPr>
          <w:p w:rsidR="00CA2DDF" w:rsidRPr="00FE4FB8" w:rsidRDefault="00CA2DDF" w:rsidP="00CA2DDF">
            <w:pPr>
              <w:pStyle w:val="Tabletext"/>
              <w:rPr>
                <w:rFonts w:eastAsiaTheme="minorEastAsia"/>
                <w:b/>
                <w:lang w:eastAsia="en-AU"/>
              </w:rPr>
            </w:pPr>
            <w:r>
              <w:rPr>
                <w:rFonts w:eastAsiaTheme="minorEastAsia"/>
                <w:b/>
                <w:bCs/>
                <w:lang w:eastAsia="en-AU"/>
              </w:rPr>
              <w:t>Cash flows from operating activities</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9 878.4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9 701.5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11 671.9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14 497.6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5 265.7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5 552.6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5 642.4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5 970.1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68.2</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555.5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15 766.9</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15 757.4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17 954.5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21 091.3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(845.0)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(799.6)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(1 239.6)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(1 705.6)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(12 885.6)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(13 325.0)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(14 950.4)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(17 498.0)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(814.6)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(879.0)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(909.9)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(1 016.8)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(84.3)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(76.2)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(98.4)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(102.9)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(14 629.6)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(15 079.8)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(17 198.3)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(20 323.2)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1 137.3</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677.7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756.2</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768.1</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(1 067.9)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(896.2)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(858.1)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(873.4)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(purchase)/disposal of investments – policy purposes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(1 045.1)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(856.2)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(860.4)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(873.7)</w:t>
            </w:r>
          </w:p>
        </w:tc>
      </w:tr>
      <w:tr w:rsidR="00CA2DDF" w:rsidRPr="00FE4FB8" w:rsidTr="00975CAD">
        <w:tc>
          <w:tcPr>
            <w:tcW w:w="7760" w:type="dxa"/>
            <w:gridSpan w:val="5"/>
            <w:tcBorders>
              <w:top w:val="nil"/>
              <w:left w:val="nil"/>
              <w:bottom w:val="nil"/>
              <w:right w:val="nil"/>
            </w:tcBorders>
          </w:tcPr>
          <w:p w:rsidR="00CA2DDF" w:rsidRPr="00FE4FB8" w:rsidRDefault="00CA2DDF" w:rsidP="00CA2DDF">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236.5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(18.4)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(3.3)</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81.9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255.9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222.6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174.1</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99.9</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151.7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117.0</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746.3</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920.4</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920.4</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1 072.1</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920.4</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1 020.3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1 072.1</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1 189.1</w:t>
            </w:r>
          </w:p>
        </w:tc>
      </w:tr>
    </w:tbl>
    <w:p w:rsidR="00B03921" w:rsidRDefault="00B03921" w:rsidP="00016914">
      <w:pPr>
        <w:pStyle w:val="Source"/>
      </w:pPr>
      <w:r w:rsidRPr="001D350D">
        <w:t>Source</w:t>
      </w:r>
      <w:r>
        <w:t>s</w:t>
      </w:r>
      <w:r w:rsidRPr="001D350D">
        <w:t xml:space="preserve">: </w:t>
      </w:r>
      <w:r>
        <w:t>Departments of Health and Human Services,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ns of the former Department of Health</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234E31">
        <w:rPr>
          <w:i w:val="0"/>
        </w:rPr>
        <w:t>2014</w:t>
      </w:r>
      <w:r w:rsidRPr="00234E31">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w:t>
      </w:r>
      <w:r>
        <w:noBreakHyphen/>
        <w:t>15 revised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Pr>
        <w:pStyle w:val="Notes"/>
      </w:pPr>
      <w:r>
        <w:t>(c)</w:t>
      </w:r>
      <w:r>
        <w:tab/>
        <w:t xml:space="preserve">Figures have been restated to better reflect the nature of related cash flows. </w:t>
      </w:r>
    </w:p>
    <w:p w:rsidR="00B03921" w:rsidRPr="00E4467A" w:rsidRDefault="00B03921" w:rsidP="00016914">
      <w:pPr>
        <w:pStyle w:val="Notes"/>
      </w:pPr>
      <w:r>
        <w:br w:type="page"/>
      </w:r>
    </w:p>
    <w:p w:rsidR="00B03921" w:rsidRDefault="00B03921" w:rsidP="00016914">
      <w:pPr>
        <w:pStyle w:val="Tableheading"/>
      </w:pPr>
      <w:r>
        <w:t>Table 3.4.4:</w:t>
      </w:r>
      <w:r>
        <w:tab/>
        <w:t>Statement of changes in equity</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002"/>
        <w:gridCol w:w="788"/>
        <w:gridCol w:w="994"/>
        <w:gridCol w:w="1245"/>
        <w:gridCol w:w="1077"/>
        <w:gridCol w:w="770"/>
        <w:gridCol w:w="884"/>
      </w:tblGrid>
      <w:tr w:rsidR="00B03921" w:rsidRPr="00FE4FB8" w:rsidTr="00016914">
        <w:trPr>
          <w:cantSplit/>
          <w:tblHeader/>
        </w:trPr>
        <w:tc>
          <w:tcPr>
            <w:tcW w:w="2002" w:type="dxa"/>
            <w:tcBorders>
              <w:top w:val="single" w:sz="6" w:space="0" w:color="000000"/>
              <w:left w:val="single" w:sz="6" w:space="0" w:color="000000"/>
              <w:bottom w:val="single" w:sz="6" w:space="0" w:color="000000"/>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782" w:type="dxa"/>
            <w:gridSpan w:val="2"/>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45"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077"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770"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884" w:type="dxa"/>
            <w:tcBorders>
              <w:top w:val="single" w:sz="6" w:space="0" w:color="000000"/>
              <w:left w:val="nil"/>
              <w:bottom w:val="single" w:sz="6" w:space="0" w:color="000000"/>
              <w:right w:val="single" w:sz="6" w:space="0" w:color="000000"/>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rPr>
          <w:cantSplit/>
        </w:trPr>
        <w:tc>
          <w:tcPr>
            <w:tcW w:w="2790" w:type="dxa"/>
            <w:gridSpan w:val="2"/>
            <w:tcBorders>
              <w:top w:val="single" w:sz="6" w:space="0" w:color="000000"/>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994"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634.9</w:t>
            </w:r>
          </w:p>
        </w:tc>
        <w:tc>
          <w:tcPr>
            <w:tcW w:w="1245"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4 926.8</w:t>
            </w:r>
          </w:p>
        </w:tc>
        <w:tc>
          <w:tcPr>
            <w:tcW w:w="1077"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3 057.8</w:t>
            </w:r>
          </w:p>
        </w:tc>
        <w:tc>
          <w:tcPr>
            <w:tcW w:w="770"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509.8</w:t>
            </w:r>
          </w:p>
        </w:tc>
        <w:tc>
          <w:tcPr>
            <w:tcW w:w="884"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9 129.3</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390.6</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2 150.7</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22.2</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2 563.5</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(0.1)</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(0.1)</w:t>
            </w:r>
          </w:p>
        </w:tc>
      </w:tr>
      <w:tr w:rsidR="00B03921" w:rsidRPr="00FE4FB8" w:rsidTr="00016914">
        <w:trPr>
          <w:cantSplit/>
        </w:trPr>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2014 (actual)</w:t>
            </w:r>
            <w:r w:rsidRPr="00FE4FB8">
              <w:rPr>
                <w:rFonts w:eastAsiaTheme="minorEastAsia"/>
                <w:b/>
                <w:bCs/>
                <w:vertAlign w:val="superscript"/>
                <w:lang w:eastAsia="en-AU"/>
              </w:rPr>
              <w:t>(a)</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1 025.4</w:t>
            </w:r>
          </w:p>
        </w:tc>
        <w:tc>
          <w:tcPr>
            <w:tcW w:w="124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4 926.7</w:t>
            </w:r>
          </w:p>
        </w:tc>
        <w:tc>
          <w:tcPr>
            <w:tcW w:w="107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5 208.5</w:t>
            </w:r>
          </w:p>
        </w:tc>
        <w:tc>
          <w:tcPr>
            <w:tcW w:w="77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532.0</w:t>
            </w:r>
          </w:p>
        </w:tc>
        <w:tc>
          <w:tcPr>
            <w:tcW w:w="8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11 692.6</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89.0</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89.0</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294.5</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294.5</w:t>
            </w:r>
          </w:p>
        </w:tc>
      </w:tr>
      <w:tr w:rsidR="00B03921" w:rsidRPr="00FE4FB8" w:rsidTr="00016914">
        <w:trPr>
          <w:cantSplit/>
        </w:trPr>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(a)(b)</w:t>
            </w:r>
            <w:r w:rsidRPr="00FE4FB8">
              <w:rPr>
                <w:rFonts w:eastAsiaTheme="minorEastAsia"/>
                <w:b/>
                <w:bCs/>
                <w:lang w:eastAsia="en-AU"/>
              </w:rPr>
              <w:t xml:space="preserve"> </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1 114.4</w:t>
            </w:r>
          </w:p>
        </w:tc>
        <w:tc>
          <w:tcPr>
            <w:tcW w:w="124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5 221.2</w:t>
            </w:r>
          </w:p>
        </w:tc>
        <w:tc>
          <w:tcPr>
            <w:tcW w:w="107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5 208.5</w:t>
            </w:r>
          </w:p>
        </w:tc>
        <w:tc>
          <w:tcPr>
            <w:tcW w:w="77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532.0</w:t>
            </w:r>
          </w:p>
        </w:tc>
        <w:tc>
          <w:tcPr>
            <w:tcW w:w="8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12 076.1</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(53.7)</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(52.5)</w:t>
            </w:r>
          </w:p>
        </w:tc>
      </w:tr>
      <w:tr w:rsidR="00B03921" w:rsidRPr="00FE4FB8" w:rsidTr="00016914">
        <w:trPr>
          <w:cantSplit/>
        </w:trPr>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1 234.9</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1 237.7</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(revised)</w:t>
            </w:r>
            <w:r w:rsidRPr="00FE4FB8">
              <w:rPr>
                <w:rFonts w:eastAsiaTheme="minorEastAsia"/>
                <w:b/>
                <w:bCs/>
                <w:vertAlign w:val="superscript"/>
                <w:lang w:eastAsia="en-AU"/>
              </w:rPr>
              <w:t>(c)</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974.5</w:t>
            </w:r>
          </w:p>
        </w:tc>
        <w:tc>
          <w:tcPr>
            <w:tcW w:w="124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6 161.6</w:t>
            </w:r>
          </w:p>
        </w:tc>
        <w:tc>
          <w:tcPr>
            <w:tcW w:w="1077"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5 209.6</w:t>
            </w:r>
          </w:p>
        </w:tc>
        <w:tc>
          <w:tcPr>
            <w:tcW w:w="77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532.1</w:t>
            </w:r>
          </w:p>
        </w:tc>
        <w:tc>
          <w:tcPr>
            <w:tcW w:w="8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12 877.8</w:t>
            </w:r>
          </w:p>
        </w:tc>
      </w:tr>
      <w:tr w:rsidR="00B03921" w:rsidRPr="00FE4FB8" w:rsidTr="00016914">
        <w:trPr>
          <w:cantSplit/>
        </w:trPr>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95.6</w:t>
            </w:r>
          </w:p>
        </w:tc>
        <w:tc>
          <w:tcPr>
            <w:tcW w:w="124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95.6</w:t>
            </w:r>
          </w:p>
        </w:tc>
      </w:tr>
      <w:tr w:rsidR="00B03921" w:rsidRPr="00FE4FB8" w:rsidTr="00016914">
        <w:trPr>
          <w:cantSplit/>
        </w:trPr>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45"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235.7</w:t>
            </w:r>
          </w:p>
        </w:tc>
        <w:tc>
          <w:tcPr>
            <w:tcW w:w="1077"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235.7</w:t>
            </w:r>
          </w:p>
        </w:tc>
      </w:tr>
      <w:tr w:rsidR="00B03921" w:rsidRPr="00FE4FB8" w:rsidTr="00016914">
        <w:trPr>
          <w:cantSplit/>
        </w:trPr>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2016 (budget)</w:t>
            </w:r>
            <w:r w:rsidRPr="00FE4FB8">
              <w:rPr>
                <w:rFonts w:eastAsiaTheme="minorEastAsia"/>
                <w:b/>
                <w:bCs/>
                <w:vertAlign w:val="superscript"/>
                <w:lang w:eastAsia="en-AU"/>
              </w:rPr>
              <w:t>(c)</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1 070.0</w:t>
            </w:r>
          </w:p>
        </w:tc>
        <w:tc>
          <w:tcPr>
            <w:tcW w:w="124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6 397.2</w:t>
            </w:r>
          </w:p>
        </w:tc>
        <w:tc>
          <w:tcPr>
            <w:tcW w:w="1077"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5 209.6</w:t>
            </w:r>
          </w:p>
        </w:tc>
        <w:tc>
          <w:tcPr>
            <w:tcW w:w="77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532.1</w:t>
            </w:r>
          </w:p>
        </w:tc>
        <w:tc>
          <w:tcPr>
            <w:tcW w:w="8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13 209.0</w:t>
            </w:r>
          </w:p>
        </w:tc>
      </w:tr>
    </w:tbl>
    <w:p w:rsidR="00B03921" w:rsidRDefault="00B03921" w:rsidP="00016914">
      <w:pPr>
        <w:pStyle w:val="Source"/>
      </w:pPr>
      <w:r w:rsidRPr="004F7ADD">
        <w:t xml:space="preserve">Sources: </w:t>
      </w:r>
      <w:r>
        <w:t>Departments of Health and Human Services,</w:t>
      </w:r>
      <w:r w:rsidRPr="004F7AD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t>Department of Health</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 xml:space="preserve">The 2015 budget figures have been restated to reflect </w:t>
      </w:r>
      <w:r w:rsidRPr="00B21426">
        <w:t>the 2</w:t>
      </w:r>
      <w:r>
        <w:t>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3.4.5:</w:t>
      </w:r>
      <w:r>
        <w:tab/>
        <w:t>Administered items statement</w:t>
      </w:r>
    </w:p>
    <w:p w:rsidR="00B03921" w:rsidRPr="00FE4FB8" w:rsidRDefault="00B03921" w:rsidP="00016914">
      <w:pPr>
        <w:pStyle w:val="million"/>
        <w:rPr>
          <w:rFonts w:ascii="Times New Roman" w:hAnsi="Times New Roman"/>
          <w:sz w:val="20"/>
          <w:lang w:eastAsia="en-AU"/>
        </w:rPr>
      </w:pPr>
      <w:r>
        <w:t>($ million)</w:t>
      </w:r>
      <w:r w:rsidRPr="004F7AD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162C1B" w:rsidRPr="00FE4FB8" w:rsidTr="00975CAD">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162C1B" w:rsidRPr="00FE4FB8" w:rsidRDefault="00162C1B"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(c)</w:t>
            </w:r>
          </w:p>
        </w:tc>
        <w:tc>
          <w:tcPr>
            <w:tcW w:w="994" w:type="dxa"/>
            <w:tcBorders>
              <w:top w:val="single" w:sz="6" w:space="0" w:color="auto"/>
              <w:left w:val="nil"/>
              <w:right w:val="single" w:sz="6" w:space="0" w:color="auto"/>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162C1B" w:rsidRPr="00FE4FB8" w:rsidTr="00975CAD">
        <w:trPr>
          <w:gridAfter w:val="1"/>
          <w:wAfter w:w="37" w:type="dxa"/>
        </w:trPr>
        <w:tc>
          <w:tcPr>
            <w:tcW w:w="7760" w:type="dxa"/>
            <w:gridSpan w:val="5"/>
            <w:tcBorders>
              <w:top w:val="single" w:sz="6" w:space="0" w:color="auto"/>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334.0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7 328.2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7 106.2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7 788.8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8 109.9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14.8</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7 641.4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7 411.1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8 120.2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8 461.7</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lang w:eastAsia="en-AU"/>
              </w:rPr>
            </w:pPr>
            <w:r w:rsidRPr="00FE4FB8">
              <w:rPr>
                <w:rFonts w:eastAsiaTheme="minorEastAsia"/>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711.4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6 660.1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6 457.0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7 069.6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7 360.0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363.9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372.9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398.1</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7 652.3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7 412.6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8 122.6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8 469.5</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(11.0)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(7.8)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Other economic flows included in net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other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w:t>
            </w:r>
          </w:p>
        </w:tc>
      </w:tr>
      <w:tr w:rsidR="00B03921" w:rsidRPr="00FE4FB8" w:rsidTr="00016914">
        <w:trPr>
          <w:gridAfter w:val="1"/>
          <w:wAfter w:w="37" w:type="dxa"/>
        </w:trPr>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bCs/>
                <w:lang w:eastAsia="en-AU"/>
              </w:rPr>
            </w:pPr>
            <w:r w:rsidRPr="00FE4FB8">
              <w:rPr>
                <w:rFonts w:eastAsiaTheme="minorEastAsia"/>
                <w:b/>
                <w:bCs/>
                <w:lang w:eastAsia="en-AU"/>
              </w:rPr>
              <w:t xml:space="preserve">  </w:t>
            </w:r>
          </w:p>
        </w:tc>
      </w:tr>
      <w:tr w:rsidR="00162C1B" w:rsidRPr="00FE4FB8" w:rsidTr="00975CAD">
        <w:tc>
          <w:tcPr>
            <w:tcW w:w="7797" w:type="dxa"/>
            <w:gridSpan w:val="6"/>
            <w:tcBorders>
              <w:top w:val="nil"/>
              <w:left w:val="nil"/>
              <w:bottom w:val="nil"/>
              <w:right w:val="nil"/>
            </w:tcBorders>
          </w:tcPr>
          <w:p w:rsidR="00162C1B" w:rsidRPr="00FE4FB8" w:rsidRDefault="00162C1B" w:rsidP="00162C1B">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(16.3)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(8.9)</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(10.8)</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Height w:hRule="exact" w:val="120"/>
        </w:trPr>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162C1B">
            <w:pPr>
              <w:pStyle w:val="Tabletext"/>
              <w:rPr>
                <w:rFonts w:eastAsiaTheme="minorEastAsia"/>
                <w:b/>
                <w:bCs/>
                <w:lang w:eastAsia="en-AU"/>
              </w:rPr>
            </w:pPr>
            <w:r w:rsidRPr="00FE4FB8">
              <w:rPr>
                <w:rFonts w:eastAsiaTheme="minorEastAsia"/>
                <w:b/>
                <w:bCs/>
                <w:lang w:eastAsia="en-AU"/>
              </w:rPr>
              <w:t>To</w:t>
            </w:r>
            <w:r w:rsidR="00162C1B">
              <w:rPr>
                <w:rFonts w:eastAsiaTheme="minorEastAsia"/>
                <w:b/>
                <w:bCs/>
                <w:lang w:eastAsia="en-AU"/>
              </w:rPr>
              <w:t>t</w:t>
            </w:r>
            <w:r w:rsidRPr="00FE4FB8">
              <w:rPr>
                <w:rFonts w:eastAsiaTheme="minorEastAsia"/>
                <w:b/>
                <w:bCs/>
                <w:lang w:eastAsia="en-AU"/>
              </w:rPr>
              <w: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34.3</w:t>
            </w:r>
          </w:p>
        </w:tc>
      </w:tr>
      <w:tr w:rsidR="00B03921" w:rsidRPr="00FE4FB8" w:rsidTr="00016914">
        <w:trPr>
          <w:gridAfter w:val="1"/>
          <w:wAfter w:w="37" w:type="dxa"/>
          <w:trHeight w:hRule="exact" w:val="120"/>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Administered liabilities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26.6</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7.7</w:t>
            </w:r>
          </w:p>
        </w:tc>
      </w:tr>
    </w:tbl>
    <w:p w:rsidR="00B03921" w:rsidRDefault="00B03921" w:rsidP="00016914">
      <w:pPr>
        <w:pStyle w:val="Source"/>
      </w:pPr>
      <w:r w:rsidRPr="004F7ADD">
        <w:t xml:space="preserve">Sources: </w:t>
      </w:r>
      <w:r>
        <w:t>Departments of Health and Human Services,</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ns of the former Department of Health</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234E31">
        <w:rPr>
          <w:i w:val="0"/>
        </w:rPr>
        <w:t>2014</w:t>
      </w:r>
      <w:r w:rsidRPr="00234E31">
        <w:rPr>
          <w:i w:val="0"/>
        </w:rPr>
        <w:noBreakHyphen/>
        <w:t>15 Budget</w:t>
      </w:r>
      <w:r w:rsidRPr="00B0679B">
        <w:t>, which do not include the impact of machinery of government changes</w:t>
      </w:r>
      <w:r>
        <w:t xml:space="preserve"> effective from 1 January 2015.</w:t>
      </w:r>
    </w:p>
    <w:p w:rsidR="00B03921" w:rsidRDefault="00B03921" w:rsidP="00016914">
      <w:pPr>
        <w:pStyle w:val="Notes"/>
      </w:pPr>
      <w:r w:rsidRPr="00B0679B">
        <w:t xml:space="preserve">(b) </w:t>
      </w:r>
      <w:r>
        <w:tab/>
        <w:t xml:space="preserve">The 2014-15 budget figures have been restated to reflect </w:t>
      </w:r>
      <w:r w:rsidRPr="00B21426">
        <w:t>the 2013-14 actual closing balance</w:t>
      </w:r>
      <w:r>
        <w:t>s.</w:t>
      </w:r>
    </w:p>
    <w:p w:rsidR="00B03921" w:rsidRPr="0090460D" w:rsidRDefault="00B03921" w:rsidP="00016914">
      <w:pPr>
        <w:pStyle w:val="Notes"/>
      </w:pPr>
      <w:r>
        <w:t>(c)</w:t>
      </w:r>
      <w:r>
        <w:tab/>
        <w:t>The 2014</w:t>
      </w:r>
      <w:r>
        <w:noBreakHyphen/>
        <w:t>15 r</w:t>
      </w:r>
      <w:r w:rsidRPr="00B0679B">
        <w:t>evised</w:t>
      </w:r>
      <w:r>
        <w:t xml:space="preserve">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Pr>
        <w:sectPr w:rsidR="00B03921" w:rsidSect="00016914">
          <w:footerReference w:type="even" r:id="rId49"/>
          <w:footerReference w:type="default" r:id="rId50"/>
          <w:pgSz w:w="9979" w:h="14181" w:code="34"/>
          <w:pgMar w:top="1138" w:right="1138" w:bottom="1138" w:left="1138" w:header="720" w:footer="432" w:gutter="0"/>
          <w:cols w:space="708"/>
          <w:docGrid w:linePitch="360"/>
        </w:sectPr>
      </w:pPr>
    </w:p>
    <w:p w:rsidR="00B03921" w:rsidRPr="00252214" w:rsidRDefault="00B03921" w:rsidP="00016914">
      <w:pPr>
        <w:pStyle w:val="Heading1"/>
      </w:pPr>
      <w:bookmarkStart w:id="121" w:name="_Toc418274761"/>
      <w:r w:rsidRPr="00252214">
        <w:t xml:space="preserve">Department of </w:t>
      </w:r>
      <w:r w:rsidRPr="00116C9B">
        <w:t xml:space="preserve">Justice </w:t>
      </w:r>
      <w:r>
        <w:t>and</w:t>
      </w:r>
      <w:r w:rsidRPr="00116C9B">
        <w:t xml:space="preserve"> Regulation</w:t>
      </w:r>
      <w:bookmarkEnd w:id="121"/>
    </w:p>
    <w:p w:rsidR="00B03921" w:rsidRDefault="00B03921" w:rsidP="00016914">
      <w:pPr>
        <w:pStyle w:val="Heading2"/>
      </w:pPr>
      <w:r>
        <w:t>Operating performance</w:t>
      </w:r>
    </w:p>
    <w:p w:rsidR="00B03921" w:rsidRPr="005F421F" w:rsidRDefault="00B03921" w:rsidP="00016914">
      <w:r w:rsidRPr="005F421F">
        <w:t>The Department</w:t>
      </w:r>
      <w:r w:rsidR="00BA5A16">
        <w:t>’</w:t>
      </w:r>
      <w:r w:rsidRPr="005F421F">
        <w:t>s net result from transactions is forec</w:t>
      </w:r>
      <w:r>
        <w:t>ast to improve from a 2014-15 budget deficit of $12.7</w:t>
      </w:r>
      <w:r w:rsidRPr="005F421F">
        <w:t xml:space="preserve"> million to an estimated surplus of $1</w:t>
      </w:r>
      <w:r>
        <w:t>8.2</w:t>
      </w:r>
      <w:r w:rsidRPr="005F421F">
        <w:t xml:space="preserve"> million in 2015-16. The estimated turnaround of $</w:t>
      </w:r>
      <w:r>
        <w:t>30.9 million in 2015-16 is mainly due to:</w:t>
      </w:r>
    </w:p>
    <w:p w:rsidR="00B03921" w:rsidRPr="00793812" w:rsidRDefault="00B03921" w:rsidP="00016914">
      <w:pPr>
        <w:pStyle w:val="BulletText"/>
      </w:pPr>
      <w:r w:rsidRPr="00A27C20">
        <w:t>higher expected investment returns in trust funds mainly in the Victorian Property Fund and the Residential Tenancies Fund due to changes in the Department</w:t>
      </w:r>
      <w:r w:rsidR="00BA5A16">
        <w:t>’</w:t>
      </w:r>
      <w:r w:rsidRPr="00A27C20">
        <w:t xml:space="preserve">s </w:t>
      </w:r>
      <w:r w:rsidRPr="00793812">
        <w:t>investment profile;</w:t>
      </w:r>
    </w:p>
    <w:p w:rsidR="00B03921" w:rsidRPr="00793812" w:rsidRDefault="00B03921" w:rsidP="00016914">
      <w:pPr>
        <w:pStyle w:val="BulletText"/>
      </w:pPr>
      <w:r w:rsidRPr="00793812">
        <w:t xml:space="preserve">the expected completion of the Liquor and Gambling Information System project funded from prior year </w:t>
      </w:r>
      <w:r w:rsidR="00162C1B">
        <w:t xml:space="preserve">accumulated surplus in 2014-15; </w:t>
      </w:r>
      <w:r w:rsidRPr="00793812">
        <w:t>and</w:t>
      </w:r>
    </w:p>
    <w:p w:rsidR="00B03921" w:rsidRPr="00793812" w:rsidRDefault="00B03921" w:rsidP="00016914">
      <w:pPr>
        <w:pStyle w:val="BulletText"/>
      </w:pPr>
      <w:r w:rsidRPr="00793812">
        <w:t>the expected completion of Victoria Police</w:t>
      </w:r>
      <w:r w:rsidR="00BA5A16">
        <w:t>’</w:t>
      </w:r>
      <w:r w:rsidRPr="00793812">
        <w:t>s IT Refresh project and the operation of the Sporting Integrity Intelligence Unit funded from prior year accumulated surplus in 2014-15.</w:t>
      </w:r>
    </w:p>
    <w:p w:rsidR="00B03921" w:rsidRPr="005F421F" w:rsidRDefault="00B03921" w:rsidP="00016914">
      <w:r w:rsidRPr="005F421F">
        <w:t>Output appropriation revenue in 2015-16 will increase by $</w:t>
      </w:r>
      <w:r>
        <w:t>194.4</w:t>
      </w:r>
      <w:r w:rsidRPr="005F421F">
        <w:t xml:space="preserve"> m</w:t>
      </w:r>
      <w:r>
        <w:t>illion compared to the 2014-15 b</w:t>
      </w:r>
      <w:r w:rsidRPr="005F421F">
        <w:t>udget. This is due to:</w:t>
      </w:r>
    </w:p>
    <w:p w:rsidR="00B03921" w:rsidRPr="005F421F" w:rsidRDefault="00B03921" w:rsidP="00016914">
      <w:pPr>
        <w:pStyle w:val="BulletText"/>
      </w:pPr>
      <w:r w:rsidRPr="005F421F">
        <w:t xml:space="preserve">new output initiatives announced in the </w:t>
      </w:r>
      <w:r w:rsidRPr="005F421F">
        <w:rPr>
          <w:i/>
        </w:rPr>
        <w:t>2015-16 Budget</w:t>
      </w:r>
      <w:r w:rsidRPr="005F421F">
        <w:t>, including Expanding Community Correctional Services to meet demand</w:t>
      </w:r>
      <w:r>
        <w:t xml:space="preserve"> </w:t>
      </w:r>
      <w:r w:rsidRPr="005F421F">
        <w:t>and funding for Custody officers to</w:t>
      </w:r>
      <w:r>
        <w:t xml:space="preserve"> free up 400 police; and</w:t>
      </w:r>
    </w:p>
    <w:p w:rsidR="00B03921" w:rsidRPr="005F421F" w:rsidRDefault="00B03921" w:rsidP="00016914">
      <w:pPr>
        <w:pStyle w:val="BulletText"/>
      </w:pPr>
      <w:r w:rsidRPr="005F421F">
        <w:t>the contin</w:t>
      </w:r>
      <w:r>
        <w:t xml:space="preserve">uing implementation of </w:t>
      </w:r>
      <w:r w:rsidRPr="005F421F">
        <w:t>initiatives announced in previous budgets mainly focusing on increasing additional capacity across the prison system and s</w:t>
      </w:r>
      <w:r>
        <w:t>upporting frontline police and protective services o</w:t>
      </w:r>
      <w:r w:rsidRPr="005F421F">
        <w:t>fficers.</w:t>
      </w:r>
    </w:p>
    <w:p w:rsidR="00B03921" w:rsidRPr="005F421F" w:rsidRDefault="00B03921" w:rsidP="00016914">
      <w:pPr>
        <w:pStyle w:val="BulletText"/>
        <w:numPr>
          <w:ilvl w:val="0"/>
          <w:numId w:val="0"/>
        </w:numPr>
      </w:pPr>
      <w:r w:rsidRPr="005F421F">
        <w:t xml:space="preserve">The </w:t>
      </w:r>
      <w:r w:rsidRPr="000C4982">
        <w:rPr>
          <w:i/>
        </w:rPr>
        <w:t xml:space="preserve">2015-16 </w:t>
      </w:r>
      <w:r>
        <w:rPr>
          <w:i/>
        </w:rPr>
        <w:t>B</w:t>
      </w:r>
      <w:r w:rsidRPr="000C4982">
        <w:rPr>
          <w:i/>
        </w:rPr>
        <w:t>udget</w:t>
      </w:r>
      <w:r w:rsidRPr="005F421F">
        <w:t xml:space="preserve"> </w:t>
      </w:r>
      <w:r>
        <w:t xml:space="preserve"> also </w:t>
      </w:r>
      <w:r w:rsidRPr="005F421F">
        <w:t xml:space="preserve">reflects the transfer of Anti-Corruption and Public Sector Integrity bodies, the Freedom of Information Commissioner,  the </w:t>
      </w:r>
      <w:r>
        <w:t>Victorian Electoral Commission and</w:t>
      </w:r>
      <w:r w:rsidRPr="005F421F">
        <w:t xml:space="preserve"> Privacy and Data Protection Victoria to the Department of Premier and Cabinet as </w:t>
      </w:r>
      <w:r>
        <w:t>part of</w:t>
      </w:r>
      <w:r w:rsidRPr="005F421F">
        <w:t xml:space="preserve"> the </w:t>
      </w:r>
      <w:r>
        <w:t>m</w:t>
      </w:r>
      <w:r w:rsidRPr="005F421F">
        <w:t xml:space="preserve">achinery of </w:t>
      </w:r>
      <w:r>
        <w:t>g</w:t>
      </w:r>
      <w:r w:rsidRPr="005F421F">
        <w:t xml:space="preserve">overnment changes </w:t>
      </w:r>
      <w:r>
        <w:t xml:space="preserve">effective from </w:t>
      </w:r>
      <w:r w:rsidRPr="005F421F">
        <w:t>1</w:t>
      </w:r>
      <w:r>
        <w:t> January </w:t>
      </w:r>
      <w:r w:rsidRPr="005F421F">
        <w:t xml:space="preserve">2015. </w:t>
      </w:r>
    </w:p>
    <w:p w:rsidR="00B03921" w:rsidRDefault="00B03921" w:rsidP="00016914">
      <w:pPr>
        <w:pStyle w:val="BulletText"/>
        <w:numPr>
          <w:ilvl w:val="0"/>
          <w:numId w:val="0"/>
        </w:numPr>
      </w:pPr>
      <w:r w:rsidRPr="005F421F">
        <w:t>Estimated 2015-16 operating expenses are forecast to increase by approximately the same amount as revenue due to the factors identified above.</w:t>
      </w:r>
    </w:p>
    <w:p w:rsidR="00B03921" w:rsidRDefault="00B03921" w:rsidP="00016914">
      <w:pPr>
        <w:pStyle w:val="Heading2"/>
      </w:pPr>
      <w:r>
        <w:t>Balance sheet</w:t>
      </w:r>
    </w:p>
    <w:p w:rsidR="00B03921" w:rsidRDefault="00B03921" w:rsidP="00016914">
      <w:r w:rsidRPr="005F421F">
        <w:t>The Department</w:t>
      </w:r>
      <w:r w:rsidR="00BA5A16">
        <w:t>’</w:t>
      </w:r>
      <w:r w:rsidRPr="005F421F">
        <w:t>s 2015-16 net asset position is estimated to improve by $2</w:t>
      </w:r>
      <w:r>
        <w:t>06</w:t>
      </w:r>
      <w:r w:rsidRPr="005F421F">
        <w:t xml:space="preserve"> m</w:t>
      </w:r>
      <w:r>
        <w:t>illion compared to the 2014-15 b</w:t>
      </w:r>
      <w:r w:rsidRPr="005F421F">
        <w:t>udget. This is largely attributable to additional capital investment, particularly in the corrections system to expand various men and women</w:t>
      </w:r>
      <w:r w:rsidR="00BA5A16">
        <w:t>’</w:t>
      </w:r>
      <w:r w:rsidRPr="005F421F">
        <w:t>s prisons and invest in critical infrastructure and services in order to accommodate additional prisoners.</w:t>
      </w:r>
    </w:p>
    <w:p w:rsidR="00B03921" w:rsidRDefault="00B03921">
      <w:pPr>
        <w:spacing w:after="0"/>
        <w:rPr>
          <w:rFonts w:ascii="Calibri" w:hAnsi="Calibri"/>
          <w:b/>
          <w:sz w:val="26"/>
          <w:szCs w:val="22"/>
        </w:rPr>
      </w:pPr>
      <w:r>
        <w:br w:type="page"/>
      </w:r>
    </w:p>
    <w:p w:rsidR="00B03921" w:rsidRDefault="00B03921" w:rsidP="00016914">
      <w:pPr>
        <w:pStyle w:val="Heading2"/>
      </w:pPr>
      <w:r>
        <w:t>Investing and financing</w:t>
      </w:r>
    </w:p>
    <w:p w:rsidR="00B03921" w:rsidRDefault="00B03921" w:rsidP="00016914">
      <w:r w:rsidRPr="005F421F">
        <w:t>The decrease in payments for non-financial assets in 2015-16 reflects payments made for the Hopkins correctional centre in the 2014-15 year. This will be par</w:t>
      </w:r>
      <w:r>
        <w:t>tly offset by payments for non</w:t>
      </w:r>
      <w:r>
        <w:noBreakHyphen/>
      </w:r>
      <w:r w:rsidRPr="005F421F">
        <w:t>financial assets in 2015-16 to reflect new asset investment programs for the Department</w:t>
      </w:r>
      <w:r>
        <w:t>,</w:t>
      </w:r>
      <w:r w:rsidRPr="005F421F">
        <w:t xml:space="preserve"> particularly in the corrections expansion program and police station upgrades.</w:t>
      </w:r>
    </w:p>
    <w:p w:rsidR="00B03921" w:rsidRDefault="00B03921" w:rsidP="00016914">
      <w:pPr>
        <w:pStyle w:val="Heading2"/>
      </w:pPr>
      <w:r w:rsidRPr="0090460D">
        <w:t>Administered items statement</w:t>
      </w:r>
    </w:p>
    <w:p w:rsidR="00B03921" w:rsidRPr="005F421F" w:rsidRDefault="00B03921" w:rsidP="00016914">
      <w:r w:rsidRPr="005F421F">
        <w:t xml:space="preserve">Revenue administered by the Department on behalf of the State and third parties </w:t>
      </w:r>
      <w:r>
        <w:t>is</w:t>
      </w:r>
      <w:r w:rsidRPr="005F421F">
        <w:t xml:space="preserve"> forecast to rise by $82.9 million in</w:t>
      </w:r>
      <w:r>
        <w:t xml:space="preserve"> the</w:t>
      </w:r>
      <w:r w:rsidRPr="005F421F">
        <w:t xml:space="preserve"> 2015-16</w:t>
      </w:r>
      <w:r>
        <w:t xml:space="preserve"> budget</w:t>
      </w:r>
      <w:r w:rsidRPr="005F421F">
        <w:t xml:space="preserve"> relative to the 2014-15 budget. This is driven by increases in gaming taxation and fines revenue. Administered expenses are expected to increase by $49.2 million over the same period largely due to the transfer of</w:t>
      </w:r>
      <w:r>
        <w:t xml:space="preserve"> the</w:t>
      </w:r>
      <w:r w:rsidRPr="005F421F">
        <w:t xml:space="preserve"> higher fines, fee and taxation revenue into the Consolidated Fund.</w:t>
      </w:r>
    </w:p>
    <w:p w:rsidR="00B03921" w:rsidRDefault="00B03921" w:rsidP="00016914">
      <w:r>
        <w:t>Other economic flow losses have increased</w:t>
      </w:r>
      <w:r w:rsidRPr="005F421F">
        <w:t xml:space="preserve"> relative to the 2014-15 budget due to the recognition of bad and doubtful debts resulting from fine related enforcement activities. Outstanding debts will continue to be vigorously pursued through all legal means, however prudent accounting requires that provision be made for such debts.</w:t>
      </w:r>
    </w:p>
    <w:p w:rsidR="00B03921" w:rsidRDefault="00B03921">
      <w:pPr>
        <w:spacing w:after="0"/>
      </w:pPr>
      <w:r>
        <w:br w:type="page"/>
      </w:r>
    </w:p>
    <w:p w:rsidR="00B03921" w:rsidRDefault="00B03921" w:rsidP="00016914">
      <w:pPr>
        <w:pStyle w:val="Tableheading"/>
      </w:pPr>
      <w:r>
        <w:t>Table 3.5.1: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162C1B" w:rsidRPr="00FE4FB8" w:rsidTr="00975CAD">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162C1B" w:rsidRPr="00FE4FB8" w:rsidRDefault="00162C1B"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162C1B" w:rsidRPr="00FE4FB8" w:rsidTr="00975CAD">
        <w:trPr>
          <w:gridAfter w:val="1"/>
          <w:wAfter w:w="37" w:type="dxa"/>
        </w:trPr>
        <w:tc>
          <w:tcPr>
            <w:tcW w:w="7760" w:type="dxa"/>
            <w:gridSpan w:val="5"/>
            <w:tcBorders>
              <w:top w:val="single" w:sz="6" w:space="0" w:color="auto"/>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Net result from continuing operations</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5 093.7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5 233.8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5 141.2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5 428.2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22.6</w:t>
            </w:r>
          </w:p>
        </w:tc>
      </w:tr>
      <w:tr w:rsidR="00B03921" w:rsidRPr="00FE4FB8" w:rsidTr="00016914">
        <w:trPr>
          <w:gridAfter w:val="1"/>
          <w:wAfter w:w="37" w:type="dxa"/>
        </w:trPr>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5 400.2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5 451.8</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5 344.9</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5 596.4</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2 582.6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2 555.1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2 569.1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2 682.7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167.3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177.3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1 048.1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1 055.4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1 067.4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1 095.2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224.9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1 283.7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1 461.8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1 334.2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1 375.4</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5 366.6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5 464.5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5 371.4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5 578.2</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(12.7)</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(26.6)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18.2</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w:t>
            </w:r>
          </w:p>
        </w:tc>
      </w:tr>
      <w:tr w:rsidR="00B03921" w:rsidRPr="00FE4FB8" w:rsidTr="00016914">
        <w:trPr>
          <w:gridAfter w:val="1"/>
          <w:wAfter w:w="37" w:type="dxa"/>
        </w:trPr>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12.7</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31.0</w:t>
            </w:r>
          </w:p>
        </w:tc>
      </w:tr>
      <w:tr w:rsidR="00162C1B" w:rsidRPr="00FE4FB8" w:rsidTr="00975CAD">
        <w:tc>
          <w:tcPr>
            <w:tcW w:w="7797" w:type="dxa"/>
            <w:gridSpan w:val="6"/>
            <w:tcBorders>
              <w:top w:val="nil"/>
              <w:left w:val="nil"/>
              <w:bottom w:val="nil"/>
              <w:right w:val="nil"/>
            </w:tcBorders>
          </w:tcPr>
          <w:p w:rsidR="00162C1B" w:rsidRPr="00FE4FB8" w:rsidRDefault="00162C1B" w:rsidP="00162C1B">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54.6</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(15.9)</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31.0</w:t>
            </w:r>
          </w:p>
        </w:tc>
      </w:tr>
    </w:tbl>
    <w:p w:rsidR="00B03921" w:rsidRDefault="00B03921" w:rsidP="00016914">
      <w:pPr>
        <w:pStyle w:val="Source"/>
      </w:pPr>
      <w:r w:rsidRPr="001D350D">
        <w:t xml:space="preserve">Sources: </w:t>
      </w:r>
      <w:r>
        <w:t>Departments of Justice and Regulation,</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 xml:space="preserve">ns of the former Department of Justice </w:t>
      </w:r>
      <w:r w:rsidRPr="00B0679B">
        <w:t xml:space="preserve">included in the </w:t>
      </w:r>
      <w:r w:rsidRPr="00ED1C61">
        <w:rPr>
          <w:i w:val="0"/>
        </w:rPr>
        <w:t>2013-14 Financial Report</w:t>
      </w:r>
      <w:r w:rsidRPr="00A25614">
        <w:rPr>
          <w:i w:val="0"/>
        </w:rPr>
        <w:t xml:space="preserve"> </w:t>
      </w:r>
      <w:r w:rsidRPr="00ED1C61">
        <w:t>for the State of Victoria</w:t>
      </w:r>
      <w:r w:rsidRPr="00B0679B">
        <w:t xml:space="preserve"> or the </w:t>
      </w:r>
      <w:r w:rsidRPr="006F6B54">
        <w:rPr>
          <w:i w:val="0"/>
        </w:rPr>
        <w:t>2014</w:t>
      </w:r>
      <w:r w:rsidRPr="006F6B54">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w:t>
      </w:r>
      <w:r>
        <w:noBreakHyphen/>
        <w:t>15 revised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Pr>
        <w:pStyle w:val="Tableheading"/>
      </w:pPr>
      <w:r>
        <w:t>Table 3.5.2:</w:t>
      </w:r>
      <w:r>
        <w:tab/>
        <w:t>Balance sheet</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162C1B" w:rsidRPr="00FE4FB8" w:rsidTr="00975CAD">
        <w:trPr>
          <w:tblHeader/>
        </w:trPr>
        <w:tc>
          <w:tcPr>
            <w:tcW w:w="3784" w:type="dxa"/>
            <w:vMerge w:val="restart"/>
            <w:tcBorders>
              <w:top w:val="single" w:sz="6" w:space="0" w:color="auto"/>
              <w:left w:val="single" w:sz="6" w:space="0" w:color="auto"/>
              <w:right w:val="nil"/>
            </w:tcBorders>
            <w:shd w:val="clear" w:color="000000" w:fill="000000"/>
          </w:tcPr>
          <w:p w:rsidR="00162C1B" w:rsidRPr="00FE4FB8" w:rsidRDefault="00162C1B" w:rsidP="00162C1B">
            <w:pPr>
              <w:pStyle w:val="Tabletext"/>
              <w:rPr>
                <w:rFonts w:eastAsiaTheme="minorEastAsia"/>
                <w:lang w:eastAsia="en-AU"/>
              </w:rPr>
            </w:pPr>
          </w:p>
        </w:tc>
        <w:tc>
          <w:tcPr>
            <w:tcW w:w="994" w:type="dxa"/>
            <w:vMerge w:val="restart"/>
            <w:tcBorders>
              <w:top w:val="single" w:sz="6" w:space="0" w:color="auto"/>
              <w:left w:val="nil"/>
              <w:right w:val="nil"/>
            </w:tcBorders>
            <w:shd w:val="clear" w:color="000000" w:fill="000000"/>
          </w:tcPr>
          <w:p w:rsidR="00162C1B" w:rsidRPr="00FE4FB8" w:rsidRDefault="00162C1B"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162C1B" w:rsidRPr="00FE4FB8" w:rsidRDefault="00162C1B" w:rsidP="00162C1B">
            <w:pPr>
              <w:pStyle w:val="Tabletextheadingcentred"/>
              <w:rPr>
                <w:rFonts w:eastAsiaTheme="minorEastAsia"/>
                <w:lang w:eastAsia="en-AU"/>
              </w:rPr>
            </w:pPr>
            <w:r w:rsidRPr="00FE4FB8">
              <w:rPr>
                <w:rFonts w:eastAsiaTheme="minorEastAsia"/>
                <w:lang w:eastAsia="en-AU"/>
              </w:rPr>
              <w:t>Estimated as at 30 June</w:t>
            </w:r>
          </w:p>
        </w:tc>
      </w:tr>
      <w:tr w:rsidR="00162C1B" w:rsidRPr="00FE4FB8" w:rsidTr="00975CAD">
        <w:trPr>
          <w:trHeight w:val="488"/>
          <w:tblHeader/>
        </w:trPr>
        <w:tc>
          <w:tcPr>
            <w:tcW w:w="3784" w:type="dxa"/>
            <w:vMerge/>
            <w:tcBorders>
              <w:left w:val="single" w:sz="6" w:space="0" w:color="auto"/>
              <w:right w:val="nil"/>
            </w:tcBorders>
            <w:shd w:val="clear" w:color="000000" w:fill="000000"/>
          </w:tcPr>
          <w:p w:rsidR="00162C1B" w:rsidRPr="00FE4FB8" w:rsidRDefault="00162C1B" w:rsidP="00016914">
            <w:pPr>
              <w:pStyle w:val="Tabletext"/>
              <w:rPr>
                <w:rFonts w:eastAsiaTheme="minorEastAsia"/>
                <w:lang w:eastAsia="en-AU"/>
              </w:rPr>
            </w:pPr>
          </w:p>
        </w:tc>
        <w:tc>
          <w:tcPr>
            <w:tcW w:w="994" w:type="dxa"/>
            <w:vMerge/>
            <w:tcBorders>
              <w:left w:val="nil"/>
              <w:right w:val="nil"/>
            </w:tcBorders>
            <w:shd w:val="clear" w:color="000000" w:fill="000000"/>
          </w:tcPr>
          <w:p w:rsidR="00162C1B" w:rsidRPr="00FE4FB8" w:rsidRDefault="00162C1B"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nil"/>
              <w:left w:val="nil"/>
              <w:right w:val="nil"/>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162C1B" w:rsidRPr="00FE4FB8" w:rsidTr="00975CAD">
        <w:tc>
          <w:tcPr>
            <w:tcW w:w="7760" w:type="dxa"/>
            <w:gridSpan w:val="5"/>
            <w:tcBorders>
              <w:top w:val="single" w:sz="6" w:space="0" w:color="auto"/>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Assets</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325.7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797.4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861.4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280.0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291.3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1 361.1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1 392.1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1 458.1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1 478.3</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4 302.8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3 885.7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3 758.0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4 007.6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79.3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4 451.3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3 999.5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3 866.6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4 123.3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5 812.3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5 391.6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5 324.8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5 601.7</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638.6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375.3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392.0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223.8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683.5</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1 717.9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1 278.6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1 377.2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1 282.7</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4 094.4</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4 113.0</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3 947.5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4 319.0</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756.4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754.4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750.9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1 538.4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1 538.4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1 538.4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1 538.4</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1 799.6</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1 820.2</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1 658.3</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1 998.8</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4 094.4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4 113.0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3 947.5</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4 319.0</w:t>
            </w:r>
          </w:p>
        </w:tc>
      </w:tr>
    </w:tbl>
    <w:p w:rsidR="00B03921" w:rsidRDefault="00B03921" w:rsidP="00016914">
      <w:pPr>
        <w:pStyle w:val="Source"/>
      </w:pPr>
      <w:r w:rsidRPr="001D350D">
        <w:t xml:space="preserve">Sources: </w:t>
      </w:r>
      <w:r>
        <w:t>Departments of Justice and Regulation,</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t>Department of Justice</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6F6B54">
        <w:rPr>
          <w:i w:val="0"/>
        </w:rPr>
        <w:t>2014</w:t>
      </w:r>
      <w:r w:rsidRPr="006F6B54">
        <w:rPr>
          <w:i w:val="0"/>
        </w:rPr>
        <w:noBreakHyphen/>
        <w:t>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spacing w:after="0"/>
        <w:rPr>
          <w:rFonts w:ascii="Calibri" w:hAnsi="Calibri"/>
          <w:b/>
        </w:rPr>
      </w:pPr>
      <w:r>
        <w:br w:type="page"/>
      </w:r>
    </w:p>
    <w:p w:rsidR="00B03921" w:rsidRDefault="00B03921" w:rsidP="00016914">
      <w:pPr>
        <w:pStyle w:val="Tableheading"/>
      </w:pPr>
      <w:r>
        <w:t>Table 3.5.3: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162C1B" w:rsidRPr="00FE4FB8" w:rsidTr="00975CAD">
        <w:trPr>
          <w:trHeight w:val="503"/>
          <w:tblHeader/>
        </w:trPr>
        <w:tc>
          <w:tcPr>
            <w:tcW w:w="3784" w:type="dxa"/>
            <w:tcBorders>
              <w:top w:val="single" w:sz="6" w:space="0" w:color="auto"/>
              <w:left w:val="single" w:sz="6" w:space="0" w:color="auto"/>
              <w:right w:val="nil"/>
            </w:tcBorders>
            <w:shd w:val="clear" w:color="000000" w:fill="000000"/>
          </w:tcPr>
          <w:p w:rsidR="00162C1B" w:rsidRPr="00FE4FB8" w:rsidRDefault="00162C1B"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162C1B" w:rsidRPr="00FE4FB8" w:rsidRDefault="00162C1B" w:rsidP="00162C1B">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162C1B" w:rsidRPr="00FE4FB8" w:rsidTr="00975CAD">
        <w:tc>
          <w:tcPr>
            <w:tcW w:w="7760" w:type="dxa"/>
            <w:gridSpan w:val="5"/>
            <w:tcBorders>
              <w:top w:val="single" w:sz="6" w:space="0" w:color="auto"/>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Cash flows from operating activities</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5 182.7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5 241.8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5 043.6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5 442.5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71.2</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5 317.7</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5 382.2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5 193.6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5 605.5</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Pr>
                <w:rFonts w:eastAsiaTheme="minorEastAsia"/>
                <w:b/>
                <w:bCs/>
                <w:lang w:eastAsia="en-AU"/>
              </w:rPr>
              <w:t>Payments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(1 046.5)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(1 056.0)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(1 068.0)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(1 095.8)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(3 806.3)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(3 977.8)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(3 864.2)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(4 014.2)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(216.3)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(196.1)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(196.0)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(224.9)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(35.4)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(28.6)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(28.5)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(22.4)</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(5 104.5)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(5 258.5)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(5 156.8)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(5 357.4)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213.3</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123.7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36.8</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248.0</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(436.1)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(852.3)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(641.7)</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(567.3)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34.0</w:t>
            </w:r>
          </w:p>
        </w:tc>
      </w:tr>
      <w:tr w:rsidR="00B03921" w:rsidRPr="00FE4FB8" w:rsidTr="00016914">
        <w:tc>
          <w:tcPr>
            <w:tcW w:w="3784" w:type="dxa"/>
            <w:tcBorders>
              <w:top w:val="nil"/>
              <w:left w:val="nil"/>
              <w:bottom w:val="single" w:sz="4"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single" w:sz="4"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w:t>
            </w:r>
          </w:p>
        </w:tc>
        <w:tc>
          <w:tcPr>
            <w:tcW w:w="994" w:type="dxa"/>
            <w:tcBorders>
              <w:top w:val="nil"/>
              <w:left w:val="nil"/>
              <w:bottom w:val="single" w:sz="4"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4" w:space="0" w:color="auto"/>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(1.7)</w:t>
            </w:r>
          </w:p>
        </w:tc>
        <w:tc>
          <w:tcPr>
            <w:tcW w:w="994" w:type="dxa"/>
            <w:tcBorders>
              <w:top w:val="nil"/>
              <w:left w:val="nil"/>
              <w:bottom w:val="single" w:sz="4"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4"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4"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(415.1)</w:t>
            </w:r>
          </w:p>
        </w:tc>
        <w:tc>
          <w:tcPr>
            <w:tcW w:w="994" w:type="dxa"/>
            <w:tcBorders>
              <w:top w:val="single" w:sz="4"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(827.8)</w:t>
            </w:r>
          </w:p>
        </w:tc>
        <w:tc>
          <w:tcPr>
            <w:tcW w:w="994" w:type="dxa"/>
            <w:tcBorders>
              <w:top w:val="single" w:sz="4"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(620.3)</w:t>
            </w:r>
          </w:p>
        </w:tc>
        <w:tc>
          <w:tcPr>
            <w:tcW w:w="994" w:type="dxa"/>
            <w:tcBorders>
              <w:top w:val="single" w:sz="4"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(542.5)</w:t>
            </w:r>
          </w:p>
        </w:tc>
      </w:tr>
      <w:tr w:rsidR="00162C1B" w:rsidRPr="00FE4FB8" w:rsidTr="00975CAD">
        <w:tc>
          <w:tcPr>
            <w:tcW w:w="7760" w:type="dxa"/>
            <w:gridSpan w:val="5"/>
            <w:tcBorders>
              <w:top w:val="nil"/>
              <w:left w:val="nil"/>
              <w:bottom w:val="nil"/>
              <w:right w:val="nil"/>
            </w:tcBorders>
          </w:tcPr>
          <w:p w:rsidR="00162C1B" w:rsidRPr="00FE4FB8" w:rsidRDefault="00162C1B" w:rsidP="00162C1B">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340.5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(17.6)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(17.6)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(11.1)</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216.7</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697.9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569.5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14.8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(14.0)</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17.4</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307.5</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322.3</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322.3</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308.3</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322.3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316.1</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308.3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325.7</w:t>
            </w:r>
          </w:p>
        </w:tc>
      </w:tr>
    </w:tbl>
    <w:p w:rsidR="00B03921" w:rsidRDefault="00B03921" w:rsidP="00016914">
      <w:pPr>
        <w:pStyle w:val="Source"/>
      </w:pPr>
      <w:r w:rsidRPr="001D350D">
        <w:t>Source</w:t>
      </w:r>
      <w:r>
        <w:t>s</w:t>
      </w:r>
      <w:r w:rsidRPr="001D350D">
        <w:t xml:space="preserve">: </w:t>
      </w:r>
      <w:r>
        <w:t>Departments of Justice and Regulation,</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ns of the former Department of Justice</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6F6B54">
        <w:rPr>
          <w:i w:val="0"/>
        </w:rPr>
        <w:t>2014</w:t>
      </w:r>
      <w:r w:rsidRPr="006F6B54">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rsidRPr="004D3EC3">
        <w:t xml:space="preserve">(b) </w:t>
      </w:r>
      <w:r>
        <w:tab/>
        <w:t>The 2014-15 r</w:t>
      </w:r>
      <w:r w:rsidRPr="004D3EC3">
        <w:t>ev</w:t>
      </w:r>
      <w:r>
        <w:t>ised and 2015-16 budget reflect</w:t>
      </w:r>
      <w:r w:rsidRPr="004D3EC3">
        <w:t xml:space="preserve"> the full impact of machinery of gove</w:t>
      </w:r>
      <w:r>
        <w:t>rnment changes effective from 1 </w:t>
      </w:r>
      <w:r w:rsidRPr="004D3EC3">
        <w:t>January 2015.</w:t>
      </w:r>
    </w:p>
    <w:p w:rsidR="00B03921" w:rsidRPr="001D350D" w:rsidRDefault="00B03921" w:rsidP="00016914">
      <w:pPr>
        <w:pStyle w:val="Notes"/>
      </w:pPr>
      <w:r>
        <w:t>(c)</w:t>
      </w:r>
      <w:r>
        <w:tab/>
        <w:t>Figures have been restated to better reflect the nature of related cash flows.</w:t>
      </w:r>
    </w:p>
    <w:p w:rsidR="00B03921" w:rsidRDefault="00B03921" w:rsidP="00016914">
      <w:pPr>
        <w:pStyle w:val="Tableheading"/>
      </w:pPr>
      <w:r>
        <w:t>Table 3.5.4:</w:t>
      </w:r>
      <w:r>
        <w:tab/>
        <w:t>Statement of changes in equity</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341"/>
        <w:gridCol w:w="518"/>
        <w:gridCol w:w="925"/>
        <w:gridCol w:w="1273"/>
        <w:gridCol w:w="1119"/>
        <w:gridCol w:w="812"/>
        <w:gridCol w:w="772"/>
      </w:tblGrid>
      <w:tr w:rsidR="00B03921" w:rsidRPr="00B04006" w:rsidTr="00016914">
        <w:trPr>
          <w:cantSplit/>
          <w:tblHeader/>
        </w:trPr>
        <w:tc>
          <w:tcPr>
            <w:tcW w:w="2341" w:type="dxa"/>
            <w:tcBorders>
              <w:top w:val="single" w:sz="6" w:space="0" w:color="auto"/>
              <w:left w:val="single" w:sz="6" w:space="0" w:color="auto"/>
              <w:bottom w:val="single" w:sz="6" w:space="0" w:color="auto"/>
              <w:right w:val="nil"/>
            </w:tcBorders>
            <w:shd w:val="clear" w:color="000000" w:fill="000000"/>
          </w:tcPr>
          <w:p w:rsidR="00B03921" w:rsidRPr="00B04006" w:rsidRDefault="00B03921" w:rsidP="00016914">
            <w:pPr>
              <w:pStyle w:val="Tabletext"/>
              <w:rPr>
                <w:rFonts w:eastAsiaTheme="minorEastAsia"/>
                <w:lang w:eastAsia="en-AU"/>
              </w:rPr>
            </w:pPr>
            <w:r w:rsidRPr="00B04006">
              <w:rPr>
                <w:rFonts w:eastAsiaTheme="minorEastAsia"/>
                <w:lang w:eastAsia="en-AU"/>
              </w:rPr>
              <w:t xml:space="preserve"> </w:t>
            </w:r>
          </w:p>
        </w:tc>
        <w:tc>
          <w:tcPr>
            <w:tcW w:w="1443" w:type="dxa"/>
            <w:gridSpan w:val="2"/>
            <w:tcBorders>
              <w:top w:val="single" w:sz="6" w:space="0" w:color="auto"/>
              <w:left w:val="nil"/>
              <w:bottom w:val="single" w:sz="6" w:space="0" w:color="auto"/>
              <w:right w:val="nil"/>
            </w:tcBorders>
            <w:shd w:val="clear" w:color="000000" w:fill="000000"/>
          </w:tcPr>
          <w:p w:rsidR="00B03921" w:rsidRPr="00B04006" w:rsidRDefault="00B03921" w:rsidP="00016914">
            <w:pPr>
              <w:pStyle w:val="Tabletextheading"/>
              <w:rPr>
                <w:rFonts w:eastAsiaTheme="minorEastAsia"/>
                <w:iCs/>
                <w:color w:val="FFFFFF"/>
                <w:lang w:eastAsia="en-AU"/>
              </w:rPr>
            </w:pPr>
            <w:r w:rsidRPr="00B04006">
              <w:rPr>
                <w:rFonts w:eastAsiaTheme="minorEastAsia"/>
                <w:iCs/>
                <w:color w:val="FFFFFF"/>
                <w:lang w:eastAsia="en-AU"/>
              </w:rPr>
              <w:t>Accumulated surplus/(deficit)</w:t>
            </w:r>
          </w:p>
        </w:tc>
        <w:tc>
          <w:tcPr>
            <w:tcW w:w="1273" w:type="dxa"/>
            <w:tcBorders>
              <w:top w:val="single" w:sz="6" w:space="0" w:color="auto"/>
              <w:left w:val="nil"/>
              <w:bottom w:val="single" w:sz="6" w:space="0" w:color="auto"/>
              <w:right w:val="nil"/>
            </w:tcBorders>
            <w:shd w:val="clear" w:color="000000" w:fill="000000"/>
          </w:tcPr>
          <w:p w:rsidR="00B03921" w:rsidRPr="00B04006" w:rsidRDefault="00B03921" w:rsidP="00016914">
            <w:pPr>
              <w:pStyle w:val="Tabletextheading"/>
              <w:rPr>
                <w:rFonts w:eastAsiaTheme="minorEastAsia"/>
                <w:iCs/>
                <w:color w:val="FFFFFF"/>
                <w:lang w:eastAsia="en-AU"/>
              </w:rPr>
            </w:pPr>
            <w:r w:rsidRPr="00B04006">
              <w:rPr>
                <w:rFonts w:eastAsiaTheme="minorEastAsia"/>
                <w:iCs/>
                <w:color w:val="FFFFFF"/>
                <w:lang w:eastAsia="en-AU"/>
              </w:rPr>
              <w:t>Contributions by owner</w:t>
            </w:r>
          </w:p>
        </w:tc>
        <w:tc>
          <w:tcPr>
            <w:tcW w:w="1119" w:type="dxa"/>
            <w:tcBorders>
              <w:top w:val="single" w:sz="6" w:space="0" w:color="auto"/>
              <w:left w:val="nil"/>
              <w:bottom w:val="single" w:sz="6" w:space="0" w:color="auto"/>
              <w:right w:val="nil"/>
            </w:tcBorders>
            <w:shd w:val="clear" w:color="000000" w:fill="000000"/>
          </w:tcPr>
          <w:p w:rsidR="00B03921" w:rsidRPr="00B04006" w:rsidRDefault="00B03921" w:rsidP="00016914">
            <w:pPr>
              <w:pStyle w:val="Tabletextheading"/>
              <w:rPr>
                <w:rFonts w:eastAsiaTheme="minorEastAsia"/>
                <w:iCs/>
                <w:color w:val="FFFFFF"/>
                <w:lang w:eastAsia="en-AU"/>
              </w:rPr>
            </w:pPr>
            <w:r w:rsidRPr="00B04006">
              <w:rPr>
                <w:rFonts w:eastAsiaTheme="minorEastAsia"/>
                <w:iCs/>
                <w:color w:val="FFFFFF"/>
                <w:lang w:eastAsia="en-AU"/>
              </w:rPr>
              <w:t>Revaluation surplus</w:t>
            </w:r>
          </w:p>
        </w:tc>
        <w:tc>
          <w:tcPr>
            <w:tcW w:w="812" w:type="dxa"/>
            <w:tcBorders>
              <w:top w:val="single" w:sz="6" w:space="0" w:color="auto"/>
              <w:left w:val="nil"/>
              <w:bottom w:val="single" w:sz="6" w:space="0" w:color="auto"/>
              <w:right w:val="nil"/>
            </w:tcBorders>
            <w:shd w:val="clear" w:color="000000" w:fill="000000"/>
          </w:tcPr>
          <w:p w:rsidR="00B03921" w:rsidRPr="00B04006" w:rsidRDefault="00B03921" w:rsidP="00016914">
            <w:pPr>
              <w:pStyle w:val="Tabletextheading"/>
              <w:rPr>
                <w:rFonts w:eastAsiaTheme="minorEastAsia"/>
                <w:iCs/>
                <w:color w:val="FFFFFF"/>
                <w:lang w:eastAsia="en-AU"/>
              </w:rPr>
            </w:pPr>
            <w:r w:rsidRPr="00B04006">
              <w:rPr>
                <w:rFonts w:eastAsiaTheme="minorEastAsia"/>
                <w:iCs/>
                <w:color w:val="FFFFFF"/>
                <w:lang w:eastAsia="en-AU"/>
              </w:rPr>
              <w:t>Other reserves</w:t>
            </w:r>
          </w:p>
        </w:tc>
        <w:tc>
          <w:tcPr>
            <w:tcW w:w="772" w:type="dxa"/>
            <w:tcBorders>
              <w:top w:val="single" w:sz="6" w:space="0" w:color="auto"/>
              <w:left w:val="nil"/>
              <w:bottom w:val="single" w:sz="6" w:space="0" w:color="auto"/>
              <w:right w:val="single" w:sz="6" w:space="0" w:color="auto"/>
            </w:tcBorders>
            <w:shd w:val="clear" w:color="000000" w:fill="000000"/>
          </w:tcPr>
          <w:p w:rsidR="00B03921" w:rsidRPr="00B04006" w:rsidRDefault="00B03921" w:rsidP="00016914">
            <w:pPr>
              <w:pStyle w:val="Tabletextheading"/>
              <w:rPr>
                <w:rFonts w:eastAsiaTheme="minorEastAsia"/>
                <w:iCs/>
                <w:color w:val="FFFFFF"/>
                <w:lang w:eastAsia="en-AU"/>
              </w:rPr>
            </w:pPr>
            <w:r w:rsidRPr="00B04006">
              <w:rPr>
                <w:rFonts w:eastAsiaTheme="minorEastAsia"/>
                <w:iCs/>
                <w:color w:val="FFFFFF"/>
                <w:lang w:eastAsia="en-AU"/>
              </w:rPr>
              <w:t xml:space="preserve">Total equity </w:t>
            </w:r>
          </w:p>
        </w:tc>
      </w:tr>
      <w:tr w:rsidR="00B03921" w:rsidRPr="00B04006" w:rsidTr="00016914">
        <w:trPr>
          <w:cantSplit/>
        </w:trPr>
        <w:tc>
          <w:tcPr>
            <w:tcW w:w="2859" w:type="dxa"/>
            <w:gridSpan w:val="2"/>
            <w:tcBorders>
              <w:top w:val="single" w:sz="6" w:space="0" w:color="auto"/>
              <w:left w:val="nil"/>
              <w:bottom w:val="nil"/>
              <w:right w:val="nil"/>
            </w:tcBorders>
          </w:tcPr>
          <w:p w:rsidR="00B03921" w:rsidRPr="00B04006" w:rsidRDefault="00B03921" w:rsidP="00016914">
            <w:pPr>
              <w:pStyle w:val="Tabletext"/>
              <w:rPr>
                <w:rFonts w:eastAsiaTheme="minorEastAsia"/>
                <w:b/>
                <w:bCs/>
                <w:lang w:eastAsia="en-AU"/>
              </w:rPr>
            </w:pPr>
            <w:r w:rsidRPr="00B04006">
              <w:rPr>
                <w:rFonts w:eastAsiaTheme="minorEastAsia"/>
                <w:b/>
                <w:bCs/>
                <w:lang w:eastAsia="en-AU"/>
              </w:rPr>
              <w:t>Opening balance 1 July 2013</w:t>
            </w:r>
          </w:p>
        </w:tc>
        <w:tc>
          <w:tcPr>
            <w:tcW w:w="925"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700.2</w:t>
            </w:r>
          </w:p>
        </w:tc>
        <w:tc>
          <w:tcPr>
            <w:tcW w:w="1273"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1 570.2</w:t>
            </w:r>
          </w:p>
        </w:tc>
        <w:tc>
          <w:tcPr>
            <w:tcW w:w="1119"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1 540.0</w:t>
            </w:r>
          </w:p>
        </w:tc>
        <w:tc>
          <w:tcPr>
            <w:tcW w:w="81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w:t>
            </w:r>
          </w:p>
        </w:tc>
        <w:tc>
          <w:tcPr>
            <w:tcW w:w="77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3 810.4</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Comprehensive result</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56.2</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Pr>
                <w:rFonts w:eastAsiaTheme="minorEastAsia"/>
                <w:lang w:eastAsia="en-AU"/>
              </w:rPr>
              <w:t>(1.6)</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54.6</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Transactions with owners in their capacity as owners</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229.4</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229.4</w:t>
            </w:r>
          </w:p>
        </w:tc>
      </w:tr>
      <w:tr w:rsidR="00B03921" w:rsidRPr="00B04006" w:rsidTr="00016914">
        <w:trPr>
          <w:cantSplit/>
        </w:trPr>
        <w:tc>
          <w:tcPr>
            <w:tcW w:w="2859" w:type="dxa"/>
            <w:gridSpan w:val="2"/>
            <w:tcBorders>
              <w:top w:val="single" w:sz="6" w:space="0" w:color="auto"/>
              <w:left w:val="nil"/>
              <w:bottom w:val="nil"/>
              <w:right w:val="nil"/>
            </w:tcBorders>
          </w:tcPr>
          <w:p w:rsidR="00B03921" w:rsidRPr="00B04006" w:rsidRDefault="00B03921" w:rsidP="00016914">
            <w:pPr>
              <w:pStyle w:val="Tabletext"/>
              <w:rPr>
                <w:rFonts w:eastAsiaTheme="minorEastAsia"/>
                <w:b/>
                <w:bCs/>
                <w:vertAlign w:val="superscript"/>
                <w:lang w:eastAsia="en-AU"/>
              </w:rPr>
            </w:pPr>
            <w:r w:rsidRPr="00B04006">
              <w:rPr>
                <w:rFonts w:eastAsiaTheme="minorEastAsia"/>
                <w:b/>
                <w:bCs/>
                <w:lang w:eastAsia="en-AU"/>
              </w:rPr>
              <w:t>Closing balance 30 June 2014 (actual)</w:t>
            </w:r>
            <w:r w:rsidRPr="00B04006">
              <w:rPr>
                <w:rFonts w:eastAsiaTheme="minorEastAsia"/>
                <w:b/>
                <w:bCs/>
                <w:vertAlign w:val="superscript"/>
                <w:lang w:eastAsia="en-AU"/>
              </w:rPr>
              <w:t>(a)</w:t>
            </w:r>
          </w:p>
        </w:tc>
        <w:tc>
          <w:tcPr>
            <w:tcW w:w="925"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756.4</w:t>
            </w:r>
          </w:p>
        </w:tc>
        <w:tc>
          <w:tcPr>
            <w:tcW w:w="1273"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1 799.6</w:t>
            </w:r>
          </w:p>
        </w:tc>
        <w:tc>
          <w:tcPr>
            <w:tcW w:w="1119"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1 538.4</w:t>
            </w:r>
          </w:p>
        </w:tc>
        <w:tc>
          <w:tcPr>
            <w:tcW w:w="81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w:t>
            </w:r>
          </w:p>
        </w:tc>
        <w:tc>
          <w:tcPr>
            <w:tcW w:w="77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4 094.4</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Comprehensive result</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Pr>
                <w:rFonts w:eastAsiaTheme="minorEastAsia"/>
                <w:lang w:eastAsia="en-AU"/>
              </w:rPr>
              <w:t>(2.0)</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Pr>
                <w:rFonts w:eastAsiaTheme="minorEastAsia"/>
                <w:b/>
                <w:bCs/>
                <w:lang w:eastAsia="en-AU"/>
              </w:rPr>
              <w:t>(2.0)</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Transactions with owners in their capacity as owners</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20.6</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20.6</w:t>
            </w:r>
          </w:p>
        </w:tc>
      </w:tr>
      <w:tr w:rsidR="00B03921" w:rsidRPr="00B04006" w:rsidTr="00016914">
        <w:trPr>
          <w:cantSplit/>
        </w:trPr>
        <w:tc>
          <w:tcPr>
            <w:tcW w:w="2859" w:type="dxa"/>
            <w:gridSpan w:val="2"/>
            <w:tcBorders>
              <w:top w:val="single" w:sz="6" w:space="0" w:color="auto"/>
              <w:left w:val="nil"/>
              <w:bottom w:val="nil"/>
              <w:right w:val="nil"/>
            </w:tcBorders>
          </w:tcPr>
          <w:p w:rsidR="00B03921" w:rsidRPr="00B04006" w:rsidRDefault="00B03921" w:rsidP="00016914">
            <w:pPr>
              <w:pStyle w:val="Tabletext"/>
              <w:rPr>
                <w:rFonts w:eastAsiaTheme="minorEastAsia"/>
                <w:b/>
                <w:bCs/>
                <w:vertAlign w:val="superscript"/>
                <w:lang w:eastAsia="en-AU"/>
              </w:rPr>
            </w:pPr>
            <w:r w:rsidRPr="00B04006">
              <w:rPr>
                <w:rFonts w:eastAsiaTheme="minorEastAsia"/>
                <w:b/>
                <w:bCs/>
                <w:lang w:eastAsia="en-AU"/>
              </w:rPr>
              <w:t>Closing balance 30 June 2015 (budget)</w:t>
            </w:r>
            <w:r w:rsidRPr="00B04006">
              <w:rPr>
                <w:rFonts w:eastAsiaTheme="minorEastAsia"/>
                <w:b/>
                <w:bCs/>
                <w:vertAlign w:val="superscript"/>
                <w:lang w:eastAsia="en-AU"/>
              </w:rPr>
              <w:t>(a)(b)</w:t>
            </w:r>
          </w:p>
        </w:tc>
        <w:tc>
          <w:tcPr>
            <w:tcW w:w="925"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754.4</w:t>
            </w:r>
          </w:p>
        </w:tc>
        <w:tc>
          <w:tcPr>
            <w:tcW w:w="1273"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1 820.2</w:t>
            </w:r>
          </w:p>
        </w:tc>
        <w:tc>
          <w:tcPr>
            <w:tcW w:w="1119"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1 538.4</w:t>
            </w:r>
          </w:p>
        </w:tc>
        <w:tc>
          <w:tcPr>
            <w:tcW w:w="81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w:t>
            </w:r>
          </w:p>
        </w:tc>
        <w:tc>
          <w:tcPr>
            <w:tcW w:w="77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4 113.0</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Comprehensive result</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Pr>
                <w:rFonts w:eastAsiaTheme="minorEastAsia"/>
                <w:lang w:eastAsia="en-AU"/>
              </w:rPr>
              <w:t>(15.9)</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Pr>
                <w:rFonts w:eastAsiaTheme="minorEastAsia"/>
                <w:b/>
                <w:bCs/>
                <w:lang w:eastAsia="en-AU"/>
              </w:rPr>
              <w:t>(15.9)</w:t>
            </w:r>
          </w:p>
        </w:tc>
      </w:tr>
      <w:tr w:rsidR="00B03921" w:rsidRPr="00B04006" w:rsidTr="00016914">
        <w:trPr>
          <w:cantSplit/>
        </w:trPr>
        <w:tc>
          <w:tcPr>
            <w:tcW w:w="2859" w:type="dxa"/>
            <w:gridSpan w:val="2"/>
            <w:tcBorders>
              <w:top w:val="nil"/>
              <w:left w:val="nil"/>
              <w:bottom w:val="single" w:sz="6" w:space="0" w:color="auto"/>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Transactions with owners in their capacity as owners</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10.3</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Pr>
                <w:rFonts w:eastAsiaTheme="minorEastAsia"/>
                <w:lang w:eastAsia="en-AU"/>
              </w:rPr>
              <w:t>(141.4)</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Pr>
                <w:rFonts w:eastAsiaTheme="minorEastAsia"/>
                <w:b/>
                <w:bCs/>
                <w:lang w:eastAsia="en-AU"/>
              </w:rPr>
              <w:t>(131.0)</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b/>
                <w:bCs/>
                <w:vertAlign w:val="superscript"/>
                <w:lang w:eastAsia="en-AU"/>
              </w:rPr>
            </w:pPr>
            <w:r w:rsidRPr="00B04006">
              <w:rPr>
                <w:rFonts w:eastAsiaTheme="minorEastAsia"/>
                <w:b/>
                <w:bCs/>
                <w:lang w:eastAsia="en-AU"/>
              </w:rPr>
              <w:t>Closing balance 30 June 2015 (revised)</w:t>
            </w:r>
            <w:r w:rsidRPr="00B04006">
              <w:rPr>
                <w:rFonts w:eastAsiaTheme="minorEastAsia"/>
                <w:b/>
                <w:bCs/>
                <w:vertAlign w:val="superscript"/>
                <w:lang w:eastAsia="en-AU"/>
              </w:rPr>
              <w:t>(c)</w:t>
            </w:r>
          </w:p>
        </w:tc>
        <w:tc>
          <w:tcPr>
            <w:tcW w:w="925"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750.9</w:t>
            </w:r>
          </w:p>
        </w:tc>
        <w:tc>
          <w:tcPr>
            <w:tcW w:w="1273"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1 658.3</w:t>
            </w:r>
          </w:p>
        </w:tc>
        <w:tc>
          <w:tcPr>
            <w:tcW w:w="1119"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1 538.4</w:t>
            </w:r>
          </w:p>
        </w:tc>
        <w:tc>
          <w:tcPr>
            <w:tcW w:w="81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w:t>
            </w:r>
          </w:p>
        </w:tc>
        <w:tc>
          <w:tcPr>
            <w:tcW w:w="772" w:type="dxa"/>
            <w:tcBorders>
              <w:top w:val="single" w:sz="6" w:space="0" w:color="auto"/>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3 947.5</w:t>
            </w:r>
          </w:p>
        </w:tc>
      </w:tr>
      <w:tr w:rsidR="00B03921" w:rsidRPr="00B04006" w:rsidTr="00016914">
        <w:trPr>
          <w:cantSplit/>
        </w:trPr>
        <w:tc>
          <w:tcPr>
            <w:tcW w:w="2859" w:type="dxa"/>
            <w:gridSpan w:val="2"/>
            <w:tcBorders>
              <w:top w:val="nil"/>
              <w:left w:val="nil"/>
              <w:bottom w:val="nil"/>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Comprehensive result</w:t>
            </w:r>
          </w:p>
        </w:tc>
        <w:tc>
          <w:tcPr>
            <w:tcW w:w="925"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31.0</w:t>
            </w:r>
          </w:p>
        </w:tc>
        <w:tc>
          <w:tcPr>
            <w:tcW w:w="1273"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119"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nil"/>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nil"/>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31.0</w:t>
            </w:r>
          </w:p>
        </w:tc>
      </w:tr>
      <w:tr w:rsidR="00B03921" w:rsidRPr="00B04006" w:rsidTr="00016914">
        <w:trPr>
          <w:cantSplit/>
        </w:trPr>
        <w:tc>
          <w:tcPr>
            <w:tcW w:w="2859" w:type="dxa"/>
            <w:gridSpan w:val="2"/>
            <w:tcBorders>
              <w:top w:val="nil"/>
              <w:left w:val="nil"/>
              <w:bottom w:val="single" w:sz="6" w:space="0" w:color="auto"/>
              <w:right w:val="nil"/>
            </w:tcBorders>
          </w:tcPr>
          <w:p w:rsidR="00B03921" w:rsidRPr="00B04006" w:rsidRDefault="00B03921" w:rsidP="00016914">
            <w:pPr>
              <w:pStyle w:val="Tabletext"/>
              <w:rPr>
                <w:rFonts w:eastAsiaTheme="minorEastAsia"/>
                <w:lang w:eastAsia="en-AU"/>
              </w:rPr>
            </w:pPr>
            <w:r w:rsidRPr="00B04006">
              <w:rPr>
                <w:rFonts w:eastAsiaTheme="minorEastAsia"/>
                <w:lang w:eastAsia="en-AU"/>
              </w:rPr>
              <w:t>Transactions with owners in their capacity as owners</w:t>
            </w:r>
          </w:p>
        </w:tc>
        <w:tc>
          <w:tcPr>
            <w:tcW w:w="925" w:type="dxa"/>
            <w:tcBorders>
              <w:top w:val="nil"/>
              <w:left w:val="nil"/>
              <w:bottom w:val="single" w:sz="6" w:space="0" w:color="auto"/>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1273" w:type="dxa"/>
            <w:tcBorders>
              <w:top w:val="nil"/>
              <w:left w:val="nil"/>
              <w:bottom w:val="single" w:sz="6" w:space="0" w:color="auto"/>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 xml:space="preserve"> 340.5</w:t>
            </w:r>
          </w:p>
        </w:tc>
        <w:tc>
          <w:tcPr>
            <w:tcW w:w="1119" w:type="dxa"/>
            <w:tcBorders>
              <w:top w:val="nil"/>
              <w:left w:val="nil"/>
              <w:bottom w:val="single" w:sz="6" w:space="0" w:color="auto"/>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812" w:type="dxa"/>
            <w:tcBorders>
              <w:top w:val="nil"/>
              <w:left w:val="nil"/>
              <w:bottom w:val="single" w:sz="6" w:space="0" w:color="auto"/>
              <w:right w:val="nil"/>
            </w:tcBorders>
          </w:tcPr>
          <w:p w:rsidR="00B03921" w:rsidRPr="00B04006" w:rsidRDefault="00B03921" w:rsidP="00016914">
            <w:pPr>
              <w:pStyle w:val="TableofFigures"/>
              <w:rPr>
                <w:rFonts w:eastAsiaTheme="minorEastAsia"/>
                <w:lang w:eastAsia="en-AU"/>
              </w:rPr>
            </w:pPr>
            <w:r w:rsidRPr="00B04006">
              <w:rPr>
                <w:rFonts w:eastAsiaTheme="minorEastAsia"/>
                <w:lang w:eastAsia="en-AU"/>
              </w:rPr>
              <w:t>..</w:t>
            </w:r>
          </w:p>
        </w:tc>
        <w:tc>
          <w:tcPr>
            <w:tcW w:w="772" w:type="dxa"/>
            <w:tcBorders>
              <w:top w:val="nil"/>
              <w:left w:val="nil"/>
              <w:bottom w:val="single" w:sz="6" w:space="0" w:color="auto"/>
              <w:right w:val="nil"/>
            </w:tcBorders>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340.5</w:t>
            </w:r>
          </w:p>
        </w:tc>
      </w:tr>
      <w:tr w:rsidR="00B03921" w:rsidRPr="00B04006" w:rsidTr="00016914">
        <w:trPr>
          <w:cantSplit/>
        </w:trPr>
        <w:tc>
          <w:tcPr>
            <w:tcW w:w="2859" w:type="dxa"/>
            <w:gridSpan w:val="2"/>
            <w:tcBorders>
              <w:top w:val="single" w:sz="6" w:space="0" w:color="auto"/>
              <w:left w:val="nil"/>
              <w:bottom w:val="single" w:sz="12" w:space="0" w:color="000000"/>
              <w:right w:val="nil"/>
            </w:tcBorders>
            <w:shd w:val="clear" w:color="auto" w:fill="auto"/>
          </w:tcPr>
          <w:p w:rsidR="00B03921" w:rsidRPr="00B04006" w:rsidRDefault="00B03921" w:rsidP="00016914">
            <w:pPr>
              <w:pStyle w:val="Tabletext"/>
              <w:rPr>
                <w:rFonts w:eastAsiaTheme="minorEastAsia"/>
                <w:b/>
                <w:bCs/>
                <w:vertAlign w:val="superscript"/>
                <w:lang w:eastAsia="en-AU"/>
              </w:rPr>
            </w:pPr>
            <w:r w:rsidRPr="00B04006">
              <w:rPr>
                <w:rFonts w:eastAsiaTheme="minorEastAsia"/>
                <w:b/>
                <w:bCs/>
                <w:lang w:eastAsia="en-AU"/>
              </w:rPr>
              <w:t>Closing balance 30 June 2016 (budget)</w:t>
            </w:r>
            <w:r w:rsidRPr="00B04006">
              <w:rPr>
                <w:rFonts w:eastAsiaTheme="minorEastAsia"/>
                <w:b/>
                <w:bCs/>
                <w:vertAlign w:val="superscript"/>
                <w:lang w:eastAsia="en-AU"/>
              </w:rPr>
              <w:t>(c)</w:t>
            </w:r>
          </w:p>
        </w:tc>
        <w:tc>
          <w:tcPr>
            <w:tcW w:w="925" w:type="dxa"/>
            <w:tcBorders>
              <w:top w:val="single" w:sz="6" w:space="0" w:color="auto"/>
              <w:left w:val="nil"/>
              <w:bottom w:val="single" w:sz="12" w:space="0" w:color="000000"/>
              <w:right w:val="nil"/>
            </w:tcBorders>
            <w:shd w:val="clear" w:color="auto" w:fill="auto"/>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 xml:space="preserve"> 781.8</w:t>
            </w:r>
          </w:p>
        </w:tc>
        <w:tc>
          <w:tcPr>
            <w:tcW w:w="1273" w:type="dxa"/>
            <w:tcBorders>
              <w:top w:val="single" w:sz="6" w:space="0" w:color="auto"/>
              <w:left w:val="nil"/>
              <w:bottom w:val="single" w:sz="12" w:space="0" w:color="000000"/>
              <w:right w:val="nil"/>
            </w:tcBorders>
            <w:shd w:val="clear" w:color="auto" w:fill="auto"/>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1 998.8</w:t>
            </w:r>
          </w:p>
        </w:tc>
        <w:tc>
          <w:tcPr>
            <w:tcW w:w="1119" w:type="dxa"/>
            <w:tcBorders>
              <w:top w:val="single" w:sz="6" w:space="0" w:color="auto"/>
              <w:left w:val="nil"/>
              <w:bottom w:val="single" w:sz="12" w:space="0" w:color="000000"/>
              <w:right w:val="nil"/>
            </w:tcBorders>
            <w:shd w:val="clear" w:color="auto" w:fill="auto"/>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1 538.4</w:t>
            </w:r>
          </w:p>
        </w:tc>
        <w:tc>
          <w:tcPr>
            <w:tcW w:w="812" w:type="dxa"/>
            <w:tcBorders>
              <w:top w:val="single" w:sz="6" w:space="0" w:color="auto"/>
              <w:left w:val="nil"/>
              <w:bottom w:val="single" w:sz="12" w:space="0" w:color="000000"/>
              <w:right w:val="nil"/>
            </w:tcBorders>
            <w:shd w:val="clear" w:color="auto" w:fill="auto"/>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w:t>
            </w:r>
          </w:p>
        </w:tc>
        <w:tc>
          <w:tcPr>
            <w:tcW w:w="772" w:type="dxa"/>
            <w:tcBorders>
              <w:top w:val="single" w:sz="6" w:space="0" w:color="auto"/>
              <w:left w:val="nil"/>
              <w:bottom w:val="single" w:sz="12" w:space="0" w:color="000000"/>
              <w:right w:val="nil"/>
            </w:tcBorders>
            <w:shd w:val="clear" w:color="auto" w:fill="auto"/>
          </w:tcPr>
          <w:p w:rsidR="00B03921" w:rsidRPr="00B04006" w:rsidRDefault="00B03921" w:rsidP="00016914">
            <w:pPr>
              <w:pStyle w:val="TableofFigures"/>
              <w:rPr>
                <w:rFonts w:eastAsiaTheme="minorEastAsia"/>
                <w:b/>
                <w:bCs/>
                <w:lang w:eastAsia="en-AU"/>
              </w:rPr>
            </w:pPr>
            <w:r w:rsidRPr="00B04006">
              <w:rPr>
                <w:rFonts w:eastAsiaTheme="minorEastAsia"/>
                <w:b/>
                <w:bCs/>
                <w:lang w:eastAsia="en-AU"/>
              </w:rPr>
              <w:t>4 319.0</w:t>
            </w:r>
          </w:p>
        </w:tc>
      </w:tr>
    </w:tbl>
    <w:p w:rsidR="00B03921" w:rsidRDefault="00B03921" w:rsidP="00016914">
      <w:pPr>
        <w:pStyle w:val="Source"/>
      </w:pPr>
      <w:r w:rsidRPr="001D350D">
        <w:t>Source</w:t>
      </w:r>
      <w:r>
        <w:t>s</w:t>
      </w:r>
      <w:r w:rsidRPr="001D350D">
        <w:t xml:space="preserve">: </w:t>
      </w:r>
      <w:r>
        <w:t>Departments of Justice and Regulation,</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 former </w:t>
      </w:r>
      <w:r>
        <w:t>Department of Justice</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spacing w:after="60"/>
      </w:pPr>
      <w:r>
        <w:t>Table 3.5.5:</w:t>
      </w:r>
      <w:r>
        <w:tab/>
        <w:t>Administered items statement</w:t>
      </w:r>
    </w:p>
    <w:p w:rsidR="00B03921" w:rsidRPr="00FE4FB8" w:rsidRDefault="00B03921" w:rsidP="00016914">
      <w:pPr>
        <w:pStyle w:val="million"/>
        <w:rPr>
          <w:rFonts w:ascii="Times New Roman" w:hAnsi="Times New Roman"/>
          <w:i w:val="0"/>
          <w:sz w:val="20"/>
          <w:szCs w:val="20"/>
          <w:lang w:eastAsia="en-AU"/>
        </w:rPr>
      </w:pPr>
      <w:r>
        <w:t>($ million)</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162C1B" w:rsidRPr="00FE4FB8" w:rsidTr="00975CAD">
        <w:trPr>
          <w:gridAfter w:val="1"/>
          <w:wAfter w:w="37" w:type="dxa"/>
          <w:trHeight w:val="479"/>
          <w:tblHeader/>
        </w:trPr>
        <w:tc>
          <w:tcPr>
            <w:tcW w:w="3784" w:type="dxa"/>
            <w:tcBorders>
              <w:top w:val="single" w:sz="6" w:space="0" w:color="auto"/>
              <w:left w:val="single" w:sz="6" w:space="0" w:color="auto"/>
              <w:right w:val="nil"/>
            </w:tcBorders>
            <w:shd w:val="clear" w:color="000000" w:fill="000000"/>
          </w:tcPr>
          <w:p w:rsidR="00162C1B" w:rsidRPr="00FE4FB8" w:rsidRDefault="00162C1B" w:rsidP="00016914">
            <w:pPr>
              <w:pStyle w:val="Tabletext"/>
              <w:rPr>
                <w:rFonts w:eastAsiaTheme="minorEastAsia"/>
                <w:sz w:val="19"/>
                <w:lang w:eastAsia="en-AU"/>
              </w:rPr>
            </w:pP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sz w:val="19"/>
                <w:lang w:eastAsia="en-AU"/>
              </w:rPr>
            </w:pPr>
            <w:r w:rsidRPr="00FE4FB8">
              <w:rPr>
                <w:rFonts w:eastAsiaTheme="minorEastAsia"/>
                <w:iCs/>
                <w:color w:val="FFFFFF"/>
                <w:sz w:val="19"/>
                <w:lang w:eastAsia="en-AU"/>
              </w:rPr>
              <w:t>2013-14</w:t>
            </w:r>
            <w:r>
              <w:rPr>
                <w:rFonts w:eastAsiaTheme="minorEastAsia"/>
                <w:iCs/>
                <w:color w:val="FFFFFF"/>
                <w:sz w:val="19"/>
                <w:lang w:eastAsia="en-AU"/>
              </w:rPr>
              <w:t xml:space="preserve"> </w:t>
            </w:r>
            <w:r w:rsidRPr="00FE4FB8">
              <w:rPr>
                <w:rFonts w:eastAsiaTheme="minorEastAsia"/>
                <w:iCs/>
                <w:color w:val="FFFFFF"/>
                <w:sz w:val="19"/>
                <w:lang w:eastAsia="en-AU"/>
              </w:rPr>
              <w:t>actual</w:t>
            </w:r>
            <w:r w:rsidRPr="00FE4FB8">
              <w:rPr>
                <w:rFonts w:eastAsiaTheme="minorEastAsia"/>
                <w:iCs/>
                <w:color w:val="FFFFFF"/>
                <w:sz w:val="19"/>
                <w:vertAlign w:val="superscript"/>
                <w:lang w:eastAsia="en-AU"/>
              </w:rPr>
              <w:t>(a)</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budget</w:t>
            </w:r>
            <w:r w:rsidRPr="00FE4FB8">
              <w:rPr>
                <w:rFonts w:eastAsiaTheme="minorEastAsia"/>
                <w:iCs/>
                <w:color w:val="FFFFFF"/>
                <w:sz w:val="19"/>
                <w:vertAlign w:val="superscript"/>
                <w:lang w:eastAsia="en-AU"/>
              </w:rPr>
              <w:t>(a)(b)</w:t>
            </w:r>
          </w:p>
        </w:tc>
        <w:tc>
          <w:tcPr>
            <w:tcW w:w="994"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revised</w:t>
            </w:r>
            <w:r w:rsidRPr="00FE4FB8">
              <w:rPr>
                <w:rFonts w:eastAsiaTheme="minorEastAsia"/>
                <w:iCs/>
                <w:color w:val="FFFFFF"/>
                <w:sz w:val="19"/>
                <w:vertAlign w:val="superscript"/>
                <w:lang w:eastAsia="en-AU"/>
              </w:rPr>
              <w:t>(c)</w:t>
            </w:r>
          </w:p>
        </w:tc>
        <w:tc>
          <w:tcPr>
            <w:tcW w:w="994" w:type="dxa"/>
            <w:tcBorders>
              <w:top w:val="single" w:sz="6" w:space="0" w:color="auto"/>
              <w:left w:val="nil"/>
              <w:right w:val="single" w:sz="6" w:space="0" w:color="auto"/>
            </w:tcBorders>
            <w:shd w:val="clear" w:color="000000" w:fill="000000"/>
          </w:tcPr>
          <w:p w:rsidR="00162C1B" w:rsidRPr="00FE4FB8" w:rsidRDefault="00162C1B" w:rsidP="00162C1B">
            <w:pPr>
              <w:pStyle w:val="Tabletextheading"/>
              <w:rPr>
                <w:rFonts w:eastAsiaTheme="minorEastAsia"/>
                <w:iCs/>
                <w:color w:val="FFFFFF"/>
                <w:sz w:val="19"/>
                <w:lang w:eastAsia="en-AU"/>
              </w:rPr>
            </w:pPr>
            <w:r w:rsidRPr="00FE4FB8">
              <w:rPr>
                <w:rFonts w:eastAsiaTheme="minorEastAsia"/>
                <w:iCs/>
                <w:color w:val="FFFFFF"/>
                <w:sz w:val="19"/>
                <w:lang w:eastAsia="en-AU"/>
              </w:rPr>
              <w:t>2015-16</w:t>
            </w:r>
            <w:r>
              <w:rPr>
                <w:rFonts w:eastAsiaTheme="minorEastAsia"/>
                <w:iCs/>
                <w:color w:val="FFFFFF"/>
                <w:sz w:val="19"/>
                <w:lang w:eastAsia="en-AU"/>
              </w:rPr>
              <w:t xml:space="preserve"> </w:t>
            </w:r>
            <w:r w:rsidRPr="00FE4FB8">
              <w:rPr>
                <w:rFonts w:eastAsiaTheme="minorEastAsia"/>
                <w:iCs/>
                <w:color w:val="FFFFFF"/>
                <w:sz w:val="19"/>
                <w:lang w:eastAsia="en-AU"/>
              </w:rPr>
              <w:t>budget</w:t>
            </w:r>
            <w:r w:rsidRPr="00FE4FB8">
              <w:rPr>
                <w:rFonts w:eastAsiaTheme="minorEastAsia"/>
                <w:iCs/>
                <w:color w:val="FFFFFF"/>
                <w:sz w:val="19"/>
                <w:vertAlign w:val="superscript"/>
                <w:lang w:eastAsia="en-AU"/>
              </w:rPr>
              <w:t>(c)</w:t>
            </w:r>
          </w:p>
        </w:tc>
      </w:tr>
      <w:tr w:rsidR="00162C1B" w:rsidRPr="00FE4FB8" w:rsidTr="00975CAD">
        <w:trPr>
          <w:gridAfter w:val="1"/>
          <w:wAfter w:w="37" w:type="dxa"/>
        </w:trPr>
        <w:tc>
          <w:tcPr>
            <w:tcW w:w="7760" w:type="dxa"/>
            <w:gridSpan w:val="5"/>
            <w:tcBorders>
              <w:top w:val="single" w:sz="6" w:space="0" w:color="auto"/>
              <w:left w:val="nil"/>
              <w:bottom w:val="nil"/>
              <w:right w:val="nil"/>
            </w:tcBorders>
          </w:tcPr>
          <w:p w:rsidR="00162C1B" w:rsidRPr="00FE4FB8" w:rsidRDefault="00162C1B" w:rsidP="00162C1B">
            <w:pPr>
              <w:pStyle w:val="Tabletext"/>
              <w:rPr>
                <w:rFonts w:eastAsiaTheme="minorEastAsia"/>
                <w:b/>
                <w:sz w:val="19"/>
                <w:lang w:eastAsia="en-AU"/>
              </w:rPr>
            </w:pPr>
            <w:r w:rsidRPr="00FE4FB8">
              <w:rPr>
                <w:rFonts w:eastAsiaTheme="minorEastAsia"/>
                <w:b/>
                <w:bCs/>
                <w:sz w:val="19"/>
                <w:lang w:eastAsia="en-AU"/>
              </w:rPr>
              <w:t>Administered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Appropriations – payments made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28.6</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54.5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54.5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54.5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589.2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18.5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9.8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500.7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395.4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442.1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445.6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9.3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9.4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7.2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11.5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7.8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17.7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17.5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2 324.8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2 569.1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2 504.8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2 605.0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3 460.0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3 056.7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3 047.0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3 139.6</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sz w:val="19"/>
                <w:lang w:eastAsia="en-AU"/>
              </w:rPr>
            </w:pPr>
            <w:r>
              <w:rPr>
                <w:rFonts w:eastAsiaTheme="minorEastAsia"/>
                <w:sz w:val="19"/>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sz w:val="19"/>
                <w:lang w:eastAsia="en-AU"/>
              </w:rPr>
            </w:pPr>
            <w:r w:rsidRPr="00FE4FB8">
              <w:rPr>
                <w:rFonts w:eastAsiaTheme="minorEastAsia"/>
                <w:b/>
                <w:bCs/>
                <w:sz w:val="19"/>
                <w:lang w:eastAsia="en-AU"/>
              </w:rPr>
              <w:t>Administered expenses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564.2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12.7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13.2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13.4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35.3</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15.7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13.0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2 502.2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2 686.0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2 895.8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2 746.2</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3 101.7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2 714.5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2 922.0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2 763.7</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358.2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342.2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124.9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375.9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Other economic flows included in net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0.7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gains/(losses) from other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(268.8)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(280.9)</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(296.4)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(314.7)</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(266.6)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(280.2)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(295.7)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(314.0)</w:t>
            </w:r>
          </w:p>
        </w:tc>
      </w:tr>
      <w:tr w:rsidR="00B03921" w:rsidRPr="00FE4FB8" w:rsidTr="00016914">
        <w:trPr>
          <w:gridAfter w:val="1"/>
          <w:wAfter w:w="37" w:type="dxa"/>
        </w:trPr>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91.6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62.1</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(170.8)</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61.9</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bCs/>
                <w:sz w:val="19"/>
                <w:lang w:eastAsia="en-AU"/>
              </w:rPr>
            </w:pPr>
          </w:p>
        </w:tc>
      </w:tr>
      <w:tr w:rsidR="00162C1B" w:rsidRPr="00FE4FB8" w:rsidTr="00975CAD">
        <w:tc>
          <w:tcPr>
            <w:tcW w:w="7797" w:type="dxa"/>
            <w:gridSpan w:val="6"/>
            <w:tcBorders>
              <w:top w:val="nil"/>
              <w:left w:val="nil"/>
              <w:bottom w:val="nil"/>
              <w:right w:val="nil"/>
            </w:tcBorders>
          </w:tcPr>
          <w:p w:rsidR="00162C1B" w:rsidRPr="00FE4FB8" w:rsidRDefault="00162C1B" w:rsidP="00162C1B">
            <w:pPr>
              <w:pStyle w:val="Tabletext"/>
              <w:rPr>
                <w:rFonts w:eastAsiaTheme="minorEastAsia"/>
                <w:b/>
                <w:bCs/>
                <w:sz w:val="19"/>
                <w:lang w:eastAsia="en-AU"/>
              </w:rPr>
            </w:pPr>
            <w:r w:rsidRPr="00FE4FB8">
              <w:rPr>
                <w:rFonts w:eastAsiaTheme="minorEastAsia"/>
                <w:b/>
                <w:bCs/>
                <w:sz w:val="19"/>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Adjustment to accumulated surplus/(deficit) due to a change in accounting policy</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(15.2)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(15.2)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76.4</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62.1</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(170.8)</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61.9</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bCs/>
                <w:sz w:val="19"/>
                <w:lang w:eastAsia="en-AU"/>
              </w:rPr>
            </w:pPr>
            <w:r w:rsidRPr="00FE4FB8">
              <w:rPr>
                <w:rFonts w:eastAsiaTheme="minorEastAsia"/>
                <w:b/>
                <w:bCs/>
                <w:sz w:val="19"/>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sz w:val="19"/>
                <w:lang w:eastAsia="en-AU"/>
              </w:rPr>
            </w:pPr>
            <w:r w:rsidRPr="00FE4FB8">
              <w:rPr>
                <w:rFonts w:eastAsiaTheme="minorEastAsia"/>
                <w:b/>
                <w:bCs/>
                <w:sz w:val="19"/>
                <w:lang w:eastAsia="en-AU"/>
              </w:rPr>
              <w:t>Administered assets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75.5</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68.2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67.8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67.4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1 549.1</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1 475.4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1 726.4</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1 638.6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2.0</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1 624.6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1 545.7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1 796.2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1 709.9</w:t>
            </w:r>
          </w:p>
        </w:tc>
      </w:tr>
      <w:tr w:rsidR="00162C1B" w:rsidRPr="00FE4FB8" w:rsidTr="00975CAD">
        <w:trPr>
          <w:gridAfter w:val="1"/>
          <w:wAfter w:w="37" w:type="dxa"/>
          <w:trHeight w:hRule="exact" w:val="120"/>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sz w:val="19"/>
                <w:lang w:eastAsia="en-AU"/>
              </w:rPr>
            </w:pPr>
            <w:r w:rsidRPr="00FE4FB8">
              <w:rPr>
                <w:rFonts w:eastAsiaTheme="minorEastAsia"/>
                <w:sz w:val="19"/>
                <w:lang w:eastAsia="en-AU"/>
              </w:rPr>
              <w:t xml:space="preserve"> </w:t>
            </w:r>
          </w:p>
        </w:tc>
      </w:tr>
      <w:tr w:rsidR="00162C1B" w:rsidRPr="00FE4FB8" w:rsidTr="00975CAD">
        <w:trPr>
          <w:gridAfter w:val="1"/>
          <w:wAfter w:w="37" w:type="dxa"/>
        </w:trPr>
        <w:tc>
          <w:tcPr>
            <w:tcW w:w="7760" w:type="dxa"/>
            <w:gridSpan w:val="5"/>
            <w:tcBorders>
              <w:top w:val="nil"/>
              <w:left w:val="nil"/>
              <w:bottom w:val="nil"/>
              <w:right w:val="nil"/>
            </w:tcBorders>
          </w:tcPr>
          <w:p w:rsidR="00162C1B" w:rsidRPr="00FE4FB8" w:rsidRDefault="00162C1B" w:rsidP="00162C1B">
            <w:pPr>
              <w:pStyle w:val="Tabletext"/>
              <w:rPr>
                <w:rFonts w:eastAsiaTheme="minorEastAsia"/>
                <w:b/>
                <w:sz w:val="19"/>
                <w:lang w:eastAsia="en-AU"/>
              </w:rPr>
            </w:pPr>
            <w:r w:rsidRPr="00FE4FB8">
              <w:rPr>
                <w:rFonts w:eastAsiaTheme="minorEastAsia"/>
                <w:b/>
                <w:bCs/>
                <w:sz w:val="19"/>
                <w:lang w:eastAsia="en-AU"/>
              </w:rPr>
              <w:t>Administered liabilities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1 235.6</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1 094.2</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1 577.7</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1 429.5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2.6</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1.8</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1 238.2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1 096.0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1 579.4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1 431.3</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386.4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449.7</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216.8</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278.7</w:t>
            </w:r>
          </w:p>
        </w:tc>
      </w:tr>
    </w:tbl>
    <w:p w:rsidR="00B03921" w:rsidRDefault="00B03921" w:rsidP="00016914">
      <w:pPr>
        <w:pStyle w:val="Source"/>
      </w:pPr>
      <w:r w:rsidRPr="004F7ADD">
        <w:t xml:space="preserve">Sources: </w:t>
      </w:r>
      <w:r>
        <w:t>Departments of Justice and Regulation,</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 </w:t>
      </w:r>
      <w:r w:rsidRPr="00B0679B">
        <w:t>and 2014</w:t>
      </w:r>
      <w:r>
        <w:noBreakHyphen/>
      </w:r>
      <w:r w:rsidRPr="00B0679B">
        <w:t>15</w:t>
      </w:r>
      <w:r>
        <w:t xml:space="preserve"> budget</w:t>
      </w:r>
      <w:r w:rsidRPr="00B0679B">
        <w:t xml:space="preserve"> reflect the operatio</w:t>
      </w:r>
      <w:r>
        <w:t>ns of the former Department of Justice</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6F6B54">
        <w:rPr>
          <w:i w:val="0"/>
        </w:rPr>
        <w:t>2014</w:t>
      </w:r>
      <w:r w:rsidRPr="006F6B54">
        <w:rPr>
          <w:i w:val="0"/>
        </w:rPr>
        <w:noBreakHyphen/>
        <w:t>15 Budget</w:t>
      </w:r>
      <w:r w:rsidRPr="006F6B54">
        <w: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(c)</w:t>
      </w:r>
      <w:r>
        <w:tab/>
        <w:t>The 2014</w:t>
      </w:r>
      <w:r>
        <w:noBreakHyphen/>
        <w:t>15 r</w:t>
      </w:r>
      <w:r w:rsidRPr="00B0679B">
        <w:t>evised</w:t>
      </w:r>
      <w:r>
        <w:t xml:space="preserve">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Pr>
        <w:pStyle w:val="Tableheading"/>
      </w:pPr>
      <w:r>
        <w:t>Table 3.5.6:</w:t>
      </w:r>
      <w:r>
        <w:tab/>
        <w:t>Payments made on behalf of the State</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162C1B" w:rsidRPr="00FE4FB8" w:rsidTr="00975CAD">
        <w:trPr>
          <w:trHeight w:val="503"/>
          <w:tblHeader/>
        </w:trPr>
        <w:tc>
          <w:tcPr>
            <w:tcW w:w="4640" w:type="dxa"/>
            <w:tcBorders>
              <w:top w:val="single" w:sz="6" w:space="0" w:color="auto"/>
              <w:left w:val="single" w:sz="6" w:space="0" w:color="auto"/>
              <w:right w:val="nil"/>
            </w:tcBorders>
            <w:shd w:val="clear" w:color="000000" w:fill="000000"/>
          </w:tcPr>
          <w:p w:rsidR="00162C1B" w:rsidRPr="00FE4FB8" w:rsidRDefault="00162C1B" w:rsidP="00016914">
            <w:pPr>
              <w:pStyle w:val="Tabletextheadingleft"/>
              <w:rPr>
                <w:rFonts w:eastAsiaTheme="minorEastAsia"/>
                <w:lang w:eastAsia="en-AU"/>
              </w:rPr>
            </w:pPr>
            <w:r>
              <w:rPr>
                <w:rFonts w:eastAsiaTheme="minorEastAsia"/>
                <w:lang w:eastAsia="en-AU"/>
              </w:rPr>
              <w:t>Ac</w:t>
            </w:r>
            <w:r w:rsidRPr="00FE4FB8">
              <w:rPr>
                <w:rFonts w:eastAsiaTheme="minorEastAsia"/>
                <w:lang w:eastAsia="en-AU"/>
              </w:rPr>
              <w:t>counts</w:t>
            </w:r>
          </w:p>
        </w:tc>
        <w:tc>
          <w:tcPr>
            <w:tcW w:w="1040"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w:t>
            </w:r>
            <w:r w:rsidRPr="00FE4FB8">
              <w:rPr>
                <w:rFonts w:eastAsiaTheme="minorEastAsia" w:cs="Calibri"/>
                <w:iCs/>
                <w:color w:val="FFFFFF"/>
                <w:vertAlign w:val="superscript"/>
                <w:lang w:eastAsia="en-AU"/>
              </w:rPr>
              <w:t>a)</w:t>
            </w:r>
          </w:p>
        </w:tc>
        <w:tc>
          <w:tcPr>
            <w:tcW w:w="1040" w:type="dxa"/>
            <w:tcBorders>
              <w:top w:val="single" w:sz="6" w:space="0" w:color="auto"/>
              <w:left w:val="nil"/>
              <w:right w:val="nil"/>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w:t>
            </w:r>
            <w:r w:rsidRPr="00FE4FB8">
              <w:rPr>
                <w:rFonts w:eastAsiaTheme="minorEastAsia" w:cs="Calibri"/>
                <w:iCs/>
                <w:color w:val="FFFFFF"/>
                <w:vertAlign w:val="superscript"/>
                <w:lang w:eastAsia="en-AU"/>
              </w:rPr>
              <w:t>b)</w:t>
            </w:r>
          </w:p>
        </w:tc>
        <w:tc>
          <w:tcPr>
            <w:tcW w:w="1040" w:type="dxa"/>
            <w:tcBorders>
              <w:top w:val="single" w:sz="6" w:space="0" w:color="auto"/>
              <w:left w:val="nil"/>
              <w:right w:val="single" w:sz="6" w:space="0" w:color="auto"/>
            </w:tcBorders>
            <w:shd w:val="clear" w:color="000000" w:fill="000000"/>
          </w:tcPr>
          <w:p w:rsidR="00162C1B" w:rsidRPr="00FE4FB8" w:rsidRDefault="00162C1B" w:rsidP="00162C1B">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w:t>
            </w:r>
            <w:r w:rsidRPr="00FE4FB8">
              <w:rPr>
                <w:rFonts w:eastAsiaTheme="minorEastAsia" w:cs="Calibri"/>
                <w:iCs/>
                <w:color w:val="FFFFFF"/>
                <w:vertAlign w:val="superscript"/>
                <w:lang w:eastAsia="en-AU"/>
              </w:rPr>
              <w:t>b)</w:t>
            </w:r>
          </w:p>
        </w:tc>
      </w:tr>
      <w:tr w:rsidR="00B03921" w:rsidRPr="00FE4FB8" w:rsidTr="00016914">
        <w:tc>
          <w:tcPr>
            <w:tcW w:w="4640"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Tattersalls duty payments to other jurisdictions</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54.5</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54.5</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54.5</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54.5</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54.5</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54.5</w:t>
            </w:r>
          </w:p>
        </w:tc>
      </w:tr>
    </w:tbl>
    <w:p w:rsidR="00B03921" w:rsidRDefault="00B03921" w:rsidP="00016914">
      <w:pPr>
        <w:pStyle w:val="Source"/>
      </w:pPr>
      <w:r w:rsidRPr="004F7ADD">
        <w:t xml:space="preserve">Sources: </w:t>
      </w:r>
      <w:r>
        <w:t>Departments of Justice and Regulation,</w:t>
      </w:r>
      <w:r w:rsidRPr="004F7ADD">
        <w:t xml:space="preserve"> and Treasury and Finance</w:t>
      </w:r>
    </w:p>
    <w:p w:rsidR="00B03921" w:rsidRDefault="00B03921" w:rsidP="00016914">
      <w:pPr>
        <w:pStyle w:val="Notes"/>
      </w:pPr>
      <w:r>
        <w:t>Notes:</w:t>
      </w:r>
    </w:p>
    <w:p w:rsidR="00B03921" w:rsidRDefault="00B03921" w:rsidP="00016914">
      <w:pPr>
        <w:pStyle w:val="Notes"/>
      </w:pPr>
      <w:r>
        <w:t>(a)</w:t>
      </w:r>
      <w:r>
        <w:tab/>
        <w:t xml:space="preserve">The 2014-15 budget reflects the operations of the former Department of Justice included in the </w:t>
      </w:r>
      <w:r>
        <w:rPr>
          <w:i w:val="0"/>
        </w:rPr>
        <w:t>2014-15 Budget</w:t>
      </w:r>
      <w:r>
        <w:t xml:space="preserve">, which does not include the impact of machinery of government changes effective from 1 January 2015. </w:t>
      </w:r>
    </w:p>
    <w:p w:rsidR="00B03921" w:rsidRDefault="00B03921" w:rsidP="00016914">
      <w:pPr>
        <w:pStyle w:val="Notes"/>
      </w:pPr>
      <w:r>
        <w:t xml:space="preserve">(b) </w:t>
      </w:r>
      <w:r>
        <w:tab/>
        <w:t>The 2014-15 revised and 2015-16 budget reflect the full impact of machinery of government changes effective from 1 January 2015.</w:t>
      </w:r>
    </w:p>
    <w:p w:rsidR="00B03921" w:rsidRDefault="00B03921" w:rsidP="00016914"/>
    <w:p w:rsidR="00B03921" w:rsidRPr="006B7CEF" w:rsidRDefault="00B03921" w:rsidP="00016914"/>
    <w:p w:rsidR="00B03921" w:rsidRDefault="00B03921" w:rsidP="00016914">
      <w:pPr>
        <w:sectPr w:rsidR="00B03921" w:rsidSect="00016914">
          <w:footerReference w:type="even" r:id="rId51"/>
          <w:footerReference w:type="default" r:id="rId52"/>
          <w:pgSz w:w="9979" w:h="14181" w:code="34"/>
          <w:pgMar w:top="1140" w:right="1140" w:bottom="1140" w:left="1140" w:header="720" w:footer="431" w:gutter="0"/>
          <w:cols w:space="708"/>
          <w:docGrid w:linePitch="360"/>
        </w:sectPr>
      </w:pPr>
    </w:p>
    <w:p w:rsidR="00B03921" w:rsidRPr="00252214" w:rsidRDefault="00B03921" w:rsidP="00016914">
      <w:pPr>
        <w:pStyle w:val="Heading1"/>
      </w:pPr>
      <w:bookmarkStart w:id="122" w:name="_Toc418274762"/>
      <w:r w:rsidRPr="00252214">
        <w:t xml:space="preserve">Department of </w:t>
      </w:r>
      <w:r>
        <w:t>Pr</w:t>
      </w:r>
      <w:r w:rsidRPr="00E90A09">
        <w:t>emier and Cabinet</w:t>
      </w:r>
      <w:bookmarkEnd w:id="122"/>
    </w:p>
    <w:p w:rsidR="00B03921" w:rsidRPr="000A0A8A" w:rsidRDefault="00B03921" w:rsidP="00016914">
      <w:pPr>
        <w:pStyle w:val="Heading2"/>
      </w:pPr>
      <w:r w:rsidRPr="000A0A8A">
        <w:t xml:space="preserve">Operating performance </w:t>
      </w:r>
    </w:p>
    <w:p w:rsidR="00B03921" w:rsidRPr="000A0A8A" w:rsidRDefault="00B03921" w:rsidP="00016914">
      <w:pPr>
        <w:pStyle w:val="BodyText"/>
      </w:pPr>
      <w:r w:rsidRPr="000A0A8A">
        <w:t>The net result from transactions for the Departm</w:t>
      </w:r>
      <w:r>
        <w:t>ent of Premier and Cabinet</w:t>
      </w:r>
      <w:r w:rsidRPr="000A0A8A">
        <w:t xml:space="preserve"> is forecast to decrease from a surplus of $8.4 million in the 2014-15 revised budget to a deficit of $2.2</w:t>
      </w:r>
      <w:r>
        <w:t> </w:t>
      </w:r>
      <w:r w:rsidRPr="000A0A8A">
        <w:t xml:space="preserve">million in the </w:t>
      </w:r>
      <w:r>
        <w:t>2015-16 b</w:t>
      </w:r>
      <w:r w:rsidRPr="00D14187">
        <w:t>udget</w:t>
      </w:r>
      <w:r w:rsidRPr="000A0A8A">
        <w:t xml:space="preserve">. </w:t>
      </w:r>
    </w:p>
    <w:p w:rsidR="00B03921" w:rsidRDefault="00B03921" w:rsidP="00016914">
      <w:pPr>
        <w:pStyle w:val="BodyText"/>
      </w:pPr>
      <w:r w:rsidRPr="000A0A8A">
        <w:t>The Department anticipates that total income from tr</w:t>
      </w:r>
      <w:r>
        <w:t>ansactions will reduce by $141.8</w:t>
      </w:r>
      <w:r w:rsidRPr="000A0A8A">
        <w:t> million in 2015-16 compared to the 2014-15 revised budget.</w:t>
      </w:r>
    </w:p>
    <w:p w:rsidR="00B03921" w:rsidRPr="000A0A8A" w:rsidRDefault="00B03921" w:rsidP="00016914">
      <w:pPr>
        <w:pStyle w:val="BodyText"/>
      </w:pPr>
      <w:r>
        <w:t xml:space="preserve">These movements are largely </w:t>
      </w:r>
      <w:r w:rsidRPr="00AA0F27">
        <w:t>a result of the full yea</w:t>
      </w:r>
      <w:r>
        <w:t>r effect of the 1 January 2015 machinery of g</w:t>
      </w:r>
      <w:r w:rsidRPr="00AA0F27">
        <w:t>overnment change</w:t>
      </w:r>
      <w:r>
        <w:t>s</w:t>
      </w:r>
      <w:r w:rsidRPr="00AA0F27">
        <w:t xml:space="preserve"> in which Arts Victoria was transfer</w:t>
      </w:r>
      <w:r>
        <w:t>red out of the Department</w:t>
      </w:r>
      <w:r w:rsidRPr="00AA0F27">
        <w:t>, and various integrity bodies, Digital Government, and the Office of Women and Equa</w:t>
      </w:r>
      <w:r>
        <w:t>lity were transferred into the D</w:t>
      </w:r>
      <w:r w:rsidRPr="00AA0F27">
        <w:t>epartmen</w:t>
      </w:r>
      <w:r>
        <w:t>t</w:t>
      </w:r>
      <w:r w:rsidRPr="000A0A8A">
        <w:t xml:space="preserve">. The decrease in total income will be partially offset by new output initiative funding announced in the </w:t>
      </w:r>
      <w:r w:rsidRPr="00DB7CF9">
        <w:rPr>
          <w:i/>
        </w:rPr>
        <w:t>2015-16 Budget</w:t>
      </w:r>
      <w:r w:rsidRPr="000A0A8A">
        <w:t>, including:</w:t>
      </w:r>
    </w:p>
    <w:p w:rsidR="00B03921" w:rsidRPr="000A0A8A" w:rsidRDefault="00B03921" w:rsidP="00016914">
      <w:pPr>
        <w:pStyle w:val="BulletText"/>
      </w:pPr>
      <w:r w:rsidRPr="000A0A8A">
        <w:t>Service Victoria;</w:t>
      </w:r>
    </w:p>
    <w:p w:rsidR="00B03921" w:rsidRPr="0014674B" w:rsidRDefault="00B03921" w:rsidP="00016914">
      <w:pPr>
        <w:pStyle w:val="BulletText"/>
      </w:pPr>
      <w:r>
        <w:t>Social cohesion and community r</w:t>
      </w:r>
      <w:r w:rsidRPr="0014674B">
        <w:t>esilience; and</w:t>
      </w:r>
    </w:p>
    <w:p w:rsidR="00B03921" w:rsidRPr="000A0A8A" w:rsidRDefault="00B03921" w:rsidP="00016914">
      <w:pPr>
        <w:pStyle w:val="BulletText"/>
      </w:pPr>
      <w:r>
        <w:t>Victorian Aboriginal cultural heritage s</w:t>
      </w:r>
      <w:r w:rsidRPr="000A0A8A">
        <w:t>trategy</w:t>
      </w:r>
      <w:r>
        <w:t>.</w:t>
      </w:r>
    </w:p>
    <w:p w:rsidR="00B03921" w:rsidRPr="000A0A8A" w:rsidRDefault="00B03921" w:rsidP="00016914">
      <w:r>
        <w:t>Estimated 2015-16 d</w:t>
      </w:r>
      <w:r w:rsidRPr="000A0A8A">
        <w:t>epartmental operating expenses are forecast to decrease by a similar amount as revenue due to the factors identified above.</w:t>
      </w:r>
    </w:p>
    <w:p w:rsidR="00B03921" w:rsidRPr="000A0A8A" w:rsidRDefault="00B03921" w:rsidP="00016914">
      <w:pPr>
        <w:pStyle w:val="Heading2"/>
      </w:pPr>
      <w:r w:rsidRPr="000A0A8A">
        <w:t>Balance sheet</w:t>
      </w:r>
    </w:p>
    <w:p w:rsidR="00B03921" w:rsidRDefault="00B03921" w:rsidP="00016914">
      <w:r w:rsidRPr="000A0A8A">
        <w:t>The Department</w:t>
      </w:r>
      <w:r w:rsidR="00BA5A16">
        <w:t>’</w:t>
      </w:r>
      <w:r w:rsidRPr="000A0A8A">
        <w:t>s net asset position is estimated to increase by $7.7 million in 201</w:t>
      </w:r>
      <w:r>
        <w:t xml:space="preserve">5-16. This results from funding of </w:t>
      </w:r>
      <w:r w:rsidRPr="000A0A8A">
        <w:t xml:space="preserve">new asset initiatives in the </w:t>
      </w:r>
      <w:r>
        <w:rPr>
          <w:i/>
        </w:rPr>
        <w:t>2015-16 B</w:t>
      </w:r>
      <w:r w:rsidRPr="00DB7CF9">
        <w:rPr>
          <w:i/>
        </w:rPr>
        <w:t>udget</w:t>
      </w:r>
      <w:r>
        <w:t>.</w:t>
      </w:r>
    </w:p>
    <w:p w:rsidR="00B03921" w:rsidRPr="000A0A8A" w:rsidRDefault="00B03921" w:rsidP="00016914">
      <w:r w:rsidRPr="000A0A8A">
        <w:t xml:space="preserve">New asset initiative funding reflected in the </w:t>
      </w:r>
      <w:r>
        <w:rPr>
          <w:i/>
        </w:rPr>
        <w:t>2015-16 B</w:t>
      </w:r>
      <w:r w:rsidRPr="00DB7CF9">
        <w:rPr>
          <w:i/>
        </w:rPr>
        <w:t>udget</w:t>
      </w:r>
      <w:r w:rsidRPr="000A0A8A">
        <w:t xml:space="preserve"> includes funding for the Public Record Office Victoria</w:t>
      </w:r>
      <w:r w:rsidR="00BA5A16">
        <w:t>’</w:t>
      </w:r>
      <w:r w:rsidRPr="000A0A8A">
        <w:t xml:space="preserve">s Digital Archive and Asset Maintenance and Renewal Program. </w:t>
      </w:r>
    </w:p>
    <w:p w:rsidR="00B03921" w:rsidRPr="000A0A8A" w:rsidRDefault="00B03921" w:rsidP="00016914">
      <w:pPr>
        <w:pStyle w:val="Heading2"/>
      </w:pPr>
      <w:r w:rsidRPr="000A0A8A">
        <w:t>Investing and financing</w:t>
      </w:r>
    </w:p>
    <w:p w:rsidR="00B03921" w:rsidRPr="000A0A8A" w:rsidRDefault="00B03921" w:rsidP="00016914">
      <w:r w:rsidRPr="000A0A8A">
        <w:t>The Department</w:t>
      </w:r>
      <w:r w:rsidR="00BA5A16">
        <w:t>’</w:t>
      </w:r>
      <w:r w:rsidRPr="000A0A8A">
        <w:t>s statement of cash flows shows payments fo</w:t>
      </w:r>
      <w:r>
        <w:t>r non-financial assets of $15.5 </w:t>
      </w:r>
      <w:r w:rsidRPr="000A0A8A">
        <w:t>million in 2015-16, which includes new asset initiatives identified above, further expenditure on exi</w:t>
      </w:r>
      <w:r>
        <w:t>s</w:t>
      </w:r>
      <w:r w:rsidRPr="000A0A8A">
        <w:t>ting capital projects,</w:t>
      </w:r>
      <w:r>
        <w:t xml:space="preserve"> and </w:t>
      </w:r>
      <w:r w:rsidRPr="000A0A8A">
        <w:t xml:space="preserve">other projects funded from minor works </w:t>
      </w:r>
      <w:r>
        <w:t>following machinery of g</w:t>
      </w:r>
      <w:r w:rsidRPr="000A0A8A">
        <w:t>overnment changes.</w:t>
      </w:r>
    </w:p>
    <w:p w:rsidR="00B03921" w:rsidRPr="000A0A8A" w:rsidRDefault="00B03921" w:rsidP="00016914">
      <w:pPr>
        <w:pStyle w:val="Heading2"/>
      </w:pPr>
      <w:r w:rsidRPr="000A0A8A">
        <w:t>Administered items statement</w:t>
      </w:r>
    </w:p>
    <w:p w:rsidR="00B03921" w:rsidRPr="000A0A8A" w:rsidRDefault="00B03921" w:rsidP="00016914">
      <w:pPr>
        <w:pStyle w:val="BodyText"/>
      </w:pPr>
      <w:r w:rsidRPr="000A0A8A">
        <w:t>The Department</w:t>
      </w:r>
      <w:r w:rsidR="00BA5A16">
        <w:t>’</w:t>
      </w:r>
      <w:r w:rsidRPr="000A0A8A">
        <w:t>s administered items statement shows decreased revenue and expenditure in the 20</w:t>
      </w:r>
      <w:r>
        <w:t>1</w:t>
      </w:r>
      <w:r w:rsidRPr="000A0A8A">
        <w:t>5-16 budget. This is due to less funding allocated for the Hazelwood Mine Fire inquiry in 2015-16 comp</w:t>
      </w:r>
      <w:r>
        <w:t>ared to 2014-15 as well as a on</w:t>
      </w:r>
      <w:r w:rsidRPr="000A0A8A">
        <w:t>e off recognition of Commonwealth funding received for th</w:t>
      </w:r>
      <w:r>
        <w:t>e Shrine of Remembrance in 2014</w:t>
      </w:r>
      <w:r>
        <w:noBreakHyphen/>
      </w:r>
      <w:r w:rsidRPr="000A0A8A">
        <w:t>15.</w:t>
      </w:r>
    </w:p>
    <w:p w:rsidR="00B03921" w:rsidRDefault="00B03921">
      <w:pPr>
        <w:spacing w:after="0"/>
        <w:rPr>
          <w:rFonts w:ascii="Calibri" w:hAnsi="Calibri"/>
          <w:b/>
        </w:rPr>
      </w:pPr>
      <w:r>
        <w:br w:type="page"/>
      </w:r>
    </w:p>
    <w:p w:rsidR="00B03921" w:rsidRDefault="00B03921" w:rsidP="00016914">
      <w:pPr>
        <w:pStyle w:val="Tableheading"/>
        <w:spacing w:after="60"/>
      </w:pPr>
      <w:r>
        <w:t>Table 3.6.1: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975CAD" w:rsidRPr="00FE4FB8" w:rsidTr="00975CAD">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975CAD" w:rsidRPr="00FE4FB8" w:rsidTr="00975CAD">
        <w:trPr>
          <w:gridAfter w:val="1"/>
          <w:wAfter w:w="37" w:type="dxa"/>
        </w:trPr>
        <w:tc>
          <w:tcPr>
            <w:tcW w:w="7760" w:type="dxa"/>
            <w:gridSpan w:val="5"/>
            <w:tcBorders>
              <w:top w:val="single" w:sz="6" w:space="0" w:color="auto"/>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Net result from cont</w:t>
            </w:r>
            <w:r>
              <w:rPr>
                <w:rFonts w:eastAsiaTheme="minorEastAsia"/>
                <w:b/>
                <w:bCs/>
                <w:lang w:eastAsia="en-AU"/>
              </w:rPr>
              <w:t>inuing operations</w:t>
            </w:r>
          </w:p>
        </w:tc>
      </w:tr>
      <w:tr w:rsidR="00975CAD" w:rsidRPr="00FE4FB8" w:rsidTr="00975CAD">
        <w:trPr>
          <w:gridAfter w:val="1"/>
          <w:wAfter w:w="37" w:type="dxa"/>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576.4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593.8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454.5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339.0</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50.8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57.1</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27.7</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w:t>
            </w:r>
          </w:p>
        </w:tc>
      </w:tr>
      <w:tr w:rsidR="00B03921" w:rsidRPr="00FE4FB8" w:rsidTr="00016914">
        <w:trPr>
          <w:gridAfter w:val="1"/>
          <w:wAfter w:w="37" w:type="dxa"/>
        </w:trPr>
        <w:tc>
          <w:tcPr>
            <w:tcW w:w="3784" w:type="dxa"/>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704.3</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695.7</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571.9</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430.1</w:t>
            </w:r>
          </w:p>
        </w:tc>
      </w:tr>
      <w:tr w:rsidR="00975CAD" w:rsidRPr="00FE4FB8" w:rsidTr="00975CAD">
        <w:trPr>
          <w:gridAfter w:val="1"/>
          <w:wAfter w:w="37" w:type="dxa"/>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229.7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240.4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214.0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214.8</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14.5</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111.8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123.0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53.3</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99.6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100.4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187.2</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157.6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171.9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141.0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691.8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689.2</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563.4</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432.3</w:t>
            </w:r>
          </w:p>
        </w:tc>
      </w:tr>
      <w:tr w:rsidR="00B03921" w:rsidRPr="00FE4FB8" w:rsidTr="00016914">
        <w:trPr>
          <w:gridAfter w:val="1"/>
          <w:wAfter w:w="37" w:type="dxa"/>
        </w:trPr>
        <w:tc>
          <w:tcPr>
            <w:tcW w:w="3784" w:type="dxa"/>
            <w:tcBorders>
              <w:top w:val="nil"/>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12.6</w:t>
            </w:r>
          </w:p>
        </w:tc>
        <w:tc>
          <w:tcPr>
            <w:tcW w:w="994"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w:t>
            </w:r>
          </w:p>
        </w:tc>
        <w:tc>
          <w:tcPr>
            <w:tcW w:w="994"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w:t>
            </w:r>
          </w:p>
        </w:tc>
        <w:tc>
          <w:tcPr>
            <w:tcW w:w="994"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(2.2)</w:t>
            </w:r>
          </w:p>
        </w:tc>
      </w:tr>
      <w:tr w:rsidR="00975CAD" w:rsidRPr="00FE4FB8" w:rsidTr="00975CAD">
        <w:trPr>
          <w:gridAfter w:val="1"/>
          <w:wAfter w:w="37" w:type="dxa"/>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11.5</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(0.7)</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24.1</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7.7</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(2.2)</w:t>
            </w:r>
          </w:p>
        </w:tc>
      </w:tr>
      <w:tr w:rsidR="00975CAD" w:rsidRPr="00FE4FB8" w:rsidTr="00975CAD">
        <w:tc>
          <w:tcPr>
            <w:tcW w:w="7797" w:type="dxa"/>
            <w:gridSpan w:val="6"/>
            <w:tcBorders>
              <w:top w:val="nil"/>
              <w:left w:val="nil"/>
              <w:bottom w:val="nil"/>
              <w:right w:val="nil"/>
            </w:tcBorders>
            <w:shd w:val="solid" w:color="FFFFFF" w:fill="auto"/>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cs="Calibri"/>
                <w:color w:val="000000"/>
                <w:lang w:eastAsia="en-AU"/>
              </w:rPr>
            </w:pPr>
            <w:r w:rsidRPr="00FE4FB8">
              <w:rPr>
                <w:rFonts w:eastAsiaTheme="minorEastAsia"/>
                <w:lang w:eastAsia="en-AU"/>
              </w:rPr>
              <w:t xml:space="preserve">Financial assets available-for-sale </w:t>
            </w:r>
            <w:r w:rsidRPr="00FE4FB8">
              <w:rPr>
                <w:rFonts w:eastAsiaTheme="minorEastAsia" w:cs="Calibri"/>
                <w:color w:val="000000"/>
                <w:lang w:eastAsia="en-AU"/>
              </w:rPr>
              <w:t>reserve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single" w:sz="4"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single" w:sz="4" w:space="0" w:color="auto"/>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(336.5)</w:t>
            </w:r>
          </w:p>
        </w:tc>
        <w:tc>
          <w:tcPr>
            <w:tcW w:w="994" w:type="dxa"/>
            <w:tcBorders>
              <w:top w:val="nil"/>
              <w:left w:val="nil"/>
              <w:bottom w:val="single" w:sz="4" w:space="0" w:color="auto"/>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(4.1)</w:t>
            </w:r>
          </w:p>
        </w:tc>
        <w:tc>
          <w:tcPr>
            <w:tcW w:w="994" w:type="dxa"/>
            <w:tcBorders>
              <w:top w:val="nil"/>
              <w:left w:val="nil"/>
              <w:bottom w:val="single" w:sz="4" w:space="0" w:color="auto"/>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(0.6)</w:t>
            </w:r>
          </w:p>
        </w:tc>
        <w:tc>
          <w:tcPr>
            <w:tcW w:w="994" w:type="dxa"/>
            <w:tcBorders>
              <w:top w:val="nil"/>
              <w:left w:val="nil"/>
              <w:bottom w:val="single" w:sz="4"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4"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cs="Calibri"/>
                <w:b/>
                <w:bCs/>
                <w:color w:val="000000"/>
                <w:lang w:eastAsia="en-AU"/>
              </w:rPr>
            </w:pPr>
            <w:r w:rsidRPr="00FE4FB8">
              <w:rPr>
                <w:rFonts w:eastAsiaTheme="minorEastAsia"/>
                <w:b/>
                <w:lang w:eastAsia="en-AU"/>
              </w:rPr>
              <w:t xml:space="preserve">Total </w:t>
            </w:r>
            <w:r w:rsidRPr="00FE4FB8">
              <w:rPr>
                <w:rFonts w:eastAsiaTheme="minorEastAsia" w:cs="Calibri"/>
                <w:b/>
                <w:bCs/>
                <w:color w:val="000000"/>
                <w:lang w:eastAsia="en-AU"/>
              </w:rPr>
              <w:t>other economic flows – other comprehensive income</w:t>
            </w:r>
          </w:p>
        </w:tc>
        <w:tc>
          <w:tcPr>
            <w:tcW w:w="994" w:type="dxa"/>
            <w:tcBorders>
              <w:top w:val="single" w:sz="4"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lang w:eastAsia="en-AU"/>
              </w:rPr>
              <w:t>(4.5)</w:t>
            </w:r>
          </w:p>
        </w:tc>
        <w:tc>
          <w:tcPr>
            <w:tcW w:w="994" w:type="dxa"/>
            <w:tcBorders>
              <w:top w:val="single" w:sz="4"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lang w:eastAsia="en-AU"/>
              </w:rPr>
              <w:t>(2.9)</w:t>
            </w:r>
          </w:p>
        </w:tc>
        <w:tc>
          <w:tcPr>
            <w:tcW w:w="994" w:type="dxa"/>
            <w:tcBorders>
              <w:top w:val="single" w:sz="4"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lang w:eastAsia="en-AU"/>
              </w:rPr>
              <w:t>(1.1)</w:t>
            </w:r>
          </w:p>
        </w:tc>
        <w:tc>
          <w:tcPr>
            <w:tcW w:w="994" w:type="dxa"/>
            <w:tcBorders>
              <w:top w:val="single" w:sz="4"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19.6</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(2.2)</w:t>
            </w:r>
          </w:p>
        </w:tc>
      </w:tr>
    </w:tbl>
    <w:p w:rsidR="00B03921" w:rsidRDefault="00B03921" w:rsidP="00016914">
      <w:pPr>
        <w:pStyle w:val="Source"/>
        <w:spacing w:after="80"/>
      </w:pPr>
      <w:r w:rsidRPr="001D350D">
        <w:t xml:space="preserve">Sources: </w:t>
      </w:r>
      <w:r>
        <w:t>Departments of Premier and Cabinet,</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ns of the Department of Premier and Cabinet</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BB0B7F">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Default="00B03921" w:rsidP="00016914">
      <w:pPr>
        <w:pStyle w:val="Tableheading"/>
      </w:pPr>
      <w:r>
        <w:t>Table 3.6.2:</w:t>
      </w:r>
      <w:r>
        <w:tab/>
        <w:t>Balance sheet</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975CAD" w:rsidRPr="00FE4FB8" w:rsidTr="00975CAD">
        <w:trPr>
          <w:tblHeader/>
        </w:trPr>
        <w:tc>
          <w:tcPr>
            <w:tcW w:w="3784" w:type="dxa"/>
            <w:vMerge w:val="restart"/>
            <w:tcBorders>
              <w:top w:val="single" w:sz="6" w:space="0" w:color="auto"/>
              <w:left w:val="single" w:sz="6" w:space="0" w:color="auto"/>
              <w:right w:val="nil"/>
            </w:tcBorders>
            <w:shd w:val="clear" w:color="000000" w:fill="000000"/>
          </w:tcPr>
          <w:p w:rsidR="00975CAD" w:rsidRPr="00FE4FB8" w:rsidRDefault="00975CAD" w:rsidP="00975CAD">
            <w:pPr>
              <w:pStyle w:val="Tabletext"/>
              <w:rPr>
                <w:rFonts w:eastAsiaTheme="minorEastAsia"/>
                <w:lang w:eastAsia="en-AU"/>
              </w:rPr>
            </w:pPr>
          </w:p>
        </w:tc>
        <w:tc>
          <w:tcPr>
            <w:tcW w:w="994" w:type="dxa"/>
            <w:vMerge w:val="restart"/>
            <w:tcBorders>
              <w:top w:val="single" w:sz="6" w:space="0" w:color="auto"/>
              <w:left w:val="nil"/>
              <w:right w:val="nil"/>
            </w:tcBorders>
            <w:shd w:val="clear" w:color="000000" w:fill="000000"/>
          </w:tcPr>
          <w:p w:rsidR="00975CAD" w:rsidRPr="00FE4FB8" w:rsidRDefault="00975CAD"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975CAD" w:rsidRPr="00FE4FB8" w:rsidRDefault="00975CAD" w:rsidP="00975CAD">
            <w:pPr>
              <w:pStyle w:val="Tabletextheadingcentred"/>
              <w:rPr>
                <w:rFonts w:eastAsiaTheme="minorEastAsia"/>
                <w:color w:val="FFFFFF"/>
                <w:lang w:eastAsia="en-AU"/>
              </w:rPr>
            </w:pPr>
            <w:r w:rsidRPr="00FE4FB8">
              <w:rPr>
                <w:rFonts w:eastAsiaTheme="minorEastAsia"/>
                <w:lang w:eastAsia="en-AU"/>
              </w:rPr>
              <w:t>Estimated as at 30 June</w:t>
            </w:r>
          </w:p>
        </w:tc>
      </w:tr>
      <w:tr w:rsidR="00975CAD" w:rsidRPr="00FE4FB8" w:rsidTr="00975CAD">
        <w:trPr>
          <w:trHeight w:val="488"/>
          <w:tblHeader/>
        </w:trPr>
        <w:tc>
          <w:tcPr>
            <w:tcW w:w="3784" w:type="dxa"/>
            <w:vMerge/>
            <w:tcBorders>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vMerge/>
            <w:tcBorders>
              <w:left w:val="nil"/>
              <w:right w:val="nil"/>
            </w:tcBorders>
            <w:shd w:val="clear" w:color="000000" w:fill="000000"/>
          </w:tcPr>
          <w:p w:rsidR="00975CAD" w:rsidRPr="00FE4FB8" w:rsidRDefault="00975CAD"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nil"/>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975CAD" w:rsidRPr="00FE4FB8" w:rsidTr="00975CAD">
        <w:tc>
          <w:tcPr>
            <w:tcW w:w="7760" w:type="dxa"/>
            <w:gridSpan w:val="5"/>
            <w:tcBorders>
              <w:top w:val="single" w:sz="6" w:space="0" w:color="auto"/>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Assets</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60.2</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31.0</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202.6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245.0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97.9</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79.6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80.7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r>
      <w:tr w:rsidR="00B03921" w:rsidRPr="00FE4FB8" w:rsidTr="00016914">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342.4</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383.1</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124.7</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130.6</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Non-financial assets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6 629.9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6 617.6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470.6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471.6</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8.4</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r>
      <w:tr w:rsidR="00B03921" w:rsidRPr="00FE4FB8" w:rsidTr="00016914">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6 642.0</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6 629.6</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486.3</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487.3</w:t>
            </w:r>
          </w:p>
        </w:tc>
      </w:tr>
      <w:tr w:rsidR="00B03921" w:rsidRPr="00FE4FB8" w:rsidTr="00016914">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6 984.4</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7 012.8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611.0</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617.9</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13.0</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32.3</w:t>
            </w:r>
          </w:p>
        </w:tc>
      </w:tr>
      <w:tr w:rsidR="00B03921" w:rsidRPr="00FE4FB8" w:rsidTr="00016914">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79.0</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78.4</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48.9</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48.2</w:t>
            </w:r>
          </w:p>
        </w:tc>
      </w:tr>
      <w:tr w:rsidR="00B03921" w:rsidRPr="00FE4FB8" w:rsidTr="00016914">
        <w:tc>
          <w:tcPr>
            <w:tcW w:w="378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6 905.4</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6 934.3</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562.0</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569.7</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83.1</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5 194.4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5 199.7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200.2</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200.2</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1 652.4</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1 678.5</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276.6</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286.4</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6 905.4</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6 934.3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562.0</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569.7</w:t>
            </w:r>
          </w:p>
        </w:tc>
      </w:tr>
    </w:tbl>
    <w:p w:rsidR="00B03921" w:rsidRDefault="00B03921" w:rsidP="00016914">
      <w:pPr>
        <w:pStyle w:val="Source"/>
      </w:pPr>
      <w:r w:rsidRPr="001D350D">
        <w:t xml:space="preserve">Sources: </w:t>
      </w:r>
      <w:r>
        <w:t>Departments of Premier and Cabinet,</w:t>
      </w:r>
      <w:r w:rsidRPr="001D350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w:t>
      </w:r>
      <w:r>
        <w:t xml:space="preserve"> </w:t>
      </w:r>
      <w:r w:rsidRPr="004D3EC3">
        <w:t xml:space="preserve">Department of </w:t>
      </w:r>
      <w:r>
        <w:t>Premier and Cabinet</w:t>
      </w:r>
      <w:r w:rsidRPr="004D3EC3">
        <w:t xml:space="preserve"> included in the </w:t>
      </w:r>
      <w:r w:rsidRPr="00ED1C61">
        <w:rPr>
          <w:i w:val="0"/>
        </w:rPr>
        <w:t>2013-14 Financial Report</w:t>
      </w:r>
      <w:r w:rsidRPr="00A25614">
        <w:rPr>
          <w:i w:val="0"/>
        </w:rPr>
        <w:t xml:space="preserve"> </w:t>
      </w:r>
      <w:r w:rsidRPr="00ED1C61">
        <w:t>for the State of Victoria</w:t>
      </w:r>
      <w:r w:rsidRPr="00B0679B">
        <w:t xml:space="preserve"> </w:t>
      </w:r>
      <w:r w:rsidRPr="004D3EC3">
        <w:t xml:space="preserve">or the </w:t>
      </w:r>
      <w:r w:rsidRPr="00BB0B7F">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 w:rsidR="00B03921" w:rsidRDefault="00B03921" w:rsidP="00016914">
      <w:pPr>
        <w:spacing w:after="0"/>
        <w:rPr>
          <w:rFonts w:ascii="Calibri" w:hAnsi="Calibri"/>
          <w:b/>
        </w:rPr>
      </w:pPr>
      <w:r>
        <w:br w:type="page"/>
      </w:r>
    </w:p>
    <w:p w:rsidR="00B03921" w:rsidRDefault="00B03921" w:rsidP="00016914">
      <w:pPr>
        <w:pStyle w:val="Tableheading"/>
      </w:pPr>
      <w:r>
        <w:t>Table 3.6.3: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975CAD" w:rsidRPr="00FE4FB8" w:rsidTr="00975CAD">
        <w:trPr>
          <w:trHeight w:val="503"/>
          <w:tblHeader/>
        </w:trPr>
        <w:tc>
          <w:tcPr>
            <w:tcW w:w="3784"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975CAD" w:rsidRPr="00FE4FB8" w:rsidTr="00975CAD">
        <w:tc>
          <w:tcPr>
            <w:tcW w:w="7760" w:type="dxa"/>
            <w:gridSpan w:val="5"/>
            <w:tcBorders>
              <w:top w:val="single" w:sz="6" w:space="0" w:color="auto"/>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operating activities</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549.5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560.2</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497.3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388.6</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27.7</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663.9</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651.6</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563.8</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422.7</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Pr>
                <w:rFonts w:eastAsiaTheme="minorEastAsia"/>
                <w:b/>
                <w:bCs/>
                <w:lang w:eastAsia="en-AU"/>
              </w:rPr>
              <w:t>Payments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(112.0)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(123.0)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(83.1)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(53.3)</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(413.5)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(396.9)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(390.5)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(356.2)</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(99.6)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(100.4)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(54.6)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(8.7)</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(625.2)</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(620.3)</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(528.2)</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(418.2)</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38.7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31.2</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(67.5)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(59.4)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(28.9)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(15.5)</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(64.2)</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(59.3)</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(33.7)</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(15.5)</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(0.3)</w:t>
            </w:r>
          </w:p>
        </w:tc>
      </w:tr>
      <w:tr w:rsidR="00B03921" w:rsidRPr="00FE4FB8" w:rsidTr="00016914">
        <w:tc>
          <w:tcPr>
            <w:tcW w:w="378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30.3</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25.3</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(29.6)</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9.5</w:t>
            </w:r>
          </w:p>
        </w:tc>
      </w:tr>
      <w:tr w:rsidR="00B03921" w:rsidRPr="00FE4FB8" w:rsidTr="00016914">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(27.7)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55.3</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60.2</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60.2</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32.5</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60.2</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57.4</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32.5</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31.0</w:t>
            </w:r>
          </w:p>
        </w:tc>
      </w:tr>
    </w:tbl>
    <w:p w:rsidR="00B03921" w:rsidRDefault="00B03921" w:rsidP="00016914">
      <w:pPr>
        <w:pStyle w:val="Source"/>
      </w:pPr>
      <w:r w:rsidRPr="001D350D">
        <w:t>Source</w:t>
      </w:r>
      <w:r>
        <w:t>s</w:t>
      </w:r>
      <w:r w:rsidRPr="001D350D">
        <w:t xml:space="preserve">: </w:t>
      </w:r>
      <w:r>
        <w:t>Departments of Premier and Cabinet,</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ns of the Department of Premier and Cabinet</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BB0B7F">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2014-15 revised and 2015-16 budget reflect</w:t>
      </w:r>
      <w:r w:rsidRPr="00B0679B">
        <w:t xml:space="preserve"> the full impact of machinery of gove</w:t>
      </w:r>
      <w:r>
        <w:t>rnment changes effective from 1 </w:t>
      </w:r>
      <w:r w:rsidRPr="00B0679B">
        <w:t>January 2015.</w:t>
      </w:r>
    </w:p>
    <w:p w:rsidR="00B03921" w:rsidRPr="001D350D" w:rsidRDefault="00B03921" w:rsidP="00016914">
      <w:pPr>
        <w:pStyle w:val="Notes"/>
      </w:pPr>
      <w:r>
        <w:t>(c)</w:t>
      </w:r>
      <w:r>
        <w:tab/>
        <w:t>Figures have been restated to better reflect the nature of related cash flows.</w:t>
      </w:r>
    </w:p>
    <w:p w:rsidR="00B03921" w:rsidRDefault="00B03921" w:rsidP="00016914">
      <w:pPr>
        <w:spacing w:after="0"/>
        <w:rPr>
          <w:rFonts w:ascii="Calibri" w:hAnsi="Calibri"/>
          <w:b/>
        </w:rPr>
      </w:pPr>
      <w:r>
        <w:br w:type="page"/>
      </w:r>
    </w:p>
    <w:p w:rsidR="00B03921" w:rsidRDefault="00B03921" w:rsidP="00016914">
      <w:pPr>
        <w:pStyle w:val="Tableheading"/>
      </w:pPr>
      <w:r>
        <w:t>Table 3.6.4: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285"/>
        <w:gridCol w:w="505"/>
        <w:gridCol w:w="1049"/>
        <w:gridCol w:w="1204"/>
        <w:gridCol w:w="1077"/>
        <w:gridCol w:w="770"/>
        <w:gridCol w:w="870"/>
      </w:tblGrid>
      <w:tr w:rsidR="00B03921" w:rsidRPr="00FE4FB8" w:rsidTr="00016914">
        <w:tc>
          <w:tcPr>
            <w:tcW w:w="2285"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554"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04"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077"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770"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870"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1049"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73.5</w:t>
            </w:r>
          </w:p>
        </w:tc>
        <w:tc>
          <w:tcPr>
            <w:tcW w:w="120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1 605.8</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4 816.9</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343.0</w:t>
            </w:r>
          </w:p>
        </w:tc>
        <w:tc>
          <w:tcPr>
            <w:tcW w:w="8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6 839.2</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(14.9)</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337.7</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(303.3)</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19.6</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46.6</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46.6</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2014 (actual)</w:t>
            </w:r>
            <w:r w:rsidRPr="00FE4FB8">
              <w:rPr>
                <w:rFonts w:eastAsiaTheme="minorEastAsia"/>
                <w:b/>
                <w:bCs/>
                <w:vertAlign w:val="superscript"/>
                <w:lang w:eastAsia="en-AU"/>
              </w:rPr>
              <w:t>(a)</w:t>
            </w:r>
          </w:p>
        </w:tc>
        <w:tc>
          <w:tcPr>
            <w:tcW w:w="1049"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58.6</w:t>
            </w:r>
          </w:p>
        </w:tc>
        <w:tc>
          <w:tcPr>
            <w:tcW w:w="120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1 652.4</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5 154.6</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39.8</w:t>
            </w:r>
          </w:p>
        </w:tc>
        <w:tc>
          <w:tcPr>
            <w:tcW w:w="8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6 905.4</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(2.5)</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26.1</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26.1</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(a)(b)</w:t>
            </w:r>
          </w:p>
        </w:tc>
        <w:tc>
          <w:tcPr>
            <w:tcW w:w="1049"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56.1</w:t>
            </w:r>
          </w:p>
        </w:tc>
        <w:tc>
          <w:tcPr>
            <w:tcW w:w="120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1 678.5</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5 154.6</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45.1</w:t>
            </w:r>
          </w:p>
        </w:tc>
        <w:tc>
          <w:tcPr>
            <w:tcW w:w="8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6 934.3</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46.5</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(39.8)</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w:t>
            </w:r>
          </w:p>
        </w:tc>
      </w:tr>
      <w:tr w:rsidR="00B03921" w:rsidRPr="00FE4FB8" w:rsidTr="00016914">
        <w:tc>
          <w:tcPr>
            <w:tcW w:w="2790" w:type="dxa"/>
            <w:gridSpan w:val="2"/>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(19.9)</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(1 375.8)</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(4 954.3)</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(6 350.0)</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(revised)</w:t>
            </w:r>
            <w:r w:rsidRPr="00FE4FB8">
              <w:rPr>
                <w:rFonts w:eastAsiaTheme="minorEastAsia"/>
                <w:b/>
                <w:bCs/>
                <w:vertAlign w:val="superscript"/>
                <w:lang w:eastAsia="en-AU"/>
              </w:rPr>
              <w:t>(c)</w:t>
            </w:r>
          </w:p>
        </w:tc>
        <w:tc>
          <w:tcPr>
            <w:tcW w:w="1049"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85.3</w:t>
            </w:r>
          </w:p>
        </w:tc>
        <w:tc>
          <w:tcPr>
            <w:tcW w:w="120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276.6</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200.2</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8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562.0</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49"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(2.2)</w:t>
            </w:r>
          </w:p>
        </w:tc>
        <w:tc>
          <w:tcPr>
            <w:tcW w:w="120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(2.2)</w:t>
            </w:r>
          </w:p>
        </w:tc>
      </w:tr>
      <w:tr w:rsidR="00B03921" w:rsidRPr="00FE4FB8" w:rsidTr="00016914">
        <w:tc>
          <w:tcPr>
            <w:tcW w:w="2790" w:type="dxa"/>
            <w:gridSpan w:val="2"/>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49"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0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w:t>
            </w:r>
          </w:p>
        </w:tc>
        <w:tc>
          <w:tcPr>
            <w:tcW w:w="1077"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70"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9.8</w:t>
            </w:r>
          </w:p>
        </w:tc>
      </w:tr>
      <w:tr w:rsidR="00B03921" w:rsidRPr="00FE4FB8" w:rsidTr="00016914">
        <w:tc>
          <w:tcPr>
            <w:tcW w:w="2790" w:type="dxa"/>
            <w:gridSpan w:val="2"/>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2016 (budget)</w:t>
            </w:r>
            <w:r w:rsidRPr="00FE4FB8">
              <w:rPr>
                <w:rFonts w:eastAsiaTheme="minorEastAsia"/>
                <w:b/>
                <w:bCs/>
                <w:vertAlign w:val="superscript"/>
                <w:lang w:eastAsia="en-AU"/>
              </w:rPr>
              <w:t>(c)</w:t>
            </w:r>
          </w:p>
        </w:tc>
        <w:tc>
          <w:tcPr>
            <w:tcW w:w="1049"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83.1</w:t>
            </w:r>
          </w:p>
        </w:tc>
        <w:tc>
          <w:tcPr>
            <w:tcW w:w="120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286.4</w:t>
            </w:r>
          </w:p>
        </w:tc>
        <w:tc>
          <w:tcPr>
            <w:tcW w:w="1077"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200.2</w:t>
            </w:r>
          </w:p>
        </w:tc>
        <w:tc>
          <w:tcPr>
            <w:tcW w:w="770"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870"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569.7</w:t>
            </w:r>
          </w:p>
        </w:tc>
      </w:tr>
    </w:tbl>
    <w:p w:rsidR="00B03921" w:rsidRDefault="00B03921" w:rsidP="00016914">
      <w:pPr>
        <w:pStyle w:val="Source"/>
      </w:pPr>
      <w:r w:rsidRPr="004F7ADD">
        <w:t xml:space="preserve">Sources: </w:t>
      </w:r>
      <w:r>
        <w:t>Departments of Premier and Cabinet,</w:t>
      </w:r>
      <w:r w:rsidRPr="004F7ADD">
        <w:t xml:space="preserve"> and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w:t>
      </w:r>
      <w:r>
        <w:t>ct the operations of the Department of Premier and Cabinet</w:t>
      </w:r>
      <w:r w:rsidRPr="004D3EC3">
        <w:t xml:space="preserve"> 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3.6.5:</w:t>
      </w:r>
      <w:r>
        <w:tab/>
        <w:t>Administered items statement</w:t>
      </w:r>
    </w:p>
    <w:p w:rsidR="00B03921" w:rsidRPr="00FE4FB8" w:rsidRDefault="00B03921" w:rsidP="00016914">
      <w:pPr>
        <w:pStyle w:val="million"/>
        <w:rPr>
          <w:rFonts w:ascii="Times New Roman" w:hAnsi="Times New Roman"/>
          <w:i w:val="0"/>
          <w:sz w:val="20"/>
          <w:szCs w:val="20"/>
          <w:lang w:eastAsia="en-AU"/>
        </w:rPr>
      </w:pPr>
      <w:r>
        <w:t>($ million)</w:t>
      </w:r>
      <w:r w:rsidRPr="004F7AD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545"/>
        <w:gridCol w:w="1053"/>
        <w:gridCol w:w="1054"/>
        <w:gridCol w:w="1054"/>
        <w:gridCol w:w="1054"/>
      </w:tblGrid>
      <w:tr w:rsidR="00975CAD" w:rsidRPr="00FE4FB8" w:rsidTr="00975CAD">
        <w:trPr>
          <w:trHeight w:val="503"/>
          <w:tblHeader/>
        </w:trPr>
        <w:tc>
          <w:tcPr>
            <w:tcW w:w="3545"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1053"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105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105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(c)</w:t>
            </w:r>
          </w:p>
        </w:tc>
        <w:tc>
          <w:tcPr>
            <w:tcW w:w="1054"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975CAD" w:rsidRPr="00FE4FB8" w:rsidTr="00975CAD">
        <w:tc>
          <w:tcPr>
            <w:tcW w:w="7760" w:type="dxa"/>
            <w:gridSpan w:val="5"/>
            <w:tcBorders>
              <w:top w:val="single" w:sz="6" w:space="0" w:color="auto"/>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Appropriations – payments made on behalf of the State</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0.5</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r>
      <w:tr w:rsidR="00B03921" w:rsidRPr="00FE4FB8" w:rsidTr="00016914">
        <w:tc>
          <w:tcPr>
            <w:tcW w:w="354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1053"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9.8</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w:t>
            </w:r>
          </w:p>
        </w:tc>
      </w:tr>
      <w:tr w:rsidR="00975CAD" w:rsidRPr="00FE4FB8" w:rsidTr="00975CAD">
        <w:trPr>
          <w:trHeight w:hRule="exact" w:val="120"/>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lang w:eastAsia="en-AU"/>
              </w:rPr>
            </w:pP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0.7</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r>
      <w:tr w:rsidR="00B03921" w:rsidRPr="00FE4FB8" w:rsidTr="00016914">
        <w:tc>
          <w:tcPr>
            <w:tcW w:w="354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1053"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9.8</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w:t>
            </w:r>
          </w:p>
        </w:tc>
      </w:tr>
      <w:tr w:rsidR="00B03921" w:rsidRPr="00FE4FB8" w:rsidTr="00016914">
        <w:tc>
          <w:tcPr>
            <w:tcW w:w="3545"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1053"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105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05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05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975CAD" w:rsidRPr="00FE4FB8" w:rsidTr="00975CAD">
        <w:trPr>
          <w:trHeight w:hRule="exact" w:val="120"/>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bCs/>
                <w:lang w:eastAsia="en-AU"/>
              </w:rPr>
            </w:pPr>
          </w:p>
        </w:tc>
      </w:tr>
      <w:tr w:rsidR="00975CAD" w:rsidRPr="00FE4FB8" w:rsidTr="00975CAD">
        <w:tc>
          <w:tcPr>
            <w:tcW w:w="7760" w:type="dxa"/>
            <w:gridSpan w:val="5"/>
            <w:tcBorders>
              <w:top w:val="nil"/>
              <w:left w:val="nil"/>
              <w:bottom w:val="single" w:sz="12" w:space="0" w:color="auto"/>
              <w:right w:val="nil"/>
            </w:tcBorders>
            <w:shd w:val="solid" w:color="FFFFFF" w:fill="auto"/>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Comprehensive result</w:t>
            </w: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r>
      <w:tr w:rsidR="00B03921" w:rsidRPr="00FE4FB8" w:rsidTr="00016914">
        <w:tc>
          <w:tcPr>
            <w:tcW w:w="354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1053"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0.3</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0.3</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0.8</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0.8</w:t>
            </w:r>
          </w:p>
        </w:tc>
      </w:tr>
      <w:tr w:rsidR="00975CAD" w:rsidRPr="00FE4FB8" w:rsidTr="00975CAD">
        <w:trPr>
          <w:trHeight w:hRule="exact" w:val="120"/>
        </w:trPr>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lang w:eastAsia="en-AU"/>
              </w:rPr>
            </w:pPr>
          </w:p>
        </w:tc>
      </w:tr>
      <w:tr w:rsidR="00975CAD" w:rsidRPr="00FE4FB8" w:rsidTr="00975CAD">
        <w:tc>
          <w:tcPr>
            <w:tcW w:w="7760" w:type="dxa"/>
            <w:gridSpan w:val="5"/>
            <w:tcBorders>
              <w:top w:val="nil"/>
              <w:left w:val="nil"/>
              <w:bottom w:val="nil"/>
              <w:right w:val="nil"/>
            </w:tcBorders>
            <w:shd w:val="solid" w:color="FFFFFF" w:fill="auto"/>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liabilities</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r>
      <w:tr w:rsidR="00B03921" w:rsidRPr="00FE4FB8" w:rsidTr="00016914">
        <w:tc>
          <w:tcPr>
            <w:tcW w:w="3545"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105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105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c>
          <w:tcPr>
            <w:tcW w:w="354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1053"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0.2</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0.2</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0.7</w:t>
            </w:r>
          </w:p>
        </w:tc>
        <w:tc>
          <w:tcPr>
            <w:tcW w:w="105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0.7</w:t>
            </w:r>
          </w:p>
        </w:tc>
      </w:tr>
      <w:tr w:rsidR="00B03921" w:rsidRPr="00FE4FB8" w:rsidTr="00016914">
        <w:tc>
          <w:tcPr>
            <w:tcW w:w="3545"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1053"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0.1</w:t>
            </w:r>
          </w:p>
        </w:tc>
        <w:tc>
          <w:tcPr>
            <w:tcW w:w="105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0.1</w:t>
            </w:r>
          </w:p>
        </w:tc>
        <w:tc>
          <w:tcPr>
            <w:tcW w:w="105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0.1</w:t>
            </w:r>
          </w:p>
        </w:tc>
        <w:tc>
          <w:tcPr>
            <w:tcW w:w="105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0.1</w:t>
            </w:r>
          </w:p>
        </w:tc>
      </w:tr>
    </w:tbl>
    <w:p w:rsidR="00B03921" w:rsidRDefault="00B03921" w:rsidP="00016914">
      <w:pPr>
        <w:pStyle w:val="Source"/>
      </w:pPr>
      <w:r w:rsidRPr="004F7ADD">
        <w:t xml:space="preserve">Sources: </w:t>
      </w:r>
      <w:r>
        <w:t>Departments of Premier and Cabinet,</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2013-14</w:t>
      </w:r>
      <w:r>
        <w:t xml:space="preserve"> actual</w:t>
      </w:r>
      <w:r w:rsidRPr="00B0679B">
        <w:t xml:space="preserve"> and 2014-15</w:t>
      </w:r>
      <w:r>
        <w:t xml:space="preserve"> budget</w:t>
      </w:r>
      <w:r w:rsidRPr="00B0679B">
        <w:t xml:space="preserve"> reflect the operatio</w:t>
      </w:r>
      <w:r>
        <w:t xml:space="preserve">ns of the Department of Premier and Cabinet </w:t>
      </w:r>
      <w:r w:rsidRPr="00B0679B">
        <w:t xml:space="preserve">included in the </w:t>
      </w:r>
      <w:r w:rsidRPr="00ED1C61">
        <w:rPr>
          <w:i w:val="0"/>
        </w:rPr>
        <w:t>2013-14 Financial Report</w:t>
      </w:r>
      <w:r w:rsidRPr="00A25614">
        <w:rPr>
          <w:i w:val="0"/>
        </w:rPr>
        <w:t xml:space="preserve"> </w:t>
      </w:r>
      <w:r w:rsidRPr="00ED1C61">
        <w:t>for the State of Victoria</w:t>
      </w:r>
      <w:r w:rsidRPr="00B0679B">
        <w:t xml:space="preserve"> or the </w:t>
      </w:r>
      <w:r w:rsidRPr="00BB0B7F">
        <w:rPr>
          <w:i w:val="0"/>
        </w:rPr>
        <w:t>2014-15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(c)</w:t>
      </w:r>
      <w:r>
        <w:tab/>
        <w:t>The 2014-15 r</w:t>
      </w:r>
      <w:r w:rsidRPr="00B0679B">
        <w:t>evised</w:t>
      </w:r>
      <w:r>
        <w:t xml:space="preserve"> and 2015-16 budget reflect</w:t>
      </w:r>
      <w:r w:rsidRPr="00B0679B">
        <w:t xml:space="preserve"> the full impact of machinery of gove</w:t>
      </w:r>
      <w:r>
        <w:t>rnment changes effective from 1 </w:t>
      </w:r>
      <w:r w:rsidRPr="00B0679B">
        <w:t>January 2015.</w:t>
      </w:r>
    </w:p>
    <w:p w:rsidR="00B03921" w:rsidRPr="00242F2B" w:rsidRDefault="00B03921" w:rsidP="00016914">
      <w:pPr>
        <w:pStyle w:val="BodyText"/>
        <w:rPr>
          <w:sz w:val="16"/>
        </w:rPr>
      </w:pPr>
    </w:p>
    <w:p w:rsidR="00B03921" w:rsidRPr="00242F2B" w:rsidRDefault="00B03921" w:rsidP="00016914">
      <w:pPr>
        <w:pStyle w:val="BodyText"/>
        <w:rPr>
          <w:sz w:val="16"/>
        </w:rPr>
      </w:pPr>
    </w:p>
    <w:p w:rsidR="00B03921" w:rsidRDefault="00B03921">
      <w:pPr>
        <w:spacing w:after="0"/>
        <w:rPr>
          <w:rFonts w:ascii="Calibri" w:hAnsi="Calibri"/>
          <w:b/>
        </w:rPr>
      </w:pPr>
      <w:r>
        <w:br w:type="page"/>
      </w:r>
    </w:p>
    <w:p w:rsidR="00B03921" w:rsidRDefault="00B03921" w:rsidP="00016914">
      <w:pPr>
        <w:pStyle w:val="Tableheading"/>
      </w:pPr>
      <w:r>
        <w:t>Table 3.6.6:</w:t>
      </w:r>
      <w:r>
        <w:tab/>
        <w:t>Payments made on behalf of the State</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975CAD" w:rsidRPr="00FE4FB8" w:rsidTr="00975CAD">
        <w:trPr>
          <w:trHeight w:val="503"/>
          <w:tblHeader/>
        </w:trPr>
        <w:tc>
          <w:tcPr>
            <w:tcW w:w="4640"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i/>
                <w:lang w:eastAsia="en-AU"/>
              </w:rPr>
            </w:pPr>
          </w:p>
        </w:tc>
        <w:tc>
          <w:tcPr>
            <w:tcW w:w="1040"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p>
        </w:tc>
        <w:tc>
          <w:tcPr>
            <w:tcW w:w="1040"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(b)</w:t>
            </w:r>
          </w:p>
        </w:tc>
        <w:tc>
          <w:tcPr>
            <w:tcW w:w="1040"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(b)</w:t>
            </w:r>
          </w:p>
        </w:tc>
      </w:tr>
      <w:tr w:rsidR="00B03921" w:rsidRPr="00FE4FB8" w:rsidTr="00016914">
        <w:tc>
          <w:tcPr>
            <w:tcW w:w="4640"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Hazelwood Mine Fire Inquiry</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w:t>
            </w:r>
          </w:p>
        </w:tc>
      </w:tr>
    </w:tbl>
    <w:p w:rsidR="00B03921" w:rsidRDefault="00B03921" w:rsidP="00016914">
      <w:pPr>
        <w:pStyle w:val="Source"/>
      </w:pPr>
      <w:r w:rsidRPr="00242F2B">
        <w:t>Sources: Departments of Premier and Cabinet</w:t>
      </w:r>
      <w:r>
        <w:t>,</w:t>
      </w:r>
      <w:r w:rsidRPr="00242F2B">
        <w:t xml:space="preserve"> and Treasury and Finance</w:t>
      </w:r>
    </w:p>
    <w:p w:rsidR="00B03921" w:rsidRDefault="00B03921" w:rsidP="00016914">
      <w:pPr>
        <w:pStyle w:val="Notes"/>
      </w:pPr>
      <w:r>
        <w:t>Notes:</w:t>
      </w:r>
    </w:p>
    <w:p w:rsidR="00B03921" w:rsidRDefault="00B03921" w:rsidP="00016914">
      <w:pPr>
        <w:pStyle w:val="Notes"/>
      </w:pPr>
      <w:r>
        <w:t>(a)</w:t>
      </w:r>
      <w:r>
        <w:tab/>
        <w:t xml:space="preserve">The 2014-15 budget reflect the operations of the Department of Premier and Cabinet included in the </w:t>
      </w:r>
      <w:r>
        <w:rPr>
          <w:i w:val="0"/>
        </w:rPr>
        <w:t>2014-15 Budget</w:t>
      </w:r>
      <w:r>
        <w:t xml:space="preserve">, which does not include the impact of machinery of government changes effective from 1 January 2015. </w:t>
      </w:r>
    </w:p>
    <w:p w:rsidR="00B03921" w:rsidRDefault="00B03921" w:rsidP="00016914">
      <w:pPr>
        <w:pStyle w:val="Notes"/>
      </w:pPr>
      <w:r>
        <w:t xml:space="preserve">(b) </w:t>
      </w:r>
      <w:r>
        <w:tab/>
        <w:t>The 2014-15 revised and 2015-16 budget reflect the full impact of machinery of government changes effective from 1 January 2015.</w:t>
      </w:r>
    </w:p>
    <w:p w:rsidR="00B03921" w:rsidRPr="00242F2B" w:rsidRDefault="00B03921" w:rsidP="00016914"/>
    <w:p w:rsidR="00B03921" w:rsidRDefault="00B03921" w:rsidP="00016914">
      <w:pPr>
        <w:sectPr w:rsidR="00B03921" w:rsidSect="00016914">
          <w:footerReference w:type="even" r:id="rId53"/>
          <w:footerReference w:type="default" r:id="rId54"/>
          <w:pgSz w:w="9979" w:h="14181" w:code="34"/>
          <w:pgMar w:top="1140" w:right="1140" w:bottom="1140" w:left="1140" w:header="720" w:footer="431" w:gutter="0"/>
          <w:cols w:space="708"/>
          <w:docGrid w:linePitch="360"/>
        </w:sectPr>
      </w:pPr>
    </w:p>
    <w:p w:rsidR="00B03921" w:rsidRPr="00252214" w:rsidRDefault="00B03921" w:rsidP="00016914">
      <w:pPr>
        <w:pStyle w:val="Heading1"/>
      </w:pPr>
      <w:bookmarkStart w:id="123" w:name="_Toc418274763"/>
      <w:r w:rsidRPr="00252214">
        <w:t xml:space="preserve">Department of </w:t>
      </w:r>
      <w:r w:rsidRPr="00A5300F">
        <w:t>Treasury and Finance</w:t>
      </w:r>
      <w:bookmarkEnd w:id="123"/>
    </w:p>
    <w:p w:rsidR="00B03921" w:rsidRDefault="00B03921" w:rsidP="00016914">
      <w:pPr>
        <w:pStyle w:val="Heading2"/>
      </w:pPr>
      <w:r>
        <w:t>Operating performance</w:t>
      </w:r>
    </w:p>
    <w:p w:rsidR="00B03921" w:rsidRDefault="00B03921" w:rsidP="00016914">
      <w:r w:rsidRPr="006A6E4B">
        <w:t>The Department of Treasury and Finance expects to deliver a minor net de</w:t>
      </w:r>
      <w:r>
        <w:t>ficit from transactions in 2015</w:t>
      </w:r>
      <w:r>
        <w:noBreakHyphen/>
      </w:r>
      <w:r w:rsidRPr="006A6E4B">
        <w:t>16.</w:t>
      </w:r>
    </w:p>
    <w:p w:rsidR="00B03921" w:rsidRDefault="00B03921" w:rsidP="00016914">
      <w:r w:rsidRPr="006A6E4B">
        <w:t xml:space="preserve">This result is primarily due to the impact of machinery of government changes that transferred the centralised information technology provider (CenITex) to the Department, with an operating deficit </w:t>
      </w:r>
      <w:r>
        <w:t>for the entity expected in 2015</w:t>
      </w:r>
      <w:r>
        <w:noBreakHyphen/>
      </w:r>
      <w:r w:rsidRPr="006A6E4B">
        <w:t xml:space="preserve">16. The future operation of CenITex is currently under review. </w:t>
      </w:r>
    </w:p>
    <w:p w:rsidR="00B03921" w:rsidRDefault="00B03921" w:rsidP="00016914">
      <w:r w:rsidRPr="006A6E4B">
        <w:t>The Department</w:t>
      </w:r>
      <w:r w:rsidR="00BA5A16">
        <w:t>’</w:t>
      </w:r>
      <w:r w:rsidRPr="006A6E4B">
        <w:t>s total income from transactions i</w:t>
      </w:r>
      <w:r>
        <w:t>s expected to increase by $58.9 </w:t>
      </w:r>
      <w:r w:rsidRPr="006A6E4B">
        <w:t>million when compared to the 2014</w:t>
      </w:r>
      <w:r>
        <w:noBreakHyphen/>
      </w:r>
      <w:r w:rsidRPr="006A6E4B">
        <w:t>15 revised budget. The increase mainly relates to the sales of goods and services income earned by CenITex.</w:t>
      </w:r>
    </w:p>
    <w:p w:rsidR="00B03921" w:rsidRDefault="00B03921" w:rsidP="00016914">
      <w:r>
        <w:t>Output appropriations are expected to decrease by $12.5 million, primarily due to:</w:t>
      </w:r>
    </w:p>
    <w:p w:rsidR="00B03921" w:rsidRDefault="00B03921" w:rsidP="00016914">
      <w:pPr>
        <w:pStyle w:val="BulletText"/>
      </w:pPr>
      <w:r>
        <w:t>lower funding required during the year to progress the medium-term lease over the Port of Melbourne;</w:t>
      </w:r>
    </w:p>
    <w:p w:rsidR="00B03921" w:rsidRDefault="00B03921" w:rsidP="00016914">
      <w:pPr>
        <w:pStyle w:val="BulletText"/>
      </w:pPr>
      <w:r>
        <w:t xml:space="preserve">abolition of the Construction Code Compliance Unit; and </w:t>
      </w:r>
    </w:p>
    <w:p w:rsidR="00B03921" w:rsidRDefault="00B03921" w:rsidP="00016914">
      <w:pPr>
        <w:pStyle w:val="BulletText"/>
      </w:pPr>
      <w:r>
        <w:t>machinery of government transfers of the Victorian Competition and Efficiency Commission and the Workplace Relations Unit to other departments.</w:t>
      </w:r>
    </w:p>
    <w:p w:rsidR="00B03921" w:rsidRDefault="00B03921" w:rsidP="00016914">
      <w:r>
        <w:t>Estimated 2015</w:t>
      </w:r>
      <w:r>
        <w:noBreakHyphen/>
        <w:t>16 departmental operating expenses are forecast to increase by approximately the same amount as revenue due to the factors identified above.</w:t>
      </w:r>
    </w:p>
    <w:p w:rsidR="00B03921" w:rsidRPr="006B5775" w:rsidRDefault="00B03921" w:rsidP="00016914">
      <w:pPr>
        <w:pStyle w:val="Heading2"/>
      </w:pPr>
      <w:r w:rsidRPr="006B5775">
        <w:t>Balance sheet</w:t>
      </w:r>
    </w:p>
    <w:p w:rsidR="00B03921" w:rsidRPr="00D25E3E" w:rsidRDefault="00B03921" w:rsidP="00016914">
      <w:pPr>
        <w:pStyle w:val="Heading2"/>
        <w:rPr>
          <w:rFonts w:ascii="Garamond" w:hAnsi="Garamond"/>
          <w:b w:val="0"/>
          <w:sz w:val="28"/>
        </w:rPr>
      </w:pPr>
      <w:r w:rsidRPr="006A6E4B">
        <w:rPr>
          <w:rFonts w:ascii="Garamond" w:hAnsi="Garamond" w:cs="Arial"/>
          <w:b w:val="0"/>
          <w:color w:val="000000"/>
          <w:sz w:val="22"/>
          <w:lang w:eastAsia="en-AU"/>
        </w:rPr>
        <w:t>The Department</w:t>
      </w:r>
      <w:r w:rsidR="00BA5A16">
        <w:rPr>
          <w:rFonts w:ascii="Garamond" w:hAnsi="Garamond" w:cs="Arial"/>
          <w:b w:val="0"/>
          <w:color w:val="000000"/>
          <w:sz w:val="22"/>
          <w:lang w:eastAsia="en-AU"/>
        </w:rPr>
        <w:t>’</w:t>
      </w:r>
      <w:r>
        <w:rPr>
          <w:rFonts w:ascii="Garamond" w:hAnsi="Garamond" w:cs="Arial"/>
          <w:b w:val="0"/>
          <w:color w:val="000000"/>
          <w:sz w:val="22"/>
          <w:lang w:eastAsia="en-AU"/>
        </w:rPr>
        <w:t>s net asset</w:t>
      </w:r>
      <w:r w:rsidRPr="006A6E4B">
        <w:rPr>
          <w:rFonts w:ascii="Garamond" w:hAnsi="Garamond" w:cs="Arial"/>
          <w:b w:val="0"/>
          <w:color w:val="000000"/>
          <w:sz w:val="22"/>
          <w:lang w:eastAsia="en-AU"/>
        </w:rPr>
        <w:t xml:space="preserve"> position is forecast to increase by $30.4 million between the 2014-15 revised budget and the 2015-16 budget. Receivables are estimated to increase by $36.1 million, largely representing appropriation received for the Department</w:t>
      </w:r>
      <w:r w:rsidR="00BA5A16">
        <w:rPr>
          <w:rFonts w:ascii="Garamond" w:hAnsi="Garamond" w:cs="Arial"/>
          <w:b w:val="0"/>
          <w:color w:val="000000"/>
          <w:sz w:val="22"/>
          <w:lang w:eastAsia="en-AU"/>
        </w:rPr>
        <w:t>’</w:t>
      </w:r>
      <w:r w:rsidRPr="006A6E4B">
        <w:rPr>
          <w:rFonts w:ascii="Garamond" w:hAnsi="Garamond" w:cs="Arial"/>
          <w:b w:val="0"/>
          <w:color w:val="000000"/>
          <w:sz w:val="22"/>
          <w:lang w:eastAsia="en-AU"/>
        </w:rPr>
        <w:t>s depreciation not being fully drawn down in cash. The increase in liabilities is largely due to an expected rise of $4.4 million to the provision for employee benefits.</w:t>
      </w:r>
    </w:p>
    <w:p w:rsidR="00B03921" w:rsidRPr="006B5775" w:rsidRDefault="00B03921" w:rsidP="00016914">
      <w:pPr>
        <w:pStyle w:val="Heading2"/>
      </w:pPr>
      <w:r w:rsidRPr="006B5775">
        <w:t>Investing and financing</w:t>
      </w:r>
    </w:p>
    <w:p w:rsidR="00B03921" w:rsidRDefault="00B03921" w:rsidP="00016914">
      <w:r>
        <w:t xml:space="preserve">Net cash flows from investing activities are estimated to decrease by $10.6 million as the State considers various options to deliver core information technology services. </w:t>
      </w:r>
    </w:p>
    <w:p w:rsidR="00B03921" w:rsidRDefault="00B03921" w:rsidP="00016914">
      <w:r>
        <w:t>The estimated decrease of $50.2 million in net cash flows from financing activities in 2015</w:t>
      </w:r>
      <w:r>
        <w:noBreakHyphen/>
        <w:t>16 compared to the 2014</w:t>
      </w:r>
      <w:r>
        <w:noBreakHyphen/>
        <w:t>15 revised budget is predominantly associated with the machinery of government transfer of CenITex to the Department.</w:t>
      </w:r>
    </w:p>
    <w:p w:rsidR="00B03921" w:rsidRDefault="00B03921">
      <w:pPr>
        <w:spacing w:after="0"/>
        <w:rPr>
          <w:rFonts w:ascii="Calibri" w:hAnsi="Calibri"/>
          <w:b/>
          <w:sz w:val="26"/>
          <w:szCs w:val="22"/>
        </w:rPr>
      </w:pPr>
      <w:r>
        <w:br w:type="page"/>
      </w:r>
    </w:p>
    <w:p w:rsidR="00B03921" w:rsidRDefault="00B03921" w:rsidP="00016914">
      <w:pPr>
        <w:pStyle w:val="Heading2"/>
      </w:pPr>
      <w:r w:rsidRPr="0090460D">
        <w:t>Administered items statement</w:t>
      </w:r>
    </w:p>
    <w:p w:rsidR="00B03921" w:rsidRDefault="00B03921" w:rsidP="00016914">
      <w:r w:rsidRPr="006A6E4B">
        <w:t>The Department manages a large number of transactions on behalf of the State, for which it does not exercise direct control, for example, the collection of State taxation income and administration of the State</w:t>
      </w:r>
      <w:r w:rsidR="00BA5A16">
        <w:t>’</w:t>
      </w:r>
      <w:r w:rsidRPr="006A6E4B">
        <w:t>s superannuation expenses.</w:t>
      </w:r>
    </w:p>
    <w:p w:rsidR="00B03921" w:rsidRDefault="00B03921" w:rsidP="00016914">
      <w:r w:rsidRPr="006A6E4B">
        <w:t>Total administered income is expected to increase b</w:t>
      </w:r>
      <w:r>
        <w:t>y $2.3 billion between the 2014</w:t>
      </w:r>
      <w:r>
        <w:noBreakHyphen/>
      </w:r>
      <w:r w:rsidRPr="006A6E4B">
        <w:t>15 revised budget and the 2015</w:t>
      </w:r>
      <w:r>
        <w:noBreakHyphen/>
      </w:r>
      <w:r w:rsidRPr="006A6E4B">
        <w:t>16 budget. Total grant revenue is estimated to increase by $774 million, primarily associated with the Commonwealth Government aggregated payments, covering Specific Purpose and National Partnership payments.</w:t>
      </w:r>
    </w:p>
    <w:p w:rsidR="00B03921" w:rsidRDefault="00B03921" w:rsidP="00016914">
      <w:r w:rsidRPr="006A6E4B">
        <w:t>The $996 million increase in other income mainly relates to State taxation revenues.</w:t>
      </w:r>
    </w:p>
    <w:p w:rsidR="00B03921" w:rsidRDefault="00B03921" w:rsidP="00016914">
      <w:r w:rsidRPr="006A6E4B">
        <w:t>Administered operating expenses are expected to increase by $1.5 billion, largely reflecting the increase in revenue receipts that are required to be transferred into the Consolidated Fund.</w:t>
      </w:r>
    </w:p>
    <w:p w:rsidR="00B03921" w:rsidRDefault="00B03921">
      <w:pPr>
        <w:spacing w:after="0"/>
      </w:pPr>
      <w:r>
        <w:br w:type="page"/>
      </w:r>
    </w:p>
    <w:p w:rsidR="00B03921" w:rsidRDefault="00B03921" w:rsidP="00016914">
      <w:pPr>
        <w:pStyle w:val="Tableheading"/>
      </w:pPr>
      <w:r>
        <w:t>Table 3.7.1:</w:t>
      </w:r>
      <w:r>
        <w:tab/>
        <w:t>Comprehensive operating statement</w:t>
      </w:r>
    </w:p>
    <w:p w:rsidR="00B03921" w:rsidRPr="00FE4FB8" w:rsidRDefault="00B03921" w:rsidP="00016914">
      <w:pPr>
        <w:pStyle w:val="million"/>
        <w:rPr>
          <w:rFonts w:ascii="Times New Roman" w:hAnsi="Times New Roman"/>
          <w:sz w:val="20"/>
          <w:lang w:eastAsia="en-AU"/>
        </w:rPr>
      </w:pPr>
      <w:r>
        <w:t xml:space="preserve">($ </w:t>
      </w:r>
      <w:r w:rsidRPr="00FB241C">
        <w:t>million</w:t>
      </w:r>
      <w:r>
        <w:t>)</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975CAD" w:rsidRPr="00FE4FB8" w:rsidTr="00975CAD">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r w:rsidRPr="00FE4FB8">
              <w:rPr>
                <w:rFonts w:eastAsiaTheme="minorEastAsia"/>
                <w:lang w:eastAsia="en-AU"/>
              </w:rPr>
              <w:t xml:space="preserve"> </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975CAD" w:rsidRPr="00FE4FB8" w:rsidTr="00975CAD">
        <w:trPr>
          <w:gridAfter w:val="1"/>
          <w:wAfter w:w="37" w:type="dxa"/>
        </w:trPr>
        <w:tc>
          <w:tcPr>
            <w:tcW w:w="7760" w:type="dxa"/>
            <w:gridSpan w:val="5"/>
            <w:tcBorders>
              <w:top w:val="single" w:sz="6" w:space="0" w:color="auto"/>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975CAD" w:rsidRPr="00FE4FB8" w:rsidTr="00975CAD">
        <w:trPr>
          <w:gridAfter w:val="1"/>
          <w:wAfter w:w="37" w:type="dxa"/>
        </w:trPr>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236.9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242.7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154.8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29.3</w:t>
            </w:r>
          </w:p>
        </w:tc>
      </w:tr>
      <w:tr w:rsidR="00B03921" w:rsidRPr="00FE4FB8" w:rsidTr="00016914">
        <w:trPr>
          <w:gridAfter w:val="1"/>
          <w:wAfter w:w="37" w:type="dxa"/>
        </w:trPr>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297.9</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295.1</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373.3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432.2</w:t>
            </w:r>
          </w:p>
        </w:tc>
      </w:tr>
      <w:tr w:rsidR="00975CAD" w:rsidRPr="00FE4FB8" w:rsidTr="00975CAD">
        <w:trPr>
          <w:gridAfter w:val="1"/>
          <w:wAfter w:w="37" w:type="dxa"/>
        </w:trPr>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124.2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153.2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183.5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149.0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159.4</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280.4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289.5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377.3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432.4</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17.5</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(4.0)</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(0.2)</w:t>
            </w:r>
          </w:p>
        </w:tc>
      </w:tr>
      <w:tr w:rsidR="00975CAD" w:rsidRPr="00FE4FB8" w:rsidTr="00975CAD">
        <w:trPr>
          <w:gridAfter w:val="1"/>
          <w:wAfter w:w="37" w:type="dxa"/>
        </w:trPr>
        <w:tc>
          <w:tcPr>
            <w:tcW w:w="7760" w:type="dxa"/>
            <w:gridSpan w:val="5"/>
            <w:tcBorders>
              <w:top w:val="nil"/>
              <w:left w:val="nil"/>
              <w:bottom w:val="nil"/>
              <w:right w:val="nil"/>
            </w:tcBorders>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w:t>
            </w:r>
          </w:p>
        </w:tc>
      </w:tr>
      <w:tr w:rsidR="00B03921" w:rsidRPr="00FE4FB8" w:rsidTr="00016914">
        <w:trPr>
          <w:gridAfter w:val="1"/>
          <w:wAfter w:w="37" w:type="dxa"/>
        </w:trPr>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w:t>
            </w:r>
          </w:p>
        </w:tc>
      </w:tr>
      <w:tr w:rsidR="00975CAD" w:rsidRPr="00FE4FB8" w:rsidTr="00975CAD">
        <w:tc>
          <w:tcPr>
            <w:tcW w:w="7797" w:type="dxa"/>
            <w:gridSpan w:val="6"/>
            <w:tcBorders>
              <w:top w:val="nil"/>
              <w:left w:val="nil"/>
              <w:bottom w:val="nil"/>
              <w:right w:val="nil"/>
            </w:tcBorders>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29.7</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28.5</w:t>
            </w:r>
          </w:p>
        </w:tc>
      </w:tr>
    </w:tbl>
    <w:p w:rsidR="00B03921" w:rsidRDefault="00B03921" w:rsidP="00016914">
      <w:pPr>
        <w:pStyle w:val="Source"/>
      </w:pPr>
      <w:r w:rsidRPr="001D350D">
        <w:t xml:space="preserve">Source: </w:t>
      </w:r>
      <w:r>
        <w:t>Department of</w:t>
      </w:r>
      <w:r w:rsidRPr="001D350D">
        <w:t xml:space="preserve">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 xml:space="preserve">ns of the Department of </w:t>
      </w:r>
      <w:r w:rsidRPr="001D350D">
        <w:t>Treasury and Finance</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FB241C">
        <w:rPr>
          <w:i w:val="0"/>
        </w:rPr>
        <w:t>2014</w:t>
      </w:r>
      <w:r w:rsidRPr="00FB241C">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w:t>
      </w:r>
      <w:r>
        <w:noBreakHyphen/>
        <w:t>15 revised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 w:rsidR="00B03921" w:rsidRDefault="00B03921" w:rsidP="00016914"/>
    <w:p w:rsidR="00B03921" w:rsidRDefault="00B03921" w:rsidP="00016914">
      <w:pPr>
        <w:pStyle w:val="Tableheading"/>
      </w:pPr>
      <w:r>
        <w:t>Table 3.7.2:</w:t>
      </w:r>
      <w:r>
        <w:tab/>
        <w:t>Balance sheet</w:t>
      </w:r>
    </w:p>
    <w:p w:rsidR="00B03921" w:rsidRPr="00FE4FB8" w:rsidRDefault="00B03921" w:rsidP="00016914">
      <w:pPr>
        <w:pStyle w:val="million"/>
        <w:rPr>
          <w:rFonts w:ascii="Times New Roman" w:hAnsi="Times New Roman"/>
          <w:sz w:val="20"/>
          <w:lang w:eastAsia="en-AU"/>
        </w:rPr>
      </w:pPr>
      <w:r>
        <w:t>($ million)</w:t>
      </w:r>
      <w:r w:rsidRPr="001D350D">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975CAD" w:rsidRPr="00FE4FB8" w:rsidTr="00975CAD">
        <w:trPr>
          <w:tblHeader/>
        </w:trPr>
        <w:tc>
          <w:tcPr>
            <w:tcW w:w="3784" w:type="dxa"/>
            <w:vMerge w:val="restart"/>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vMerge w:val="restart"/>
            <w:tcBorders>
              <w:top w:val="single" w:sz="6" w:space="0" w:color="auto"/>
              <w:left w:val="nil"/>
              <w:right w:val="nil"/>
            </w:tcBorders>
            <w:shd w:val="clear" w:color="000000" w:fill="000000"/>
          </w:tcPr>
          <w:p w:rsidR="00975CAD" w:rsidRPr="00FE4FB8" w:rsidRDefault="00975CAD"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975CAD" w:rsidRPr="00FE4FB8" w:rsidRDefault="00975CAD" w:rsidP="00016914">
            <w:pPr>
              <w:pStyle w:val="Tabletextheading"/>
              <w:rPr>
                <w:rFonts w:eastAsiaTheme="minorEastAsia"/>
                <w:color w:val="FFFFFF"/>
                <w:lang w:eastAsia="en-AU"/>
              </w:rPr>
            </w:pPr>
            <w:r w:rsidRPr="00FE4FB8">
              <w:rPr>
                <w:rFonts w:eastAsiaTheme="minorEastAsia"/>
                <w:color w:val="FFFFFF"/>
                <w:lang w:eastAsia="en-AU"/>
              </w:rPr>
              <w:t>2014</w:t>
            </w:r>
          </w:p>
          <w:p w:rsidR="00975CAD" w:rsidRPr="00FE4FB8" w:rsidRDefault="00975CAD" w:rsidP="00016914">
            <w:pPr>
              <w:pStyle w:val="Tabletextheading"/>
              <w:rPr>
                <w:rFonts w:eastAsiaTheme="minorEastAsia"/>
                <w:color w:val="FFFFFF"/>
                <w:lang w:eastAsia="en-AU"/>
              </w:rPr>
            </w:pPr>
            <w:r w:rsidRPr="00FE4FB8">
              <w:rPr>
                <w:rFonts w:eastAsiaTheme="minorEastAsia"/>
                <w:color w:val="FFFFFF"/>
                <w:lang w:eastAsia="en-AU"/>
              </w:rPr>
              <w:t>actual</w:t>
            </w:r>
            <w:r w:rsidRPr="00FE4FB8">
              <w:rPr>
                <w:rFonts w:eastAsiaTheme="minorEastAsia"/>
                <w:color w:val="FFFFFF"/>
                <w:vertAlign w:val="superscript"/>
                <w:lang w:eastAsia="en-AU"/>
              </w:rPr>
              <w:t>(a)</w:t>
            </w:r>
          </w:p>
        </w:tc>
        <w:tc>
          <w:tcPr>
            <w:tcW w:w="2982" w:type="dxa"/>
            <w:gridSpan w:val="3"/>
            <w:tcBorders>
              <w:top w:val="single" w:sz="6" w:space="0" w:color="auto"/>
              <w:left w:val="nil"/>
              <w:bottom w:val="nil"/>
              <w:right w:val="single" w:sz="6" w:space="0" w:color="auto"/>
            </w:tcBorders>
            <w:shd w:val="clear" w:color="000000" w:fill="000000"/>
          </w:tcPr>
          <w:p w:rsidR="00975CAD" w:rsidRPr="00FE4FB8" w:rsidRDefault="00975CAD" w:rsidP="00975CAD">
            <w:pPr>
              <w:pStyle w:val="Tabletextheading"/>
              <w:jc w:val="center"/>
              <w:rPr>
                <w:rFonts w:eastAsiaTheme="minorEastAsia"/>
                <w:color w:val="FFFFFF"/>
                <w:lang w:eastAsia="en-AU"/>
              </w:rPr>
            </w:pPr>
            <w:r>
              <w:rPr>
                <w:rFonts w:eastAsiaTheme="minorEastAsia"/>
                <w:color w:val="FFFFFF"/>
                <w:lang w:eastAsia="en-AU"/>
              </w:rPr>
              <w:t>E</w:t>
            </w:r>
            <w:r w:rsidRPr="00FE4FB8">
              <w:rPr>
                <w:rFonts w:eastAsiaTheme="minorEastAsia"/>
                <w:lang w:eastAsia="en-AU"/>
              </w:rPr>
              <w:t>stimated as at 30 June</w:t>
            </w:r>
          </w:p>
        </w:tc>
      </w:tr>
      <w:tr w:rsidR="00975CAD" w:rsidRPr="00FE4FB8" w:rsidTr="00975CAD">
        <w:trPr>
          <w:trHeight w:val="488"/>
          <w:tblHeader/>
        </w:trPr>
        <w:tc>
          <w:tcPr>
            <w:tcW w:w="3784" w:type="dxa"/>
            <w:vMerge/>
            <w:tcBorders>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vMerge/>
            <w:tcBorders>
              <w:left w:val="nil"/>
              <w:right w:val="nil"/>
            </w:tcBorders>
            <w:shd w:val="clear" w:color="000000" w:fill="000000"/>
          </w:tcPr>
          <w:p w:rsidR="00975CAD" w:rsidRPr="00FE4FB8" w:rsidRDefault="00975CAD"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r w:rsidRPr="00FE4FB8">
              <w:rPr>
                <w:rFonts w:eastAsiaTheme="minorEastAsia" w:cs="Calibri"/>
                <w:iCs/>
                <w:color w:val="FFFFFF"/>
                <w:vertAlign w:val="superscript"/>
                <w:lang w:eastAsia="en-AU"/>
              </w:rPr>
              <w:t>b)</w:t>
            </w:r>
          </w:p>
        </w:tc>
        <w:tc>
          <w:tcPr>
            <w:tcW w:w="994" w:type="dxa"/>
            <w:tcBorders>
              <w:top w:val="nil"/>
              <w:left w:val="nil"/>
              <w:right w:val="nil"/>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994" w:type="dxa"/>
            <w:tcBorders>
              <w:top w:val="nil"/>
              <w:left w:val="nil"/>
              <w:right w:val="single" w:sz="6" w:space="0" w:color="auto"/>
            </w:tcBorders>
            <w:shd w:val="clear" w:color="000000" w:fill="000000"/>
          </w:tcPr>
          <w:p w:rsidR="00975CAD" w:rsidRPr="00FE4FB8" w:rsidRDefault="00975CAD" w:rsidP="00975CAD">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975CAD" w:rsidRPr="00FE4FB8" w:rsidTr="00975CAD">
        <w:tc>
          <w:tcPr>
            <w:tcW w:w="7760" w:type="dxa"/>
            <w:gridSpan w:val="5"/>
            <w:tcBorders>
              <w:top w:val="single" w:sz="6" w:space="0" w:color="auto"/>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Assets</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159.9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220.4</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221.1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249.5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293.4</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519.7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532.6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573.4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549.8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571.8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644.5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641.8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771.0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821.2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901.4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935.2</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Liabilities</w:t>
            </w: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108.7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118.3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146.8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150.2</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662.2</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703.0</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754.6</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785.0</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178.9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184.4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109.4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296.6</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246.3</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251.7</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377.2</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379.0</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662.2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703.0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754.6</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785.0</w:t>
            </w:r>
          </w:p>
        </w:tc>
      </w:tr>
    </w:tbl>
    <w:p w:rsidR="00B03921" w:rsidRDefault="00B03921" w:rsidP="00016914">
      <w:pPr>
        <w:pStyle w:val="Source"/>
      </w:pPr>
      <w:r w:rsidRPr="001D350D">
        <w:t xml:space="preserve">Source: </w:t>
      </w:r>
      <w:r>
        <w:t>Department of</w:t>
      </w:r>
      <w:r w:rsidRPr="001D350D">
        <w:t xml:space="preserve">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reflect the operations of the</w:t>
      </w:r>
      <w:r>
        <w:t xml:space="preserve"> </w:t>
      </w:r>
      <w:r w:rsidRPr="004D3EC3">
        <w:t xml:space="preserve">Department of </w:t>
      </w:r>
      <w:r>
        <w:t xml:space="preserve">Treasury and Finance </w:t>
      </w:r>
      <w:r w:rsidRPr="004D3EC3">
        <w:t xml:space="preserve">included in the </w:t>
      </w:r>
      <w:r w:rsidRPr="00ED1C61">
        <w:rPr>
          <w:i w:val="0"/>
        </w:rPr>
        <w:t>2013-14 Financial Report</w:t>
      </w:r>
      <w:r w:rsidRPr="00A25614">
        <w:rPr>
          <w:i w:val="0"/>
        </w:rPr>
        <w:t xml:space="preserve"> </w:t>
      </w:r>
      <w:r w:rsidRPr="00ED1C61">
        <w:t>for the State of Victoria</w:t>
      </w:r>
      <w:r w:rsidRPr="004D3EC3">
        <w:t xml:space="preserve"> or the </w:t>
      </w:r>
      <w:r w:rsidRPr="00FB241C">
        <w:rPr>
          <w:i w:val="0"/>
        </w:rPr>
        <w:t>2014</w:t>
      </w:r>
      <w:r w:rsidRPr="00FB241C">
        <w:rPr>
          <w:i w:val="0"/>
        </w:rPr>
        <w:noBreakHyphen/>
        <w:t>15 Budget</w:t>
      </w:r>
      <w:r w:rsidRPr="004D3EC3">
        <w:t>, which do not include the impact of machinery of government changes effective from 1 January 2015.</w:t>
      </w:r>
    </w:p>
    <w:p w:rsidR="00B03921" w:rsidRDefault="00B03921" w:rsidP="00016914">
      <w:pPr>
        <w:pStyle w:val="Notes"/>
      </w:pPr>
      <w:r w:rsidRPr="004D3EC3">
        <w:t xml:space="preserve">(b) </w:t>
      </w:r>
      <w:r>
        <w:tab/>
        <w:t>The 2015 budget figures have been restated to reflect the 20</w:t>
      </w:r>
      <w:r w:rsidRPr="00B21426">
        <w:t>14 actual closing balance</w:t>
      </w:r>
      <w:r>
        <w:t>s</w:t>
      </w:r>
      <w:r w:rsidRPr="00B21426">
        <w:t>.</w:t>
      </w:r>
    </w:p>
    <w:p w:rsidR="00B03921" w:rsidRDefault="00B03921" w:rsidP="00016914">
      <w:pPr>
        <w:pStyle w:val="Notes"/>
      </w:pPr>
      <w:r>
        <w:t>(c)</w:t>
      </w:r>
      <w:r>
        <w:tab/>
        <w:t>The 2015 r</w:t>
      </w:r>
      <w:r w:rsidRPr="004D3EC3">
        <w:t>ev</w:t>
      </w:r>
      <w:r>
        <w:t>ised and 2016 budget reflect</w:t>
      </w:r>
      <w:r w:rsidRPr="004D3EC3">
        <w:t xml:space="preserve"> the full impact of machinery of gove</w:t>
      </w:r>
      <w:r>
        <w:t>rnment changes effective from 1 </w:t>
      </w:r>
      <w:r w:rsidRPr="004D3EC3">
        <w:t>January 2015.</w:t>
      </w:r>
    </w:p>
    <w:p w:rsidR="00B03921" w:rsidRDefault="00B03921" w:rsidP="00016914"/>
    <w:p w:rsidR="00B03921" w:rsidRDefault="00B03921" w:rsidP="00016914">
      <w:pPr>
        <w:spacing w:after="0"/>
        <w:rPr>
          <w:rFonts w:ascii="Calibri" w:hAnsi="Calibri"/>
          <w:b/>
        </w:rPr>
      </w:pPr>
      <w:r>
        <w:br w:type="page"/>
      </w:r>
    </w:p>
    <w:p w:rsidR="00B03921" w:rsidRDefault="00B03921" w:rsidP="00016914">
      <w:pPr>
        <w:pStyle w:val="Tableheading"/>
      </w:pPr>
      <w:r>
        <w:t>Table 3.7.3: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975CAD" w:rsidRPr="00FE4FB8" w:rsidTr="00975CAD">
        <w:trPr>
          <w:trHeight w:val="370"/>
          <w:tblHeader/>
        </w:trPr>
        <w:tc>
          <w:tcPr>
            <w:tcW w:w="3784" w:type="dxa"/>
            <w:tcBorders>
              <w:top w:val="single" w:sz="6" w:space="0" w:color="auto"/>
              <w:left w:val="single" w:sz="6" w:space="0" w:color="auto"/>
              <w:right w:val="nil"/>
            </w:tcBorders>
            <w:shd w:val="clear" w:color="000000" w:fill="000000"/>
          </w:tcPr>
          <w:p w:rsidR="00975CAD" w:rsidRPr="00FE4FB8" w:rsidRDefault="00975CAD"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94" w:type="dxa"/>
            <w:tcBorders>
              <w:top w:val="single" w:sz="6" w:space="0" w:color="auto"/>
              <w:left w:val="nil"/>
              <w:right w:val="nil"/>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994" w:type="dxa"/>
            <w:tcBorders>
              <w:top w:val="single" w:sz="6" w:space="0" w:color="auto"/>
              <w:left w:val="nil"/>
              <w:right w:val="single" w:sz="6" w:space="0" w:color="auto"/>
            </w:tcBorders>
            <w:shd w:val="clear" w:color="000000" w:fill="000000"/>
          </w:tcPr>
          <w:p w:rsidR="00975CAD" w:rsidRPr="00FE4FB8" w:rsidRDefault="00975CAD" w:rsidP="00975CAD">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975CAD" w:rsidRPr="00FE4FB8" w:rsidTr="00975CAD">
        <w:tc>
          <w:tcPr>
            <w:tcW w:w="7760" w:type="dxa"/>
            <w:gridSpan w:val="5"/>
            <w:tcBorders>
              <w:top w:val="single" w:sz="6" w:space="0" w:color="auto"/>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operating activities</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212.2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219.6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206.7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192.5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467.5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343.5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399.6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(18.1)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(14.9)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(217.0)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(206.8)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(298.0)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(328.5)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(21.2)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(253.5)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(252.5)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(337.4)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(364.7)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214.0</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34.9</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(32.6)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(8.4)</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(32.8)</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(48.2)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(37.6)</w:t>
            </w:r>
          </w:p>
        </w:tc>
      </w:tr>
      <w:tr w:rsidR="00975CAD" w:rsidRPr="00FE4FB8" w:rsidTr="00975CAD">
        <w:tc>
          <w:tcPr>
            <w:tcW w:w="7760" w:type="dxa"/>
            <w:gridSpan w:val="5"/>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(225.2)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(0.9)</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(231.3)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8.1</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53.5</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(25.6)</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11.4</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0.5</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86.8</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61.2</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61.2</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72.5</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61.2</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62.3</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72.5</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73.1</w:t>
            </w:r>
          </w:p>
        </w:tc>
      </w:tr>
    </w:tbl>
    <w:p w:rsidR="00B03921" w:rsidRDefault="00B03921" w:rsidP="00016914">
      <w:pPr>
        <w:pStyle w:val="Source"/>
      </w:pPr>
      <w:r w:rsidRPr="001D350D">
        <w:t xml:space="preserve">Source: </w:t>
      </w:r>
      <w:r>
        <w:t>Department of</w:t>
      </w:r>
      <w:r w:rsidRPr="001D350D">
        <w:t xml:space="preserve">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ns of the Department of Treasury and Finance</w:t>
      </w:r>
      <w:r w:rsidRPr="00B0679B">
        <w:t xml:space="preserve"> included in the </w:t>
      </w:r>
      <w:r w:rsidRPr="00ED1C61">
        <w:rPr>
          <w:i w:val="0"/>
        </w:rPr>
        <w:t>2013-14 Financial Report</w:t>
      </w:r>
      <w:r w:rsidRPr="00A25614">
        <w:rPr>
          <w:i w:val="0"/>
        </w:rPr>
        <w:t xml:space="preserve"> </w:t>
      </w:r>
      <w:r w:rsidRPr="00ED1C61">
        <w:t>for the State of Victoria</w:t>
      </w:r>
      <w:r w:rsidRPr="00B0679B">
        <w:t xml:space="preserve"> or the </w:t>
      </w:r>
      <w:r w:rsidRPr="00FB241C">
        <w:rPr>
          <w:i w:val="0"/>
        </w:rPr>
        <w:t>2014</w:t>
      </w:r>
      <w:r w:rsidRPr="00FB241C">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rsidRPr="00B0679B">
        <w:t xml:space="preserve">(b) </w:t>
      </w:r>
      <w:r>
        <w:tab/>
        <w:t>The 2014</w:t>
      </w:r>
      <w:r>
        <w:noBreakHyphen/>
        <w:t>15 revised and 2015</w:t>
      </w:r>
      <w:r>
        <w:noBreakHyphen/>
        <w:t>16 budget reflect</w:t>
      </w:r>
      <w:r w:rsidRPr="00B0679B">
        <w:t xml:space="preserve"> the full impact of machinery of gove</w:t>
      </w:r>
      <w:r>
        <w:t>rnment changes effective from 1 </w:t>
      </w:r>
      <w:r w:rsidRPr="00B0679B">
        <w:t>January 2015.</w:t>
      </w:r>
    </w:p>
    <w:p w:rsidR="00B03921" w:rsidRPr="001D350D" w:rsidRDefault="00B03921" w:rsidP="00016914">
      <w:pPr>
        <w:pStyle w:val="Notes"/>
      </w:pPr>
      <w:r>
        <w:t>(c)</w:t>
      </w:r>
      <w:r>
        <w:tab/>
        <w:t>Figures have been restated to better reflect the nature of related cash flows.</w:t>
      </w:r>
    </w:p>
    <w:p w:rsidR="00B03921" w:rsidRDefault="00B03921" w:rsidP="00016914">
      <w:pPr>
        <w:spacing w:after="0"/>
        <w:rPr>
          <w:rFonts w:ascii="Calibri" w:hAnsi="Calibri"/>
          <w:b/>
        </w:rPr>
      </w:pPr>
      <w:r>
        <w:br w:type="page"/>
      </w:r>
    </w:p>
    <w:p w:rsidR="00B03921" w:rsidRDefault="00B03921" w:rsidP="00016914">
      <w:pPr>
        <w:pStyle w:val="Tableheading"/>
      </w:pPr>
      <w:r>
        <w:t>Table 3.7.4: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285"/>
        <w:gridCol w:w="505"/>
        <w:gridCol w:w="994"/>
        <w:gridCol w:w="1231"/>
        <w:gridCol w:w="1105"/>
        <w:gridCol w:w="854"/>
        <w:gridCol w:w="786"/>
      </w:tblGrid>
      <w:tr w:rsidR="00B03921" w:rsidRPr="00FE4FB8" w:rsidTr="00016914">
        <w:tc>
          <w:tcPr>
            <w:tcW w:w="2285"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499"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31"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105"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854"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786"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166.7</w:t>
            </w:r>
          </w:p>
        </w:tc>
        <w:tc>
          <w:tcPr>
            <w:tcW w:w="123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246.4</w:t>
            </w:r>
          </w:p>
        </w:tc>
        <w:tc>
          <w:tcPr>
            <w:tcW w:w="110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237.1</w:t>
            </w:r>
          </w:p>
        </w:tc>
        <w:tc>
          <w:tcPr>
            <w:tcW w:w="85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8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650.1</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12.2</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12.2</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1"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(0.1)</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2014 (actual)</w:t>
            </w:r>
            <w:r w:rsidRPr="00FE4FB8">
              <w:rPr>
                <w:rFonts w:eastAsiaTheme="minorEastAsia"/>
                <w:b/>
                <w:bCs/>
                <w:vertAlign w:val="superscript"/>
                <w:lang w:eastAsia="en-AU"/>
              </w:rPr>
              <w:t>(a)</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178.9</w:t>
            </w:r>
          </w:p>
        </w:tc>
        <w:tc>
          <w:tcPr>
            <w:tcW w:w="123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246.3</w:t>
            </w:r>
          </w:p>
        </w:tc>
        <w:tc>
          <w:tcPr>
            <w:tcW w:w="110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237.1</w:t>
            </w:r>
          </w:p>
        </w:tc>
        <w:tc>
          <w:tcPr>
            <w:tcW w:w="85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8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662.2</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(a)(b)</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184.4</w:t>
            </w:r>
          </w:p>
        </w:tc>
        <w:tc>
          <w:tcPr>
            <w:tcW w:w="123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251.7</w:t>
            </w:r>
          </w:p>
        </w:tc>
        <w:tc>
          <w:tcPr>
            <w:tcW w:w="110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266.8</w:t>
            </w:r>
          </w:p>
        </w:tc>
        <w:tc>
          <w:tcPr>
            <w:tcW w:w="85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8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703.0</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(4.6)</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25.2</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(63.7)</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130.9</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67.2</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(revised)</w:t>
            </w:r>
            <w:r w:rsidRPr="00FE4FB8">
              <w:rPr>
                <w:rFonts w:eastAsiaTheme="minorEastAsia"/>
                <w:b/>
                <w:bCs/>
                <w:vertAlign w:val="superscript"/>
                <w:lang w:eastAsia="en-AU"/>
              </w:rPr>
              <w:t>(c)</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110.6</w:t>
            </w:r>
          </w:p>
        </w:tc>
        <w:tc>
          <w:tcPr>
            <w:tcW w:w="123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377.2</w:t>
            </w:r>
          </w:p>
        </w:tc>
        <w:tc>
          <w:tcPr>
            <w:tcW w:w="110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266.8</w:t>
            </w:r>
          </w:p>
        </w:tc>
        <w:tc>
          <w:tcPr>
            <w:tcW w:w="85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86"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754.6</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(1.2)</w:t>
            </w:r>
          </w:p>
        </w:tc>
        <w:tc>
          <w:tcPr>
            <w:tcW w:w="123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0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29.7</w:t>
            </w:r>
          </w:p>
        </w:tc>
        <w:tc>
          <w:tcPr>
            <w:tcW w:w="8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28.5</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1"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1105"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5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6"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w:t>
            </w:r>
          </w:p>
        </w:tc>
      </w:tr>
      <w:tr w:rsidR="00B03921" w:rsidRPr="00FE4FB8" w:rsidTr="00016914">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2016 (budget)</w:t>
            </w:r>
            <w:r w:rsidRPr="00FE4FB8">
              <w:rPr>
                <w:rFonts w:eastAsiaTheme="minorEastAsia"/>
                <w:b/>
                <w:bCs/>
                <w:vertAlign w:val="superscript"/>
                <w:lang w:eastAsia="en-AU"/>
              </w:rPr>
              <w:t>(c)</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109.4</w:t>
            </w:r>
          </w:p>
        </w:tc>
        <w:tc>
          <w:tcPr>
            <w:tcW w:w="123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379.0</w:t>
            </w:r>
          </w:p>
        </w:tc>
        <w:tc>
          <w:tcPr>
            <w:tcW w:w="110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296.6</w:t>
            </w:r>
          </w:p>
        </w:tc>
        <w:tc>
          <w:tcPr>
            <w:tcW w:w="85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86"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785.0</w:t>
            </w:r>
          </w:p>
        </w:tc>
      </w:tr>
    </w:tbl>
    <w:p w:rsidR="00B03921" w:rsidRDefault="00B03921" w:rsidP="00016914">
      <w:pPr>
        <w:pStyle w:val="Source"/>
      </w:pPr>
      <w:r w:rsidRPr="004F7ADD">
        <w:t xml:space="preserve">Source: </w:t>
      </w:r>
      <w:r>
        <w:t>Department of</w:t>
      </w:r>
      <w:r w:rsidRPr="004F7ADD">
        <w:t xml:space="preserve"> Treasury and Finance</w:t>
      </w:r>
    </w:p>
    <w:p w:rsidR="00B03921" w:rsidRDefault="00B03921" w:rsidP="00016914">
      <w:pPr>
        <w:pStyle w:val="Notes"/>
      </w:pPr>
      <w:r w:rsidRPr="004D3EC3">
        <w:t>Notes:</w:t>
      </w:r>
    </w:p>
    <w:p w:rsidR="00B03921" w:rsidRDefault="00B03921" w:rsidP="00016914">
      <w:pPr>
        <w:pStyle w:val="Notes"/>
      </w:pPr>
      <w:r w:rsidRPr="004D3EC3">
        <w:t xml:space="preserve">(a) </w:t>
      </w:r>
      <w:r>
        <w:tab/>
      </w:r>
      <w:r w:rsidRPr="004D3EC3">
        <w:t>Figures for 2014</w:t>
      </w:r>
      <w:r>
        <w:t xml:space="preserve"> actual</w:t>
      </w:r>
      <w:r w:rsidRPr="004D3EC3">
        <w:t xml:space="preserve"> and 2015</w:t>
      </w:r>
      <w:r>
        <w:t xml:space="preserve"> budget</w:t>
      </w:r>
      <w:r w:rsidRPr="004D3EC3">
        <w:t xml:space="preserve"> refle</w:t>
      </w:r>
      <w:r>
        <w:t>ct the operations of the Department of Treasury and Finance</w:t>
      </w:r>
      <w:r w:rsidRPr="00B0679B">
        <w:t xml:space="preserve"> </w:t>
      </w:r>
      <w:r w:rsidRPr="004D3EC3">
        <w:t xml:space="preserve">included in the </w:t>
      </w:r>
      <w:r w:rsidRPr="00ED1C61">
        <w:rPr>
          <w:i w:val="0"/>
        </w:rPr>
        <w:t>2013-14 Financial Report</w:t>
      </w:r>
      <w:r w:rsidRPr="00A25614">
        <w:rPr>
          <w:i w:val="0"/>
        </w:rPr>
        <w:t xml:space="preserve"> </w:t>
      </w:r>
      <w:r w:rsidRPr="00ED1C61">
        <w:t>for the State of Victoria</w:t>
      </w:r>
      <w:r w:rsidRPr="004D3EC3">
        <w:t xml:space="preserve"> or the </w:t>
      </w:r>
      <w:r w:rsidRPr="00A25614">
        <w:rPr>
          <w:i w:val="0"/>
        </w:rPr>
        <w:t>2014-15 Budget</w:t>
      </w:r>
      <w:r w:rsidRPr="004D3EC3">
        <w:t>, which do not include the impact of machinery of government changes effective from 1 January 2015.</w:t>
      </w:r>
    </w:p>
    <w:p w:rsidR="00B03921" w:rsidRDefault="00B03921" w:rsidP="00016914">
      <w:pPr>
        <w:pStyle w:val="Notes"/>
      </w:pPr>
      <w:r>
        <w:t>(b)</w:t>
      </w:r>
      <w:r>
        <w:tab/>
        <w:t>The 2015 budget figures have been restated to reflect the 20</w:t>
      </w:r>
      <w:r w:rsidRPr="00B21426">
        <w:t>14 actual closing balance</w:t>
      </w:r>
      <w:r>
        <w:t>s</w:t>
      </w:r>
      <w:r w:rsidRPr="00B21426">
        <w:t>.</w:t>
      </w:r>
    </w:p>
    <w:p w:rsidR="00B03921" w:rsidRDefault="00B03921" w:rsidP="00016914">
      <w:pPr>
        <w:pStyle w:val="Notes"/>
      </w:pPr>
      <w:r>
        <w:t>(c</w:t>
      </w:r>
      <w:r w:rsidRPr="004D3EC3">
        <w:t xml:space="preserve">) </w:t>
      </w:r>
      <w:r>
        <w:tab/>
        <w:t>The 2015 r</w:t>
      </w:r>
      <w:r w:rsidRPr="004D3EC3">
        <w:t>ev</w:t>
      </w:r>
      <w:r>
        <w:t>ised and 2016 estimate reflect</w:t>
      </w:r>
      <w:r w:rsidRPr="004D3EC3">
        <w:t xml:space="preserve"> the full impact of machinery of gove</w:t>
      </w:r>
      <w:r>
        <w:t>rnment changes effective from 1 </w:t>
      </w:r>
      <w:r w:rsidRPr="004D3EC3">
        <w:t>January 2015.</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3.7.5:</w:t>
      </w:r>
      <w:r>
        <w:tab/>
        <w:t>Administered items statement</w:t>
      </w:r>
    </w:p>
    <w:p w:rsidR="00B03921" w:rsidRPr="00FE4FB8" w:rsidRDefault="00B03921" w:rsidP="00016914">
      <w:pPr>
        <w:pStyle w:val="million"/>
        <w:rPr>
          <w:rFonts w:ascii="Times New Roman" w:hAnsi="Times New Roman"/>
          <w:sz w:val="20"/>
          <w:lang w:eastAsia="en-AU"/>
        </w:rPr>
      </w:pPr>
      <w:r>
        <w:t>($ million)</w:t>
      </w:r>
      <w:r w:rsidRPr="004F7AD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09"/>
        <w:gridCol w:w="14"/>
        <w:gridCol w:w="1175"/>
        <w:gridCol w:w="924"/>
        <w:gridCol w:w="954"/>
        <w:gridCol w:w="37"/>
      </w:tblGrid>
      <w:tr w:rsidR="00975CAD" w:rsidRPr="00FE4FB8" w:rsidTr="00975CAD">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975CAD" w:rsidRPr="00FE4FB8" w:rsidRDefault="00975CAD" w:rsidP="00975CAD">
            <w:pPr>
              <w:pStyle w:val="Tabletext"/>
              <w:rPr>
                <w:rFonts w:eastAsiaTheme="minorEastAsia"/>
                <w:lang w:eastAsia="en-AU"/>
              </w:rPr>
            </w:pPr>
          </w:p>
        </w:tc>
        <w:tc>
          <w:tcPr>
            <w:tcW w:w="923" w:type="dxa"/>
            <w:gridSpan w:val="2"/>
            <w:tcBorders>
              <w:top w:val="single" w:sz="6" w:space="0" w:color="auto"/>
              <w:left w:val="nil"/>
              <w:right w:val="nil"/>
            </w:tcBorders>
            <w:shd w:val="clear" w:color="000000" w:fill="000000"/>
          </w:tcPr>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2013-14</w:t>
            </w:r>
          </w:p>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actual</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1175" w:type="dxa"/>
            <w:tcBorders>
              <w:top w:val="single" w:sz="6" w:space="0" w:color="auto"/>
              <w:left w:val="nil"/>
              <w:right w:val="nil"/>
            </w:tcBorders>
            <w:shd w:val="clear" w:color="000000" w:fill="000000"/>
          </w:tcPr>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2014-15</w:t>
            </w:r>
          </w:p>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budget</w:t>
            </w:r>
            <w:r w:rsidRPr="00FE4FB8">
              <w:rPr>
                <w:rFonts w:eastAsiaTheme="minorEastAsia"/>
                <w:iCs/>
                <w:color w:val="FFFFFF"/>
                <w:vertAlign w:val="superscript"/>
                <w:lang w:eastAsia="en-AU"/>
              </w:rPr>
              <w:t>(a)(b</w:t>
            </w:r>
            <w:r w:rsidRPr="00FE4FB8">
              <w:rPr>
                <w:rFonts w:eastAsiaTheme="minorEastAsia" w:cs="Calibri"/>
                <w:iCs/>
                <w:color w:val="FFFFFF"/>
                <w:vertAlign w:val="superscript"/>
                <w:lang w:eastAsia="en-AU"/>
              </w:rPr>
              <w:t>)(c)</w:t>
            </w:r>
          </w:p>
        </w:tc>
        <w:tc>
          <w:tcPr>
            <w:tcW w:w="924" w:type="dxa"/>
            <w:tcBorders>
              <w:top w:val="single" w:sz="6" w:space="0" w:color="auto"/>
              <w:left w:val="nil"/>
              <w:right w:val="nil"/>
            </w:tcBorders>
            <w:shd w:val="clear" w:color="000000" w:fill="000000"/>
          </w:tcPr>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2014-15</w:t>
            </w:r>
          </w:p>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revised</w:t>
            </w:r>
            <w:r w:rsidRPr="00FE4FB8">
              <w:rPr>
                <w:rFonts w:eastAsiaTheme="minorEastAsia"/>
                <w:iCs/>
                <w:color w:val="FFFFFF"/>
                <w:vertAlign w:val="superscript"/>
                <w:lang w:eastAsia="en-AU"/>
              </w:rPr>
              <w:t>(d)</w:t>
            </w:r>
          </w:p>
        </w:tc>
        <w:tc>
          <w:tcPr>
            <w:tcW w:w="954" w:type="dxa"/>
            <w:tcBorders>
              <w:top w:val="single" w:sz="6" w:space="0" w:color="auto"/>
              <w:left w:val="nil"/>
              <w:right w:val="single" w:sz="6" w:space="0" w:color="auto"/>
            </w:tcBorders>
            <w:shd w:val="clear" w:color="000000" w:fill="000000"/>
          </w:tcPr>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2015-16</w:t>
            </w:r>
          </w:p>
          <w:p w:rsidR="00975CAD" w:rsidRPr="00FE4FB8" w:rsidRDefault="00975CAD" w:rsidP="00016914">
            <w:pPr>
              <w:pStyle w:val="Tabletextheading"/>
              <w:rPr>
                <w:rFonts w:eastAsiaTheme="minorEastAsia"/>
                <w:iCs/>
                <w:color w:val="FFFFFF"/>
                <w:lang w:eastAsia="en-AU"/>
              </w:rPr>
            </w:pPr>
            <w:r w:rsidRPr="00FE4FB8">
              <w:rPr>
                <w:rFonts w:eastAsiaTheme="minorEastAsia"/>
                <w:iCs/>
                <w:color w:val="FFFFFF"/>
                <w:lang w:eastAsia="en-AU"/>
              </w:rPr>
              <w:t>budget</w:t>
            </w:r>
            <w:r w:rsidRPr="00FE4FB8">
              <w:rPr>
                <w:rFonts w:eastAsiaTheme="minorEastAsia"/>
                <w:iCs/>
                <w:color w:val="FFFFFF"/>
                <w:vertAlign w:val="superscript"/>
                <w:lang w:eastAsia="en-AU"/>
              </w:rPr>
              <w:t>(d)</w:t>
            </w:r>
          </w:p>
        </w:tc>
      </w:tr>
      <w:tr w:rsidR="00975CAD" w:rsidRPr="00FE4FB8" w:rsidTr="00975CAD">
        <w:trPr>
          <w:gridAfter w:val="1"/>
          <w:wAfter w:w="37" w:type="dxa"/>
        </w:trPr>
        <w:tc>
          <w:tcPr>
            <w:tcW w:w="7760" w:type="dxa"/>
            <w:gridSpan w:val="6"/>
            <w:tcBorders>
              <w:top w:val="single" w:sz="6" w:space="0" w:color="auto"/>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Appropriations – payments made on behalf of the State</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1 880.3</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2 434.3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2 481.5</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2 773.2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1 285.8</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2 252.4</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2 213.0</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2 415.4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16.1</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39.4</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40.6</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20 504.1</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19 690.2</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19 348.2</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20 122.1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65.1</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64.6</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71.1</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18 074.8</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19 257.9</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19 915.1</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20 910.7</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23"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41 826.2</w:t>
            </w:r>
          </w:p>
        </w:tc>
        <w:tc>
          <w:tcPr>
            <w:tcW w:w="11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43 738.8</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44 069.5</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46 329.1</w:t>
            </w:r>
          </w:p>
        </w:tc>
      </w:tr>
      <w:tr w:rsidR="00975CAD" w:rsidRPr="00FE4FB8" w:rsidTr="00975CAD">
        <w:trPr>
          <w:gridAfter w:val="1"/>
          <w:wAfter w:w="37" w:type="dxa"/>
          <w:trHeight w:hRule="exact" w:val="120"/>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lang w:eastAsia="en-AU"/>
              </w:rPr>
            </w:pPr>
          </w:p>
        </w:tc>
      </w:tr>
      <w:tr w:rsidR="00975CAD" w:rsidRPr="00FE4FB8" w:rsidTr="00975CAD">
        <w:trPr>
          <w:gridAfter w:val="1"/>
          <w:wAfter w:w="37" w:type="dxa"/>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229.7</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298.5</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823.7</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298.5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1 318.9</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1 412.8</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1 298.2</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1 610.1</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2 948.4</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2 950.3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3 243.2</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3 550.5</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38 139.6</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37 495.3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37 785.8</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39 158.6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1 300.5</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1 369.1</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1 266.9</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1 275.1</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23"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43 937.1</w:t>
            </w:r>
          </w:p>
        </w:tc>
        <w:tc>
          <w:tcPr>
            <w:tcW w:w="11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43 525.9</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44 417.7</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45 892.8</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23"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(2 110.8)</w:t>
            </w:r>
          </w:p>
        </w:tc>
        <w:tc>
          <w:tcPr>
            <w:tcW w:w="11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212.9</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(348.2)</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436.3</w:t>
            </w:r>
          </w:p>
        </w:tc>
      </w:tr>
      <w:tr w:rsidR="00975CAD" w:rsidRPr="00FE4FB8" w:rsidTr="00975CAD">
        <w:trPr>
          <w:gridAfter w:val="1"/>
          <w:wAfter w:w="37" w:type="dxa"/>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58.6</w:t>
            </w:r>
          </w:p>
        </w:tc>
        <w:tc>
          <w:tcPr>
            <w:tcW w:w="92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w:t>
            </w:r>
          </w:p>
        </w:tc>
        <w:tc>
          <w:tcPr>
            <w:tcW w:w="95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other economic flows</w:t>
            </w:r>
          </w:p>
        </w:tc>
        <w:tc>
          <w:tcPr>
            <w:tcW w:w="923" w:type="dxa"/>
            <w:gridSpan w:val="2"/>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(35.4)</w:t>
            </w:r>
          </w:p>
        </w:tc>
        <w:tc>
          <w:tcPr>
            <w:tcW w:w="117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285.6</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16.9</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23"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(34.3)</w:t>
            </w:r>
          </w:p>
        </w:tc>
        <w:tc>
          <w:tcPr>
            <w:tcW w:w="11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84.9</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284.4</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16.9</w:t>
            </w:r>
          </w:p>
        </w:tc>
      </w:tr>
      <w:tr w:rsidR="00B03921" w:rsidRPr="00FE4FB8" w:rsidTr="00016914">
        <w:trPr>
          <w:gridAfter w:val="1"/>
          <w:wAfter w:w="37" w:type="dxa"/>
        </w:trPr>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23" w:type="dxa"/>
            <w:gridSpan w:val="2"/>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(2 145.2)</w:t>
            </w:r>
          </w:p>
        </w:tc>
        <w:tc>
          <w:tcPr>
            <w:tcW w:w="1175"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297.8</w:t>
            </w:r>
          </w:p>
        </w:tc>
        <w:tc>
          <w:tcPr>
            <w:tcW w:w="92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(63.8)</w:t>
            </w:r>
          </w:p>
        </w:tc>
        <w:tc>
          <w:tcPr>
            <w:tcW w:w="95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453.2</w:t>
            </w:r>
          </w:p>
        </w:tc>
      </w:tr>
      <w:tr w:rsidR="00975CAD" w:rsidRPr="00FE4FB8" w:rsidTr="00975CAD">
        <w:trPr>
          <w:gridAfter w:val="1"/>
          <w:wAfter w:w="37" w:type="dxa"/>
          <w:trHeight w:hRule="exact" w:val="120"/>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b/>
                <w:bCs/>
                <w:lang w:eastAsia="en-AU"/>
              </w:rPr>
            </w:pPr>
          </w:p>
        </w:tc>
      </w:tr>
      <w:tr w:rsidR="00975CAD" w:rsidRPr="00FE4FB8" w:rsidTr="00975CAD">
        <w:tc>
          <w:tcPr>
            <w:tcW w:w="7797" w:type="dxa"/>
            <w:gridSpan w:val="7"/>
            <w:tcBorders>
              <w:top w:val="nil"/>
              <w:left w:val="nil"/>
              <w:bottom w:val="nil"/>
              <w:right w:val="nil"/>
            </w:tcBorders>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pPr>
            <w:r w:rsidRPr="00FE4FB8">
              <w:rPr>
                <w:rFonts w:eastAsiaTheme="minorEastAsia"/>
                <w:lang w:eastAsia="en-AU"/>
              </w:rPr>
              <w:t>Remeasurement of superannuation defined benefit plans</w:t>
            </w:r>
          </w:p>
        </w:tc>
        <w:tc>
          <w:tcPr>
            <w:tcW w:w="909"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(290.4)</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499.2</w:t>
            </w:r>
          </w:p>
        </w:tc>
        <w:tc>
          <w:tcPr>
            <w:tcW w:w="92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sidRPr="00FE4FB8">
              <w:rPr>
                <w:rFonts w:eastAsiaTheme="minorEastAsia"/>
                <w:lang w:eastAsia="en-AU"/>
              </w:rPr>
              <w:t xml:space="preserve">(4 </w:t>
            </w:r>
            <w:r w:rsidRPr="00FE4FB8">
              <w:rPr>
                <w:rFonts w:eastAsiaTheme="minorEastAsia" w:cs="Calibri"/>
                <w:color w:val="000000"/>
                <w:lang w:eastAsia="en-AU"/>
              </w:rPr>
              <w:t>278.8)</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962.4</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09"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(609.1)</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09"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(899.5)</w:t>
            </w:r>
          </w:p>
        </w:tc>
        <w:tc>
          <w:tcPr>
            <w:tcW w:w="1189"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499.2</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sidRPr="00FE4FB8">
              <w:rPr>
                <w:rFonts w:eastAsiaTheme="minorEastAsia"/>
                <w:b/>
                <w:bCs/>
                <w:lang w:eastAsia="en-AU"/>
              </w:rPr>
              <w:t xml:space="preserve">(4 </w:t>
            </w:r>
            <w:r w:rsidRPr="00FE4FB8">
              <w:rPr>
                <w:rFonts w:eastAsiaTheme="minorEastAsia" w:cs="Calibri"/>
                <w:b/>
                <w:bCs/>
                <w:color w:val="000000"/>
                <w:lang w:eastAsia="en-AU"/>
              </w:rPr>
              <w:t>278.8)</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962.4</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09"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(3 044.7)</w:t>
            </w:r>
          </w:p>
        </w:tc>
        <w:tc>
          <w:tcPr>
            <w:tcW w:w="1189" w:type="dxa"/>
            <w:gridSpan w:val="2"/>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797.0</w:t>
            </w:r>
          </w:p>
        </w:tc>
        <w:tc>
          <w:tcPr>
            <w:tcW w:w="92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sidRPr="00FE4FB8">
              <w:rPr>
                <w:rFonts w:eastAsiaTheme="minorEastAsia"/>
                <w:b/>
                <w:bCs/>
                <w:lang w:eastAsia="en-AU"/>
              </w:rPr>
              <w:t xml:space="preserve">(4 </w:t>
            </w:r>
            <w:r w:rsidRPr="00FE4FB8">
              <w:rPr>
                <w:rFonts w:eastAsiaTheme="minorEastAsia" w:cs="Calibri"/>
                <w:b/>
                <w:bCs/>
                <w:color w:val="000000"/>
                <w:lang w:eastAsia="en-AU"/>
              </w:rPr>
              <w:t>342.6)</w:t>
            </w:r>
          </w:p>
        </w:tc>
        <w:tc>
          <w:tcPr>
            <w:tcW w:w="95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1 415.6</w:t>
            </w:r>
          </w:p>
        </w:tc>
      </w:tr>
      <w:tr w:rsidR="00975CAD" w:rsidRPr="00FE4FB8" w:rsidTr="00975CAD">
        <w:trPr>
          <w:gridAfter w:val="1"/>
          <w:wAfter w:w="37" w:type="dxa"/>
          <w:trHeight w:hRule="exact" w:val="120"/>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b/>
                <w:bCs/>
                <w:lang w:eastAsia="en-AU"/>
              </w:rPr>
            </w:pPr>
            <w:r w:rsidRPr="00FE4FB8">
              <w:rPr>
                <w:rFonts w:eastAsiaTheme="minorEastAsia"/>
                <w:b/>
                <w:bCs/>
                <w:lang w:eastAsia="en-AU"/>
              </w:rPr>
              <w:t xml:space="preserve"> </w:t>
            </w:r>
          </w:p>
        </w:tc>
      </w:tr>
      <w:tr w:rsidR="00975CAD" w:rsidRPr="00FE4FB8" w:rsidTr="00975CAD">
        <w:trPr>
          <w:gridAfter w:val="1"/>
          <w:wAfter w:w="37" w:type="dxa"/>
        </w:trPr>
        <w:tc>
          <w:tcPr>
            <w:tcW w:w="7760" w:type="dxa"/>
            <w:gridSpan w:val="6"/>
            <w:tcBorders>
              <w:top w:val="nil"/>
              <w:left w:val="nil"/>
              <w:bottom w:val="nil"/>
              <w:right w:val="nil"/>
            </w:tcBorders>
          </w:tcPr>
          <w:p w:rsidR="00975CAD" w:rsidRPr="00FE4FB8" w:rsidRDefault="00975CAD" w:rsidP="00975CAD">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1 691.7</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1 673.2</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1 669.2</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1 768.2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633.6</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sidRPr="00FE4FB8">
              <w:rPr>
                <w:rFonts w:eastAsiaTheme="minorEastAsia"/>
                <w:lang w:eastAsia="en-AU"/>
              </w:rPr>
              <w:t>2 888.3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1 193.9</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2 509.6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480.8</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480.8</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480.8</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480.8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380.5</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11.5</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09"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2 807.4</w:t>
            </w:r>
          </w:p>
        </w:tc>
        <w:tc>
          <w:tcPr>
            <w:tcW w:w="1189"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5 424.0</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3 356.6</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4 812.8</w:t>
            </w:r>
          </w:p>
        </w:tc>
      </w:tr>
    </w:tbl>
    <w:p w:rsidR="0072051B" w:rsidRDefault="0072051B">
      <w:pPr>
        <w:spacing w:after="0"/>
        <w:rPr>
          <w:rFonts w:ascii="Calibri" w:hAnsi="Calibri"/>
          <w:b/>
        </w:rPr>
      </w:pPr>
    </w:p>
    <w:p w:rsidR="0072051B" w:rsidRDefault="0072051B" w:rsidP="0072051B">
      <w:pPr>
        <w:pStyle w:val="Tableheadingcontinued"/>
      </w:pPr>
      <w:r>
        <w:t>Table 3.7.5:</w:t>
      </w:r>
      <w:r>
        <w:tab/>
        <w:t xml:space="preserve">Administered items statement </w:t>
      </w:r>
      <w:r w:rsidRPr="0072051B">
        <w:rPr>
          <w:i/>
        </w:rPr>
        <w:t>(continued)</w:t>
      </w:r>
    </w:p>
    <w:p w:rsidR="0072051B" w:rsidRDefault="0072051B" w:rsidP="0072051B">
      <w:pPr>
        <w:pStyle w:val="million"/>
      </w:pPr>
      <w: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629"/>
        <w:gridCol w:w="155"/>
        <w:gridCol w:w="909"/>
        <w:gridCol w:w="14"/>
        <w:gridCol w:w="1175"/>
        <w:gridCol w:w="924"/>
        <w:gridCol w:w="954"/>
      </w:tblGrid>
      <w:tr w:rsidR="0072051B" w:rsidRPr="00FE4FB8" w:rsidTr="0072051B">
        <w:trPr>
          <w:trHeight w:val="503"/>
          <w:tblHeader/>
        </w:trPr>
        <w:tc>
          <w:tcPr>
            <w:tcW w:w="3784" w:type="dxa"/>
            <w:gridSpan w:val="2"/>
            <w:tcBorders>
              <w:top w:val="single" w:sz="6" w:space="0" w:color="auto"/>
              <w:left w:val="single" w:sz="6" w:space="0" w:color="auto"/>
              <w:right w:val="nil"/>
            </w:tcBorders>
            <w:shd w:val="clear" w:color="000000" w:fill="000000"/>
          </w:tcPr>
          <w:p w:rsidR="0072051B" w:rsidRPr="00FE4FB8" w:rsidRDefault="0072051B" w:rsidP="001037D3">
            <w:pPr>
              <w:pStyle w:val="Tabletext"/>
              <w:rPr>
                <w:rFonts w:eastAsiaTheme="minorEastAsia"/>
                <w:lang w:eastAsia="en-AU"/>
              </w:rPr>
            </w:pPr>
          </w:p>
        </w:tc>
        <w:tc>
          <w:tcPr>
            <w:tcW w:w="923" w:type="dxa"/>
            <w:gridSpan w:val="2"/>
            <w:tcBorders>
              <w:top w:val="single" w:sz="6" w:space="0" w:color="auto"/>
              <w:left w:val="nil"/>
              <w:right w:val="nil"/>
            </w:tcBorders>
            <w:shd w:val="clear" w:color="000000" w:fill="000000"/>
          </w:tcPr>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2013-14</w:t>
            </w:r>
          </w:p>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actual</w:t>
            </w:r>
            <w:r w:rsidRPr="00FE4FB8">
              <w:rPr>
                <w:rFonts w:eastAsiaTheme="minorEastAsia"/>
                <w:iCs/>
                <w:color w:val="FFFFFF"/>
                <w:vertAlign w:val="superscript"/>
                <w:lang w:eastAsia="en-AU"/>
              </w:rPr>
              <w:t>(a)(</w:t>
            </w:r>
            <w:r w:rsidRPr="00FE4FB8">
              <w:rPr>
                <w:rFonts w:eastAsiaTheme="minorEastAsia" w:cs="Calibri"/>
                <w:iCs/>
                <w:color w:val="FFFFFF"/>
                <w:vertAlign w:val="superscript"/>
                <w:lang w:eastAsia="en-AU"/>
              </w:rPr>
              <w:t>b)</w:t>
            </w:r>
          </w:p>
        </w:tc>
        <w:tc>
          <w:tcPr>
            <w:tcW w:w="1175" w:type="dxa"/>
            <w:tcBorders>
              <w:top w:val="single" w:sz="6" w:space="0" w:color="auto"/>
              <w:left w:val="nil"/>
              <w:right w:val="nil"/>
            </w:tcBorders>
            <w:shd w:val="clear" w:color="000000" w:fill="000000"/>
          </w:tcPr>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2014-15</w:t>
            </w:r>
          </w:p>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budget</w:t>
            </w:r>
            <w:r w:rsidRPr="00FE4FB8">
              <w:rPr>
                <w:rFonts w:eastAsiaTheme="minorEastAsia"/>
                <w:iCs/>
                <w:color w:val="FFFFFF"/>
                <w:vertAlign w:val="superscript"/>
                <w:lang w:eastAsia="en-AU"/>
              </w:rPr>
              <w:t>(a)(b</w:t>
            </w:r>
            <w:r w:rsidRPr="00FE4FB8">
              <w:rPr>
                <w:rFonts w:eastAsiaTheme="minorEastAsia" w:cs="Calibri"/>
                <w:iCs/>
                <w:color w:val="FFFFFF"/>
                <w:vertAlign w:val="superscript"/>
                <w:lang w:eastAsia="en-AU"/>
              </w:rPr>
              <w:t>)(c)</w:t>
            </w:r>
          </w:p>
        </w:tc>
        <w:tc>
          <w:tcPr>
            <w:tcW w:w="924" w:type="dxa"/>
            <w:tcBorders>
              <w:top w:val="single" w:sz="6" w:space="0" w:color="auto"/>
              <w:left w:val="nil"/>
              <w:right w:val="nil"/>
            </w:tcBorders>
            <w:shd w:val="clear" w:color="000000" w:fill="000000"/>
          </w:tcPr>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2014-15</w:t>
            </w:r>
          </w:p>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revised</w:t>
            </w:r>
            <w:r w:rsidRPr="00FE4FB8">
              <w:rPr>
                <w:rFonts w:eastAsiaTheme="minorEastAsia"/>
                <w:iCs/>
                <w:color w:val="FFFFFF"/>
                <w:vertAlign w:val="superscript"/>
                <w:lang w:eastAsia="en-AU"/>
              </w:rPr>
              <w:t>(d)</w:t>
            </w:r>
          </w:p>
        </w:tc>
        <w:tc>
          <w:tcPr>
            <w:tcW w:w="954" w:type="dxa"/>
            <w:tcBorders>
              <w:top w:val="single" w:sz="6" w:space="0" w:color="auto"/>
              <w:left w:val="nil"/>
              <w:right w:val="single" w:sz="6" w:space="0" w:color="auto"/>
            </w:tcBorders>
            <w:shd w:val="clear" w:color="000000" w:fill="000000"/>
          </w:tcPr>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2015-16</w:t>
            </w:r>
          </w:p>
          <w:p w:rsidR="0072051B" w:rsidRPr="00FE4FB8" w:rsidRDefault="0072051B" w:rsidP="001037D3">
            <w:pPr>
              <w:pStyle w:val="Tabletextheading"/>
              <w:rPr>
                <w:rFonts w:eastAsiaTheme="minorEastAsia"/>
                <w:iCs/>
                <w:color w:val="FFFFFF"/>
                <w:lang w:eastAsia="en-AU"/>
              </w:rPr>
            </w:pPr>
            <w:r w:rsidRPr="00FE4FB8">
              <w:rPr>
                <w:rFonts w:eastAsiaTheme="minorEastAsia"/>
                <w:iCs/>
                <w:color w:val="FFFFFF"/>
                <w:lang w:eastAsia="en-AU"/>
              </w:rPr>
              <w:t>budget</w:t>
            </w:r>
            <w:r w:rsidRPr="00FE4FB8">
              <w:rPr>
                <w:rFonts w:eastAsiaTheme="minorEastAsia"/>
                <w:iCs/>
                <w:color w:val="FFFFFF"/>
                <w:vertAlign w:val="superscript"/>
                <w:lang w:eastAsia="en-AU"/>
              </w:rPr>
              <w:t>(d)</w:t>
            </w:r>
          </w:p>
        </w:tc>
      </w:tr>
      <w:tr w:rsidR="00975CAD" w:rsidRPr="00FE4FB8" w:rsidTr="0072051B">
        <w:tc>
          <w:tcPr>
            <w:tcW w:w="7760" w:type="dxa"/>
            <w:gridSpan w:val="7"/>
            <w:tcBorders>
              <w:top w:val="nil"/>
              <w:left w:val="nil"/>
              <w:bottom w:val="nil"/>
              <w:right w:val="nil"/>
            </w:tcBorders>
          </w:tcPr>
          <w:p w:rsidR="00975CAD" w:rsidRPr="00FE4FB8" w:rsidRDefault="00975CAD" w:rsidP="0072051B">
            <w:pPr>
              <w:pStyle w:val="Tabletext"/>
              <w:ind w:left="181" w:hanging="181"/>
              <w:rPr>
                <w:rFonts w:eastAsiaTheme="minorEastAsia"/>
                <w:b/>
                <w:lang w:eastAsia="en-AU"/>
              </w:rPr>
            </w:pPr>
            <w:r w:rsidRPr="00FE4FB8">
              <w:rPr>
                <w:rFonts w:eastAsiaTheme="minorEastAsia"/>
                <w:b/>
                <w:bCs/>
                <w:lang w:eastAsia="en-AU"/>
              </w:rPr>
              <w:t>Administered liabilities</w:t>
            </w:r>
          </w:p>
        </w:tc>
      </w:tr>
      <w:tr w:rsidR="00B03921" w:rsidRPr="00FE4FB8" w:rsidTr="0072051B">
        <w:tc>
          <w:tcPr>
            <w:tcW w:w="3784"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558.5</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455.1</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459.7</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368.7</w:t>
            </w:r>
          </w:p>
        </w:tc>
      </w:tr>
      <w:tr w:rsidR="00B03921" w:rsidRPr="00FE4FB8" w:rsidTr="0072051B">
        <w:tc>
          <w:tcPr>
            <w:tcW w:w="3784"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24 657.1</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26 879.3</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25 266.8</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20 357.3</w:t>
            </w:r>
          </w:p>
        </w:tc>
      </w:tr>
      <w:tr w:rsidR="00B03921" w:rsidRPr="00FE4FB8" w:rsidTr="0072051B">
        <w:tc>
          <w:tcPr>
            <w:tcW w:w="3784"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11.9</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12.0</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626.9</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12.0</w:t>
            </w:r>
          </w:p>
        </w:tc>
      </w:tr>
      <w:tr w:rsidR="00B03921" w:rsidRPr="00FE4FB8" w:rsidTr="0072051B">
        <w:tc>
          <w:tcPr>
            <w:tcW w:w="3784"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0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26 253.7</w:t>
            </w:r>
          </w:p>
        </w:tc>
        <w:tc>
          <w:tcPr>
            <w:tcW w:w="1189"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25 951.8</w:t>
            </w:r>
          </w:p>
        </w:tc>
        <w:tc>
          <w:tcPr>
            <w:tcW w:w="92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30 754.0</w:t>
            </w:r>
          </w:p>
        </w:tc>
        <w:tc>
          <w:tcPr>
            <w:tcW w:w="95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29 810.4</w:t>
            </w:r>
          </w:p>
        </w:tc>
      </w:tr>
      <w:tr w:rsidR="00B03921" w:rsidRPr="00FE4FB8" w:rsidTr="0072051B">
        <w:tc>
          <w:tcPr>
            <w:tcW w:w="3784" w:type="dxa"/>
            <w:gridSpan w:val="2"/>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09"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51 481.2</w:t>
            </w:r>
          </w:p>
        </w:tc>
        <w:tc>
          <w:tcPr>
            <w:tcW w:w="1189"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53 298.2</w:t>
            </w:r>
          </w:p>
        </w:tc>
        <w:tc>
          <w:tcPr>
            <w:tcW w:w="92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57 107.4</w:t>
            </w:r>
          </w:p>
        </w:tc>
        <w:tc>
          <w:tcPr>
            <w:tcW w:w="95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50 548.3</w:t>
            </w:r>
          </w:p>
        </w:tc>
      </w:tr>
      <w:tr w:rsidR="00B03921" w:rsidRPr="00FE4FB8" w:rsidTr="0072051B">
        <w:tc>
          <w:tcPr>
            <w:tcW w:w="3629"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1064"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(48 673.9)</w:t>
            </w:r>
          </w:p>
        </w:tc>
        <w:tc>
          <w:tcPr>
            <w:tcW w:w="1189"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(47 874.1)</w:t>
            </w:r>
          </w:p>
        </w:tc>
        <w:tc>
          <w:tcPr>
            <w:tcW w:w="92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(53 750.8)</w:t>
            </w:r>
          </w:p>
        </w:tc>
        <w:tc>
          <w:tcPr>
            <w:tcW w:w="95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(45 735.5)</w:t>
            </w:r>
          </w:p>
        </w:tc>
      </w:tr>
    </w:tbl>
    <w:p w:rsidR="00B03921" w:rsidRDefault="00B03921" w:rsidP="00016914">
      <w:pPr>
        <w:pStyle w:val="Source"/>
      </w:pPr>
      <w:r w:rsidRPr="004F7ADD">
        <w:t xml:space="preserve">Source: </w:t>
      </w:r>
      <w:r>
        <w:t>Department of</w:t>
      </w:r>
      <w:r w:rsidRPr="004F7ADD">
        <w:t xml:space="preserve">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B0679B">
        <w:t>Figures for 2013</w:t>
      </w:r>
      <w:r>
        <w:noBreakHyphen/>
      </w:r>
      <w:r w:rsidRPr="00B0679B">
        <w:t>14</w:t>
      </w:r>
      <w:r>
        <w:t xml:space="preserve"> actual</w:t>
      </w:r>
      <w:r w:rsidRPr="00B0679B">
        <w:t xml:space="preserve"> and 2014</w:t>
      </w:r>
      <w:r>
        <w:noBreakHyphen/>
      </w:r>
      <w:r w:rsidRPr="00B0679B">
        <w:t>15</w:t>
      </w:r>
      <w:r>
        <w:t xml:space="preserve"> budget</w:t>
      </w:r>
      <w:r w:rsidRPr="00B0679B">
        <w:t xml:space="preserve"> reflect the operatio</w:t>
      </w:r>
      <w:r>
        <w:t xml:space="preserve">ns of the Department of Treasury and Finance </w:t>
      </w:r>
      <w:r w:rsidRPr="00B0679B">
        <w:t xml:space="preserve">included in the </w:t>
      </w:r>
      <w:r w:rsidRPr="00ED1C61">
        <w:rPr>
          <w:i w:val="0"/>
        </w:rPr>
        <w:t>2013-14 Financial Report</w:t>
      </w:r>
      <w:r w:rsidRPr="00A25614">
        <w:rPr>
          <w:i w:val="0"/>
        </w:rPr>
        <w:t xml:space="preserve"> </w:t>
      </w:r>
      <w:r w:rsidRPr="00ED1C61">
        <w:t>for the State of Victoria</w:t>
      </w:r>
      <w:r w:rsidRPr="00B0679B">
        <w:t xml:space="preserve"> or the </w:t>
      </w:r>
      <w:r w:rsidRPr="00FB241C">
        <w:rPr>
          <w:i w:val="0"/>
        </w:rPr>
        <w:t>2014</w:t>
      </w:r>
      <w:r w:rsidRPr="00FB241C">
        <w:rPr>
          <w:i w:val="0"/>
        </w:rPr>
        <w:noBreakHyphen/>
        <w:t>15 Budget</w:t>
      </w:r>
      <w:r w:rsidRPr="00B0679B">
        <w:t xml:space="preserve">, which do not include the impact of machinery of government changes effective from 1 January 2015. </w:t>
      </w:r>
    </w:p>
    <w:p w:rsidR="00B03921" w:rsidRDefault="00B03921" w:rsidP="00016914">
      <w:pPr>
        <w:pStyle w:val="Notes"/>
      </w:pPr>
      <w:r>
        <w:t>(b)</w:t>
      </w:r>
      <w:r>
        <w:tab/>
        <w:t>Figures for 2013-14 actual and 2014-15 budget have been restated to reflect current information.</w:t>
      </w:r>
    </w:p>
    <w:p w:rsidR="00B03921" w:rsidRDefault="00B03921" w:rsidP="00016914">
      <w:pPr>
        <w:pStyle w:val="Notes"/>
      </w:pPr>
      <w:r w:rsidRPr="00B0679B">
        <w:t>(</w:t>
      </w:r>
      <w:r>
        <w:t>c</w:t>
      </w:r>
      <w:r w:rsidRPr="00B0679B">
        <w:t xml:space="preserve">) </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(d)</w:t>
      </w:r>
      <w:r>
        <w:tab/>
        <w:t>The 2014</w:t>
      </w:r>
      <w:r>
        <w:noBreakHyphen/>
        <w:t>15 r</w:t>
      </w:r>
      <w:r w:rsidRPr="00B0679B">
        <w:t>evised</w:t>
      </w:r>
      <w:r>
        <w:t xml:space="preserve"> and 2015</w:t>
      </w:r>
      <w:r>
        <w:noBreakHyphen/>
        <w:t>16 budget reflect</w:t>
      </w:r>
      <w:r w:rsidRPr="00B0679B">
        <w:t xml:space="preserve"> the full impact of machinery of gove</w:t>
      </w:r>
      <w:r>
        <w:t>rnment changes effective from 1 </w:t>
      </w:r>
      <w:r w:rsidRPr="00B0679B">
        <w:t>January 2015.</w:t>
      </w:r>
    </w:p>
    <w:p w:rsidR="00B03921" w:rsidRDefault="00B03921" w:rsidP="00016914"/>
    <w:p w:rsidR="00B03921" w:rsidRDefault="00B03921" w:rsidP="00016914"/>
    <w:p w:rsidR="00B03921" w:rsidRDefault="00B03921" w:rsidP="00016914">
      <w:pPr>
        <w:pStyle w:val="Tableheading"/>
      </w:pPr>
      <w:r>
        <w:t>Table 3.7.6:</w:t>
      </w:r>
      <w:r>
        <w:tab/>
        <w:t>Payments made on behalf of the State</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076137" w:rsidRPr="00FE4FB8" w:rsidTr="00076137">
        <w:trPr>
          <w:trHeight w:val="503"/>
          <w:tblHeader/>
        </w:trPr>
        <w:tc>
          <w:tcPr>
            <w:tcW w:w="4640" w:type="dxa"/>
            <w:tcBorders>
              <w:top w:val="single" w:sz="6" w:space="0" w:color="auto"/>
              <w:left w:val="single" w:sz="6" w:space="0" w:color="auto"/>
              <w:right w:val="nil"/>
            </w:tcBorders>
            <w:shd w:val="clear" w:color="000000" w:fill="000000"/>
          </w:tcPr>
          <w:p w:rsidR="00076137" w:rsidRDefault="00076137" w:rsidP="00016914">
            <w:pPr>
              <w:pStyle w:val="Tabletext"/>
              <w:rPr>
                <w:rFonts w:eastAsiaTheme="minorEastAsia"/>
                <w:i/>
                <w:lang w:eastAsia="en-AU"/>
              </w:rPr>
            </w:pPr>
          </w:p>
          <w:p w:rsidR="00076137" w:rsidRPr="00FE4FB8" w:rsidRDefault="00076137" w:rsidP="00016914">
            <w:pPr>
              <w:pStyle w:val="Tabletext"/>
              <w:rPr>
                <w:rFonts w:eastAsiaTheme="minorEastAsia"/>
                <w:i/>
                <w:lang w:eastAsia="en-AU"/>
              </w:rPr>
            </w:pPr>
            <w:r>
              <w:rPr>
                <w:rFonts w:eastAsiaTheme="minorEastAsia"/>
                <w:i/>
                <w:lang w:eastAsia="en-AU"/>
              </w:rPr>
              <w:t>Ac</w:t>
            </w:r>
            <w:r w:rsidRPr="00FE4FB8">
              <w:rPr>
                <w:rFonts w:eastAsiaTheme="minorEastAsia"/>
                <w:i/>
                <w:lang w:eastAsia="en-AU"/>
              </w:rPr>
              <w:t>counts</w:t>
            </w:r>
          </w:p>
        </w:tc>
        <w:tc>
          <w:tcPr>
            <w:tcW w:w="1040"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(a)(b)</w:t>
            </w:r>
          </w:p>
        </w:tc>
        <w:tc>
          <w:tcPr>
            <w:tcW w:w="1040"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(c)</w:t>
            </w:r>
          </w:p>
        </w:tc>
        <w:tc>
          <w:tcPr>
            <w:tcW w:w="1040"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(c)</w:t>
            </w:r>
          </w:p>
        </w:tc>
      </w:tr>
      <w:tr w:rsidR="00B03921" w:rsidRPr="00FE4FB8" w:rsidTr="00016914">
        <w:tc>
          <w:tcPr>
            <w:tcW w:w="4640" w:type="dxa"/>
            <w:tcBorders>
              <w:top w:val="single" w:sz="6" w:space="0" w:color="auto"/>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Superannuation and pension payments</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16.4</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16.4</w:t>
            </w:r>
          </w:p>
        </w:tc>
        <w:tc>
          <w:tcPr>
            <w:tcW w:w="1040" w:type="dxa"/>
            <w:tcBorders>
              <w:top w:val="single" w:sz="6" w:space="0" w:color="auto"/>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16.4</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1 355.5</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1 246.3</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1 259.4</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Current and capital grants</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235.3</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238.8</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373.8</w:t>
            </w:r>
          </w:p>
        </w:tc>
      </w:tr>
      <w:tr w:rsidR="00B03921" w:rsidRPr="00FE4FB8" w:rsidTr="00016914">
        <w:tc>
          <w:tcPr>
            <w:tcW w:w="4640"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Operating supplies and consumables </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270.9</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180.7</w:t>
            </w:r>
          </w:p>
        </w:tc>
        <w:tc>
          <w:tcPr>
            <w:tcW w:w="10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260.0</w:t>
            </w:r>
          </w:p>
        </w:tc>
      </w:tr>
      <w:tr w:rsidR="00B03921" w:rsidRPr="00FE4FB8" w:rsidTr="00016914">
        <w:tc>
          <w:tcPr>
            <w:tcW w:w="4640"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549.2</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795.3</w:t>
            </w:r>
          </w:p>
        </w:tc>
        <w:tc>
          <w:tcPr>
            <w:tcW w:w="10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861.9</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2 427.4</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2 477.4</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2 771.5</w:t>
            </w:r>
          </w:p>
        </w:tc>
      </w:tr>
    </w:tbl>
    <w:p w:rsidR="00B03921" w:rsidRDefault="00B03921" w:rsidP="00016914">
      <w:pPr>
        <w:pStyle w:val="Source"/>
      </w:pPr>
      <w:r w:rsidRPr="004F7ADD">
        <w:t xml:space="preserve">Source: </w:t>
      </w:r>
      <w:r>
        <w:t>Department of</w:t>
      </w:r>
      <w:r w:rsidRPr="004F7ADD">
        <w:t xml:space="preserve"> Treasury and Finance</w:t>
      </w:r>
    </w:p>
    <w:p w:rsidR="00B03921" w:rsidRDefault="00B03921" w:rsidP="00016914">
      <w:pPr>
        <w:pStyle w:val="Notes"/>
      </w:pPr>
      <w:r>
        <w:t>Notes:</w:t>
      </w:r>
    </w:p>
    <w:p w:rsidR="00B03921" w:rsidRDefault="00B03921" w:rsidP="00016914">
      <w:pPr>
        <w:pStyle w:val="Notes"/>
      </w:pPr>
      <w:r>
        <w:t>(a)</w:t>
      </w:r>
      <w:r>
        <w:tab/>
        <w:t>The 2014-15 budget reflects the operations of the Department of</w:t>
      </w:r>
      <w:r w:rsidRPr="004F7ADD">
        <w:t xml:space="preserve"> Treasury and Finance</w:t>
      </w:r>
      <w:r>
        <w:t xml:space="preserve"> included in the </w:t>
      </w:r>
      <w:r>
        <w:rPr>
          <w:i w:val="0"/>
        </w:rPr>
        <w:t>2014-15 Budget</w:t>
      </w:r>
      <w:r>
        <w:t xml:space="preserve">, which does not include the impact of machinery of government changes effective from 1 January 2015. </w:t>
      </w:r>
    </w:p>
    <w:p w:rsidR="00B03921" w:rsidRDefault="00B03921" w:rsidP="00016914">
      <w:pPr>
        <w:pStyle w:val="Notes"/>
      </w:pPr>
      <w:r>
        <w:t>(b)</w:t>
      </w:r>
      <w:r>
        <w:tab/>
        <w:t>The 2014-15 budget has been restated to reflect current information.</w:t>
      </w:r>
    </w:p>
    <w:p w:rsidR="00B03921" w:rsidRDefault="00B03921" w:rsidP="00016914">
      <w:pPr>
        <w:pStyle w:val="Notes"/>
      </w:pPr>
      <w:r>
        <w:t xml:space="preserve">(c) </w:t>
      </w:r>
      <w:r>
        <w:tab/>
        <w:t>The 2014-15 revised and 2015-16 budget reflect the full impact of machinery of government changes effective from 1 January 2015.</w:t>
      </w:r>
    </w:p>
    <w:p w:rsidR="00B03921" w:rsidRDefault="00B03921" w:rsidP="00016914"/>
    <w:p w:rsidR="00B03921" w:rsidRPr="0090460D" w:rsidRDefault="00B03921" w:rsidP="00016914"/>
    <w:p w:rsidR="00B03921" w:rsidRDefault="00B03921" w:rsidP="00016914">
      <w:pPr>
        <w:sectPr w:rsidR="00B03921" w:rsidSect="00016914">
          <w:headerReference w:type="even" r:id="rId55"/>
          <w:headerReference w:type="default" r:id="rId56"/>
          <w:footerReference w:type="even" r:id="rId57"/>
          <w:footerReference w:type="default" r:id="rId58"/>
          <w:headerReference w:type="first" r:id="rId59"/>
          <w:footerReference w:type="first" r:id="rId60"/>
          <w:pgSz w:w="9979" w:h="14181" w:code="34"/>
          <w:pgMar w:top="1140" w:right="1140" w:bottom="1140" w:left="1140" w:header="720" w:footer="431" w:gutter="0"/>
          <w:cols w:space="708"/>
          <w:docGrid w:linePitch="360"/>
        </w:sectPr>
      </w:pPr>
    </w:p>
    <w:p w:rsidR="00B03921" w:rsidRPr="00252214" w:rsidRDefault="00B03921" w:rsidP="00016914">
      <w:pPr>
        <w:pStyle w:val="Heading1"/>
      </w:pPr>
      <w:bookmarkStart w:id="124" w:name="_Toc418274764"/>
      <w:r w:rsidRPr="00573279">
        <w:t>Parliament</w:t>
      </w:r>
      <w:r w:rsidRPr="0066579C">
        <w:rPr>
          <w:caps w:val="0"/>
        </w:rPr>
        <w:t xml:space="preserve"> </w:t>
      </w:r>
      <w:r w:rsidRPr="0066579C">
        <w:t>(Including Victorian Auditor-General</w:t>
      </w:r>
      <w:r w:rsidR="00BA5A16">
        <w:t>’</w:t>
      </w:r>
      <w:r w:rsidRPr="0066579C">
        <w:t>s office)</w:t>
      </w:r>
      <w:bookmarkEnd w:id="124"/>
    </w:p>
    <w:p w:rsidR="00B03921" w:rsidRDefault="00B03921" w:rsidP="00016914">
      <w:pPr>
        <w:pStyle w:val="Heading2"/>
      </w:pPr>
      <w:r>
        <w:t>Operating performance</w:t>
      </w:r>
    </w:p>
    <w:p w:rsidR="00B03921" w:rsidRPr="00B70FAF" w:rsidRDefault="00B03921" w:rsidP="00016914">
      <w:pPr>
        <w:autoSpaceDE w:val="0"/>
        <w:autoSpaceDN w:val="0"/>
        <w:adjustRightInd w:val="0"/>
        <w:rPr>
          <w:rFonts w:cs="Garamond"/>
          <w:color w:val="000000"/>
          <w:szCs w:val="22"/>
          <w:lang w:eastAsia="en-AU"/>
        </w:rPr>
      </w:pPr>
      <w:r w:rsidRPr="00B70FAF">
        <w:rPr>
          <w:rFonts w:cs="Garamond"/>
          <w:color w:val="000000"/>
          <w:szCs w:val="22"/>
          <w:lang w:eastAsia="en-AU"/>
        </w:rPr>
        <w:t>Parliament and the Victorian Auditor-General</w:t>
      </w:r>
      <w:r w:rsidR="00BA5A16">
        <w:rPr>
          <w:rFonts w:cs="Garamond"/>
          <w:color w:val="000000"/>
          <w:szCs w:val="22"/>
          <w:lang w:eastAsia="en-AU"/>
        </w:rPr>
        <w:t>’</w:t>
      </w:r>
      <w:r w:rsidRPr="00B70FAF">
        <w:rPr>
          <w:rFonts w:cs="Garamond"/>
          <w:color w:val="000000"/>
          <w:szCs w:val="22"/>
          <w:lang w:eastAsia="en-AU"/>
        </w:rPr>
        <w:t>s O</w:t>
      </w:r>
      <w:r>
        <w:rPr>
          <w:rFonts w:cs="Garamond"/>
          <w:color w:val="000000"/>
          <w:szCs w:val="22"/>
          <w:lang w:eastAsia="en-AU"/>
        </w:rPr>
        <w:t>ffice are estimating a combined</w:t>
      </w:r>
      <w:r w:rsidRPr="00B70FAF">
        <w:rPr>
          <w:rFonts w:cs="Garamond"/>
          <w:color w:val="000000"/>
          <w:szCs w:val="22"/>
          <w:lang w:eastAsia="en-AU"/>
        </w:rPr>
        <w:t xml:space="preserve"> net operating deficit of $0.6 million in</w:t>
      </w:r>
      <w:r>
        <w:rPr>
          <w:rFonts w:cs="Garamond"/>
          <w:color w:val="000000"/>
          <w:szCs w:val="22"/>
          <w:lang w:eastAsia="en-AU"/>
        </w:rPr>
        <w:t xml:space="preserve"> the</w:t>
      </w:r>
      <w:r w:rsidRPr="00B70FAF">
        <w:rPr>
          <w:rFonts w:cs="Garamond"/>
          <w:color w:val="000000"/>
          <w:szCs w:val="22"/>
          <w:lang w:eastAsia="en-AU"/>
        </w:rPr>
        <w:t xml:space="preserve"> </w:t>
      </w:r>
      <w:r w:rsidRPr="009449ED">
        <w:rPr>
          <w:rFonts w:cs="Garamond"/>
          <w:iCs/>
          <w:color w:val="000000"/>
          <w:szCs w:val="22"/>
          <w:lang w:eastAsia="en-AU"/>
        </w:rPr>
        <w:t>2015-16 budget</w:t>
      </w:r>
      <w:r w:rsidRPr="00B70FAF">
        <w:rPr>
          <w:rFonts w:cs="Garamond"/>
          <w:color w:val="000000"/>
          <w:szCs w:val="22"/>
          <w:lang w:eastAsia="en-AU"/>
        </w:rPr>
        <w:t>.</w:t>
      </w:r>
    </w:p>
    <w:p w:rsidR="00B03921" w:rsidRDefault="00B03921" w:rsidP="00016914">
      <w:pPr>
        <w:pStyle w:val="Heading2"/>
        <w:rPr>
          <w:rFonts w:ascii="Garamond" w:hAnsi="Garamond" w:cs="Garamond"/>
          <w:b w:val="0"/>
          <w:color w:val="000000"/>
          <w:sz w:val="22"/>
          <w:lang w:eastAsia="en-AU"/>
        </w:rPr>
      </w:pPr>
      <w:r w:rsidRPr="00B70FAF">
        <w:rPr>
          <w:rFonts w:ascii="Garamond" w:hAnsi="Garamond" w:cs="Garamond"/>
          <w:b w:val="0"/>
          <w:color w:val="000000"/>
          <w:sz w:val="22"/>
          <w:lang w:eastAsia="en-AU"/>
        </w:rPr>
        <w:t>The combined operating statement shows an increase in to</w:t>
      </w:r>
      <w:r>
        <w:rPr>
          <w:rFonts w:ascii="Garamond" w:hAnsi="Garamond" w:cs="Garamond"/>
          <w:b w:val="0"/>
          <w:color w:val="000000"/>
          <w:sz w:val="22"/>
          <w:lang w:eastAsia="en-AU"/>
        </w:rPr>
        <w:t>tal income of $8.7 million (4.9 per </w:t>
      </w:r>
      <w:r w:rsidRPr="00B70FAF">
        <w:rPr>
          <w:rFonts w:ascii="Garamond" w:hAnsi="Garamond" w:cs="Garamond"/>
          <w:b w:val="0"/>
          <w:color w:val="000000"/>
          <w:sz w:val="22"/>
          <w:lang w:eastAsia="en-AU"/>
        </w:rPr>
        <w:t>cent) from the 2014-15 revised budget to the 2015-16 budget. The variation in annual appropriation revenue is primarily due to expected carryover of Parliamentary Services Department appropriation funding from 2014-15 to 2015-16 and</w:t>
      </w:r>
      <w:r>
        <w:rPr>
          <w:rFonts w:ascii="Garamond" w:hAnsi="Garamond" w:cs="Garamond"/>
          <w:b w:val="0"/>
          <w:color w:val="000000"/>
          <w:sz w:val="22"/>
          <w:lang w:eastAsia="en-AU"/>
        </w:rPr>
        <w:t xml:space="preserve"> </w:t>
      </w:r>
      <w:r w:rsidRPr="00B70FAF">
        <w:rPr>
          <w:rFonts w:ascii="Garamond" w:hAnsi="Garamond" w:cs="Garamond"/>
          <w:b w:val="0"/>
          <w:color w:val="000000"/>
          <w:sz w:val="22"/>
          <w:lang w:eastAsia="en-AU"/>
        </w:rPr>
        <w:t>initiatives</w:t>
      </w:r>
      <w:r>
        <w:rPr>
          <w:rFonts w:ascii="Garamond" w:hAnsi="Garamond" w:cs="Garamond"/>
          <w:b w:val="0"/>
          <w:color w:val="000000"/>
          <w:sz w:val="22"/>
          <w:lang w:eastAsia="en-AU"/>
        </w:rPr>
        <w:t xml:space="preserve"> as part of the</w:t>
      </w:r>
      <w:r w:rsidRPr="00B70FAF">
        <w:rPr>
          <w:rFonts w:ascii="Garamond" w:hAnsi="Garamond" w:cs="Garamond"/>
          <w:b w:val="0"/>
          <w:color w:val="000000"/>
          <w:sz w:val="22"/>
          <w:lang w:eastAsia="en-AU"/>
        </w:rPr>
        <w:t xml:space="preserve"> </w:t>
      </w:r>
      <w:r w:rsidRPr="00DC331A">
        <w:rPr>
          <w:rFonts w:ascii="Garamond" w:hAnsi="Garamond" w:cs="Garamond"/>
          <w:b w:val="0"/>
          <w:i/>
          <w:color w:val="000000"/>
          <w:sz w:val="22"/>
          <w:lang w:eastAsia="en-AU"/>
        </w:rPr>
        <w:t>2015-16 Budget</w:t>
      </w:r>
      <w:r w:rsidRPr="00B70FAF">
        <w:rPr>
          <w:rFonts w:ascii="Garamond" w:hAnsi="Garamond" w:cs="Garamond"/>
          <w:b w:val="0"/>
          <w:color w:val="000000"/>
          <w:sz w:val="22"/>
          <w:lang w:eastAsia="en-AU"/>
        </w:rPr>
        <w:t xml:space="preserve"> including:</w:t>
      </w:r>
    </w:p>
    <w:p w:rsidR="00B03921" w:rsidRDefault="00B03921" w:rsidP="00016914">
      <w:pPr>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Legislative Council standing committees;</w:t>
      </w:r>
    </w:p>
    <w:p w:rsidR="00B03921" w:rsidRDefault="00B03921" w:rsidP="00016914">
      <w:pPr>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Electorate office and communication budgets; and</w:t>
      </w:r>
    </w:p>
    <w:p w:rsidR="00B03921" w:rsidRPr="00B70FAF" w:rsidRDefault="00B03921" w:rsidP="00016914">
      <w:pPr>
        <w:pStyle w:val="ListParagraph"/>
        <w:numPr>
          <w:ilvl w:val="0"/>
          <w:numId w:val="10"/>
        </w:numPr>
        <w:autoSpaceDE w:val="0"/>
        <w:autoSpaceDN w:val="0"/>
        <w:adjustRightInd w:val="0"/>
        <w:rPr>
          <w:rFonts w:cs="Garamond"/>
          <w:color w:val="000000"/>
          <w:szCs w:val="22"/>
          <w:lang w:eastAsia="en-AU"/>
        </w:rPr>
      </w:pPr>
      <w:r w:rsidRPr="00B70FAF">
        <w:t>Security enhancement at Parliament House</w:t>
      </w:r>
      <w:r>
        <w:t>.</w:t>
      </w:r>
    </w:p>
    <w:p w:rsidR="00B03921" w:rsidRDefault="00B03921" w:rsidP="00016914">
      <w:pPr>
        <w:pStyle w:val="Heading2"/>
      </w:pPr>
      <w:r>
        <w:t>Balance sheet</w:t>
      </w:r>
    </w:p>
    <w:p w:rsidR="00B03921" w:rsidRDefault="00B03921" w:rsidP="00016914">
      <w:r w:rsidRPr="00CF4411">
        <w:t>No significant movements.</w:t>
      </w:r>
    </w:p>
    <w:p w:rsidR="00B03921" w:rsidRDefault="00B03921" w:rsidP="00016914">
      <w:pPr>
        <w:pStyle w:val="Heading2"/>
      </w:pPr>
      <w:r>
        <w:t>Investing and financing</w:t>
      </w:r>
    </w:p>
    <w:p w:rsidR="00B03921" w:rsidRDefault="00B03921" w:rsidP="00016914">
      <w:r w:rsidRPr="00CF4411">
        <w:t>No significant movements.</w:t>
      </w:r>
    </w:p>
    <w:p w:rsidR="00B03921" w:rsidRDefault="00B03921">
      <w:pPr>
        <w:spacing w:after="0"/>
        <w:rPr>
          <w:rFonts w:ascii="Calibri" w:hAnsi="Calibri"/>
          <w:b/>
        </w:rPr>
      </w:pPr>
      <w:r>
        <w:br w:type="page"/>
      </w:r>
    </w:p>
    <w:p w:rsidR="00B03921" w:rsidRDefault="00B03921" w:rsidP="00016914">
      <w:pPr>
        <w:pStyle w:val="Tableheading"/>
      </w:pPr>
      <w:r>
        <w:t>Table 3.8.1: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r w:rsidRPr="001D350D">
        <w:t xml:space="preserve"> </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076137" w:rsidRPr="00FE4FB8" w:rsidTr="00076137">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rPr>
          <w:gridAfter w:val="1"/>
          <w:wAfter w:w="37" w:type="dxa"/>
        </w:trPr>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135.1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144.7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138.8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146.7</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38.6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39.3</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r>
      <w:tr w:rsidR="00B03921" w:rsidRPr="00FE4FB8" w:rsidTr="00016914">
        <w:trPr>
          <w:gridAfter w:val="1"/>
          <w:wAfter w:w="37" w:type="dxa"/>
        </w:trPr>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171.7</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183.3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177.5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186.2</w:t>
            </w: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107.9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109.6</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14.8</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59.1</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169.4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183.3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177.5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186.7</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(0.6)</w:t>
            </w: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(0.6)</w:t>
            </w:r>
          </w:p>
        </w:tc>
      </w:tr>
      <w:tr w:rsidR="00076137" w:rsidRPr="00FE4FB8" w:rsidTr="00076137">
        <w:tc>
          <w:tcPr>
            <w:tcW w:w="7797" w:type="dxa"/>
            <w:gridSpan w:val="6"/>
            <w:tcBorders>
              <w:top w:val="nil"/>
              <w:left w:val="nil"/>
              <w:bottom w:val="nil"/>
              <w:right w:val="nil"/>
            </w:tcBorders>
          </w:tcPr>
          <w:p w:rsidR="00076137" w:rsidRPr="00FE4FB8" w:rsidRDefault="00076137" w:rsidP="00076137">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c>
          <w:tcPr>
            <w:tcW w:w="994" w:type="dxa"/>
            <w:tcBorders>
              <w:top w:val="single" w:sz="6" w:space="0" w:color="auto"/>
              <w:left w:val="nil"/>
              <w:bottom w:val="single" w:sz="6" w:space="0" w:color="auto"/>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(0.6)</w:t>
            </w:r>
          </w:p>
        </w:tc>
      </w:tr>
    </w:tbl>
    <w:p w:rsidR="00B03921" w:rsidRDefault="00B03921" w:rsidP="00016914">
      <w:pPr>
        <w:pStyle w:val="Source"/>
      </w:pPr>
      <w:r w:rsidRPr="001D350D">
        <w:t xml:space="preserve">Sources: </w:t>
      </w:r>
      <w:r>
        <w:t xml:space="preserve">Parliament of Victoria, </w:t>
      </w:r>
      <w:r w:rsidRPr="0022727A">
        <w:t xml:space="preserve">Victorian </w:t>
      </w:r>
      <w:r>
        <w:t>Auditor-</w:t>
      </w:r>
      <w:r w:rsidRPr="0022727A">
        <w:t>General</w:t>
      </w:r>
      <w:r w:rsidR="00BA5A16">
        <w:t>’</w:t>
      </w:r>
      <w:r w:rsidRPr="0022727A">
        <w:t>s Office</w:t>
      </w:r>
      <w:r>
        <w:t>,</w:t>
      </w:r>
      <w:r w:rsidRPr="0022727A">
        <w:t xml:space="preserve"> </w:t>
      </w:r>
      <w:r>
        <w:t>and Department of</w:t>
      </w:r>
      <w:r w:rsidRPr="001D350D">
        <w:t xml:space="preserve"> Treasury and Finance</w:t>
      </w:r>
    </w:p>
    <w:p w:rsidR="00B03921" w:rsidRDefault="00B03921" w:rsidP="00016914"/>
    <w:p w:rsidR="00B03921" w:rsidRDefault="00B03921" w:rsidP="00016914">
      <w:pPr>
        <w:spacing w:after="0"/>
        <w:rPr>
          <w:rFonts w:ascii="Calibri" w:hAnsi="Calibri"/>
          <w:b/>
        </w:rPr>
      </w:pPr>
      <w:r>
        <w:br w:type="page"/>
      </w:r>
    </w:p>
    <w:p w:rsidR="00B03921" w:rsidRDefault="00B03921" w:rsidP="00016914">
      <w:pPr>
        <w:pStyle w:val="Tableheading"/>
      </w:pPr>
      <w:r>
        <w:t>Table 3.8.2:</w:t>
      </w:r>
      <w:r>
        <w:tab/>
        <w:t>Balance sheet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blHeader/>
        </w:trPr>
        <w:tc>
          <w:tcPr>
            <w:tcW w:w="3784" w:type="dxa"/>
            <w:vMerge w:val="restart"/>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i/>
                <w:lang w:eastAsia="en-AU"/>
              </w:rPr>
            </w:pPr>
          </w:p>
        </w:tc>
        <w:tc>
          <w:tcPr>
            <w:tcW w:w="994" w:type="dxa"/>
            <w:vMerge w:val="restart"/>
            <w:tcBorders>
              <w:top w:val="single" w:sz="6" w:space="0" w:color="auto"/>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p>
        </w:tc>
        <w:tc>
          <w:tcPr>
            <w:tcW w:w="2982" w:type="dxa"/>
            <w:gridSpan w:val="3"/>
            <w:tcBorders>
              <w:top w:val="single" w:sz="6" w:space="0" w:color="auto"/>
              <w:left w:val="nil"/>
              <w:bottom w:val="nil"/>
              <w:right w:val="single" w:sz="6" w:space="0" w:color="auto"/>
            </w:tcBorders>
            <w:shd w:val="clear" w:color="000000" w:fill="000000"/>
          </w:tcPr>
          <w:p w:rsidR="00076137" w:rsidRPr="00FE4FB8" w:rsidRDefault="00076137" w:rsidP="00076137">
            <w:pPr>
              <w:pStyle w:val="Tabletextheading"/>
              <w:jc w:val="center"/>
              <w:rPr>
                <w:rFonts w:eastAsiaTheme="minorEastAsia" w:cs="Calibri"/>
                <w:iCs/>
                <w:color w:val="FFFFFF"/>
                <w:lang w:eastAsia="en-AU"/>
              </w:rPr>
            </w:pPr>
            <w:r>
              <w:rPr>
                <w:rFonts w:eastAsiaTheme="minorEastAsia"/>
                <w:color w:val="FFFFFF"/>
                <w:lang w:eastAsia="en-AU"/>
              </w:rPr>
              <w:t>Estimated as at 30 Jun</w:t>
            </w:r>
          </w:p>
        </w:tc>
      </w:tr>
      <w:tr w:rsidR="00076137" w:rsidRPr="00FE4FB8" w:rsidTr="00076137">
        <w:trPr>
          <w:trHeight w:val="488"/>
          <w:tblHeader/>
        </w:trPr>
        <w:tc>
          <w:tcPr>
            <w:tcW w:w="3784" w:type="dxa"/>
            <w:vMerge/>
            <w:tcBorders>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vMerge/>
            <w:tcBorders>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w:t>
            </w:r>
            <w:r w:rsidRPr="00FE4FB8">
              <w:rPr>
                <w:rFonts w:eastAsiaTheme="minorEastAsia" w:cs="Calibri"/>
                <w:iCs/>
                <w:color w:val="FFFFFF"/>
                <w:vertAlign w:val="superscript"/>
                <w:lang w:eastAsia="en-AU"/>
              </w:rPr>
              <w:t>a)</w:t>
            </w:r>
          </w:p>
        </w:tc>
        <w:tc>
          <w:tcPr>
            <w:tcW w:w="994"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p>
        </w:tc>
        <w:tc>
          <w:tcPr>
            <w:tcW w:w="994" w:type="dxa"/>
            <w:tcBorders>
              <w:top w:val="nil"/>
              <w:left w:val="nil"/>
              <w:right w:val="single" w:sz="6" w:space="0" w:color="auto"/>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Assets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73.7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85.5</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78.7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73.7</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85.5</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447.6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434.1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429.9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450.2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436.6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441.6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432.6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519.3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515.3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515.3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518.1</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26.0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25.3</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492.7</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278.3</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171.5</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171.5</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171.5</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171.5</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492.7</w:t>
            </w:r>
          </w:p>
        </w:tc>
      </w:tr>
    </w:tbl>
    <w:p w:rsidR="00B03921" w:rsidRDefault="00B03921" w:rsidP="00016914">
      <w:pPr>
        <w:pStyle w:val="Source"/>
      </w:pPr>
      <w:r>
        <w:t>S</w:t>
      </w:r>
      <w:r w:rsidRPr="001D350D">
        <w:t xml:space="preserve">ources: </w:t>
      </w:r>
      <w:r>
        <w:t>Parliament of Victoria, Victorian Auditor-</w:t>
      </w:r>
      <w:r w:rsidRPr="006C33FF">
        <w:t>General</w:t>
      </w:r>
      <w:r w:rsidR="00BA5A16">
        <w:t>’</w:t>
      </w:r>
      <w:r w:rsidRPr="006C33FF">
        <w:t>s Office</w:t>
      </w:r>
      <w:r>
        <w:t>,</w:t>
      </w:r>
      <w:r w:rsidRPr="006C33FF">
        <w:t xml:space="preserve"> </w:t>
      </w:r>
      <w:r>
        <w:t>and Department of</w:t>
      </w:r>
      <w:r w:rsidRPr="001D350D">
        <w:t xml:space="preserve"> Treasury and Finance</w:t>
      </w:r>
    </w:p>
    <w:p w:rsidR="00B03921" w:rsidRDefault="00B03921" w:rsidP="00016914">
      <w:pPr>
        <w:pStyle w:val="Source"/>
      </w:pPr>
      <w:r>
        <w:t>Note:</w:t>
      </w:r>
    </w:p>
    <w:p w:rsidR="00B03921" w:rsidRPr="006F4D96" w:rsidRDefault="00B03921" w:rsidP="00016914">
      <w:pPr>
        <w:pStyle w:val="Notes"/>
      </w:pPr>
      <w:r>
        <w:t>(a)</w:t>
      </w:r>
      <w:r>
        <w:tab/>
        <w:t>The 2015 budget figures have been restated to reflect the 20</w:t>
      </w:r>
      <w:r w:rsidRPr="00B21426">
        <w:t>14 actual closing balance</w:t>
      </w:r>
      <w:r>
        <w:t>s</w:t>
      </w:r>
      <w:r w:rsidRPr="00B21426">
        <w:t>.</w:t>
      </w:r>
    </w:p>
    <w:p w:rsidR="00B03921" w:rsidRDefault="00B03921">
      <w:pPr>
        <w:spacing w:after="0"/>
        <w:rPr>
          <w:rFonts w:ascii="Calibri" w:hAnsi="Calibri"/>
          <w:b/>
        </w:rPr>
      </w:pPr>
      <w:r>
        <w:br w:type="page"/>
      </w:r>
    </w:p>
    <w:p w:rsidR="00B03921" w:rsidRDefault="00B03921" w:rsidP="00016914">
      <w:pPr>
        <w:pStyle w:val="Tableheading"/>
      </w:pPr>
      <w:r>
        <w:t>Table 3.8.3:</w:t>
      </w:r>
      <w:r>
        <w:tab/>
        <w:t>Statement of cash flows</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rHeight w:val="503"/>
          <w:tblHeader/>
        </w:trPr>
        <w:tc>
          <w:tcPr>
            <w:tcW w:w="3784" w:type="dxa"/>
            <w:tcBorders>
              <w:top w:val="single" w:sz="6" w:space="0" w:color="auto"/>
              <w:left w:val="single" w:sz="6" w:space="0" w:color="auto"/>
              <w:right w:val="nil"/>
            </w:tcBorders>
            <w:shd w:val="clear" w:color="000000" w:fill="000000"/>
          </w:tcPr>
          <w:p w:rsidR="00076137" w:rsidRPr="00FE4FB8" w:rsidRDefault="00076137" w:rsidP="00076137">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operating activities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(a)</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164.5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174.3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166.3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173.6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172.7</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174.3</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Pr>
                <w:rFonts w:eastAsiaTheme="minorEastAsia"/>
                <w:b/>
                <w:bCs/>
                <w:lang w:eastAsia="en-AU"/>
              </w:rPr>
              <w:t>Payments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(151.5)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(169.5)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(163.7)</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(166.0)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(3.0)</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(154.0)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(172.0)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(166.2)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(169.1)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12.3</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1.6</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5.2</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(a)</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(13.3)</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(12.3)</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(6.5)</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(5.4)</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(0.1)</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(0.1)</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c>
          <w:tcPr>
            <w:tcW w:w="994"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w:t>
            </w:r>
          </w:p>
        </w:tc>
      </w:tr>
    </w:tbl>
    <w:p w:rsidR="00B03921" w:rsidRDefault="00B03921" w:rsidP="00016914">
      <w:pPr>
        <w:pStyle w:val="Source"/>
      </w:pPr>
      <w:r w:rsidRPr="001D350D">
        <w:t>Source</w:t>
      </w:r>
      <w:r>
        <w:t>s</w:t>
      </w:r>
      <w:r w:rsidRPr="001D350D">
        <w:t xml:space="preserve">: </w:t>
      </w:r>
      <w:r>
        <w:t>Parliament of Victoria, Victorian Auditor-</w:t>
      </w:r>
      <w:r w:rsidRPr="006C33FF">
        <w:t>General</w:t>
      </w:r>
      <w:r w:rsidR="00BA5A16">
        <w:t>’</w:t>
      </w:r>
      <w:r w:rsidRPr="006C33FF">
        <w:t>s Office</w:t>
      </w:r>
      <w:r>
        <w:t>,</w:t>
      </w:r>
      <w:r w:rsidRPr="006C33FF">
        <w:t xml:space="preserve"> </w:t>
      </w:r>
      <w:r>
        <w:t>and Department of</w:t>
      </w:r>
      <w:r w:rsidRPr="001D350D">
        <w:t xml:space="preserve"> Treasury and Finance</w:t>
      </w:r>
    </w:p>
    <w:p w:rsidR="00B03921" w:rsidRDefault="00B03921" w:rsidP="00016914">
      <w:pPr>
        <w:pStyle w:val="Notes"/>
      </w:pPr>
      <w:r>
        <w:t>Note:</w:t>
      </w:r>
    </w:p>
    <w:p w:rsidR="00B03921" w:rsidRDefault="00B03921" w:rsidP="00016914">
      <w:pPr>
        <w:pStyle w:val="Notes"/>
      </w:pPr>
      <w:r>
        <w:t>(a)</w:t>
      </w:r>
      <w:r>
        <w:tab/>
        <w:t>Figures have been restated to better reflect the nature of related cash flows.</w:t>
      </w:r>
    </w:p>
    <w:p w:rsidR="00B03921" w:rsidRPr="00832B59" w:rsidRDefault="00B03921" w:rsidP="00016914">
      <w:pPr>
        <w:pStyle w:val="Source"/>
      </w:pPr>
      <w:r>
        <w:t xml:space="preserve"> </w:t>
      </w:r>
      <w:r>
        <w:br w:type="page"/>
      </w:r>
    </w:p>
    <w:p w:rsidR="00B03921" w:rsidRDefault="00B03921" w:rsidP="00016914">
      <w:pPr>
        <w:pStyle w:val="Tableheading"/>
      </w:pPr>
      <w:r>
        <w:t>Table 3.8.4: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144"/>
        <w:gridCol w:w="646"/>
        <w:gridCol w:w="1091"/>
        <w:gridCol w:w="1218"/>
        <w:gridCol w:w="1119"/>
        <w:gridCol w:w="784"/>
        <w:gridCol w:w="758"/>
      </w:tblGrid>
      <w:tr w:rsidR="00B03921" w:rsidRPr="00FE4FB8" w:rsidTr="00016914">
        <w:tc>
          <w:tcPr>
            <w:tcW w:w="2144" w:type="dxa"/>
            <w:tcBorders>
              <w:top w:val="single" w:sz="6" w:space="0" w:color="000000"/>
              <w:left w:val="single" w:sz="6" w:space="0" w:color="000000"/>
              <w:bottom w:val="single" w:sz="6" w:space="0" w:color="000000"/>
              <w:right w:val="nil"/>
            </w:tcBorders>
            <w:shd w:val="clear" w:color="000000" w:fill="000000"/>
          </w:tcPr>
          <w:p w:rsidR="00B03921" w:rsidRPr="00FE4FB8" w:rsidRDefault="00B03921" w:rsidP="00016914">
            <w:pPr>
              <w:pStyle w:val="Tabletext"/>
              <w:rPr>
                <w:rFonts w:eastAsiaTheme="minorEastAsia"/>
                <w:i/>
                <w:lang w:eastAsia="en-AU"/>
              </w:rPr>
            </w:pPr>
            <w:r w:rsidRPr="00FE4FB8">
              <w:rPr>
                <w:rFonts w:eastAsiaTheme="minorEastAsia"/>
                <w:i/>
                <w:lang w:eastAsia="en-AU"/>
              </w:rPr>
              <w:t xml:space="preserve"> </w:t>
            </w:r>
          </w:p>
        </w:tc>
        <w:tc>
          <w:tcPr>
            <w:tcW w:w="1737" w:type="dxa"/>
            <w:gridSpan w:val="2"/>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color w:val="FFFFFF"/>
                <w:lang w:eastAsia="en-AU"/>
              </w:rPr>
            </w:pPr>
            <w:r w:rsidRPr="00FE4FB8">
              <w:rPr>
                <w:rFonts w:eastAsiaTheme="minorEastAsia"/>
                <w:color w:val="FFFFFF"/>
                <w:lang w:eastAsia="en-AU"/>
              </w:rPr>
              <w:t>Accumulated surplus/(deficit)</w:t>
            </w:r>
          </w:p>
        </w:tc>
        <w:tc>
          <w:tcPr>
            <w:tcW w:w="1218"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119"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784" w:type="dxa"/>
            <w:tcBorders>
              <w:top w:val="single" w:sz="6" w:space="0" w:color="000000"/>
              <w:left w:val="nil"/>
              <w:bottom w:val="single" w:sz="6" w:space="0" w:color="000000"/>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758" w:type="dxa"/>
            <w:tcBorders>
              <w:top w:val="single" w:sz="6" w:space="0" w:color="000000"/>
              <w:left w:val="nil"/>
              <w:bottom w:val="single" w:sz="6" w:space="0" w:color="000000"/>
              <w:right w:val="single" w:sz="6" w:space="0" w:color="000000"/>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000000"/>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1091"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41.1</w:t>
            </w:r>
          </w:p>
        </w:tc>
        <w:tc>
          <w:tcPr>
            <w:tcW w:w="1218"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171.5</w:t>
            </w:r>
          </w:p>
        </w:tc>
        <w:tc>
          <w:tcPr>
            <w:tcW w:w="1119"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278.3</w:t>
            </w:r>
          </w:p>
        </w:tc>
        <w:tc>
          <w:tcPr>
            <w:tcW w:w="784"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58" w:type="dxa"/>
            <w:tcBorders>
              <w:top w:val="single" w:sz="6" w:space="0" w:color="000000"/>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490.8</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2.5</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2014 (actual)</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43.5</w:t>
            </w:r>
          </w:p>
        </w:tc>
        <w:tc>
          <w:tcPr>
            <w:tcW w:w="121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171.5</w:t>
            </w:r>
          </w:p>
        </w:tc>
        <w:tc>
          <w:tcPr>
            <w:tcW w:w="1119"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278.3</w:t>
            </w:r>
          </w:p>
        </w:tc>
        <w:tc>
          <w:tcPr>
            <w:tcW w:w="7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5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43.5</w:t>
            </w:r>
          </w:p>
        </w:tc>
        <w:tc>
          <w:tcPr>
            <w:tcW w:w="121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171.5</w:t>
            </w:r>
          </w:p>
        </w:tc>
        <w:tc>
          <w:tcPr>
            <w:tcW w:w="1119"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278.3</w:t>
            </w:r>
          </w:p>
        </w:tc>
        <w:tc>
          <w:tcPr>
            <w:tcW w:w="7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5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2015 (revised)</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43.5</w:t>
            </w:r>
          </w:p>
        </w:tc>
        <w:tc>
          <w:tcPr>
            <w:tcW w:w="121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171.5</w:t>
            </w:r>
          </w:p>
        </w:tc>
        <w:tc>
          <w:tcPr>
            <w:tcW w:w="1119"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278.3</w:t>
            </w:r>
          </w:p>
        </w:tc>
        <w:tc>
          <w:tcPr>
            <w:tcW w:w="78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5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493.3</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91"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(0.6)</w:t>
            </w:r>
          </w:p>
        </w:tc>
        <w:tc>
          <w:tcPr>
            <w:tcW w:w="121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(0.6)</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91"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19"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8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58"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2016 (budget)</w:t>
            </w:r>
          </w:p>
        </w:tc>
        <w:tc>
          <w:tcPr>
            <w:tcW w:w="109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43.0</w:t>
            </w:r>
          </w:p>
        </w:tc>
        <w:tc>
          <w:tcPr>
            <w:tcW w:w="121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171.5</w:t>
            </w:r>
          </w:p>
        </w:tc>
        <w:tc>
          <w:tcPr>
            <w:tcW w:w="1119"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278.3</w:t>
            </w:r>
          </w:p>
        </w:tc>
        <w:tc>
          <w:tcPr>
            <w:tcW w:w="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5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492.7</w:t>
            </w:r>
          </w:p>
        </w:tc>
      </w:tr>
    </w:tbl>
    <w:p w:rsidR="00B03921" w:rsidRDefault="00B03921" w:rsidP="00016914">
      <w:pPr>
        <w:pStyle w:val="Source"/>
      </w:pPr>
      <w:r w:rsidRPr="001D350D">
        <w:t>Source</w:t>
      </w:r>
      <w:r>
        <w:t>s</w:t>
      </w:r>
      <w:r w:rsidRPr="001D350D">
        <w:t xml:space="preserve">: </w:t>
      </w:r>
      <w:r>
        <w:t>Parliament of Victoria, Victorian Auditor-</w:t>
      </w:r>
      <w:r w:rsidRPr="006C33FF">
        <w:t>General</w:t>
      </w:r>
      <w:r w:rsidR="00BA5A16">
        <w:t>’</w:t>
      </w:r>
      <w:r w:rsidRPr="006C33FF">
        <w:t>s Office</w:t>
      </w:r>
      <w:r>
        <w:t>,</w:t>
      </w:r>
      <w:r w:rsidRPr="006C33FF">
        <w:t xml:space="preserve"> </w:t>
      </w:r>
      <w:r>
        <w:t>and Department of</w:t>
      </w:r>
      <w:r w:rsidRPr="001D350D">
        <w:t xml:space="preserve"> Treasury and Finance</w:t>
      </w:r>
    </w:p>
    <w:p w:rsidR="00B03921" w:rsidRDefault="00B03921" w:rsidP="00016914">
      <w:pPr>
        <w:pStyle w:val="Notes"/>
      </w:pPr>
      <w:r>
        <w:t>Note:</w:t>
      </w:r>
    </w:p>
    <w:p w:rsidR="00B03921" w:rsidRDefault="00B03921" w:rsidP="00016914">
      <w:pPr>
        <w:pStyle w:val="Notes"/>
      </w:pPr>
      <w:r>
        <w:t>(a)</w:t>
      </w:r>
      <w:r>
        <w:tab/>
        <w:t>The 2015 budget figures have been restated to reflect the 20</w:t>
      </w:r>
      <w:r w:rsidRPr="00B21426">
        <w:t>14 actual closing balance</w:t>
      </w:r>
      <w:r>
        <w:t>s.</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3.8.5:</w:t>
      </w:r>
      <w:r>
        <w:tab/>
        <w:t>Administered items statement</w:t>
      </w:r>
    </w:p>
    <w:p w:rsidR="00B03921" w:rsidRPr="00FE4FB8" w:rsidRDefault="00B03921" w:rsidP="00016914">
      <w:pPr>
        <w:pStyle w:val="million"/>
        <w:rPr>
          <w:rFonts w:ascii="Times New Roman" w:hAnsi="Times New Roman"/>
          <w:i w:val="0"/>
          <w:sz w:val="20"/>
          <w:szCs w:val="20"/>
          <w:lang w:eastAsia="en-AU"/>
        </w:rPr>
      </w:pPr>
      <w:r>
        <w:t>($ million)</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076137" w:rsidRPr="00FE4FB8" w:rsidTr="00076137">
        <w:trPr>
          <w:gridAfter w:val="1"/>
          <w:wAfter w:w="37" w:type="dxa"/>
          <w:trHeight w:val="503"/>
          <w:tblHeader/>
        </w:trPr>
        <w:tc>
          <w:tcPr>
            <w:tcW w:w="3784"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w:t>
            </w:r>
            <w:r w:rsidRPr="00FE4FB8">
              <w:rPr>
                <w:rFonts w:eastAsiaTheme="minorEastAsia" w:cs="Calibri"/>
                <w:iCs/>
                <w:color w:val="FFFFFF"/>
                <w:vertAlign w:val="superscript"/>
                <w:lang w:eastAsia="en-AU"/>
              </w:rPr>
              <w:t>a)</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rPr>
          <w:gridAfter w:val="1"/>
          <w:wAfter w:w="37" w:type="dxa"/>
        </w:trPr>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23.9</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23.9</w:t>
            </w:r>
          </w:p>
        </w:tc>
      </w:tr>
      <w:tr w:rsidR="00076137" w:rsidRPr="00FE4FB8" w:rsidTr="00076137">
        <w:trPr>
          <w:gridAfter w:val="1"/>
          <w:wAfter w:w="37" w:type="dxa"/>
          <w:trHeight w:hRule="exact" w:val="120"/>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lang w:eastAsia="en-AU"/>
              </w:rPr>
            </w:pPr>
            <w:r w:rsidRPr="00FE4FB8">
              <w:rPr>
                <w:rFonts w:eastAsiaTheme="minorEastAsia"/>
                <w:lang w:eastAsia="en-AU"/>
              </w:rPr>
              <w:t xml:space="preserve">  </w:t>
            </w: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23.4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20.0</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w:t>
            </w:r>
          </w:p>
        </w:tc>
      </w:tr>
      <w:tr w:rsidR="00B03921" w:rsidRPr="00FE4FB8" w:rsidTr="00016914">
        <w:trPr>
          <w:gridAfter w:val="1"/>
          <w:wAfter w:w="37" w:type="dxa"/>
        </w:trPr>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w:t>
            </w:r>
          </w:p>
        </w:tc>
      </w:tr>
      <w:tr w:rsidR="00076137" w:rsidRPr="00FE4FB8" w:rsidTr="00076137">
        <w:tc>
          <w:tcPr>
            <w:tcW w:w="7797" w:type="dxa"/>
            <w:gridSpan w:val="6"/>
            <w:tcBorders>
              <w:top w:val="nil"/>
              <w:left w:val="nil"/>
              <w:bottom w:val="nil"/>
              <w:right w:val="nil"/>
            </w:tcBorders>
          </w:tcPr>
          <w:p w:rsidR="00076137" w:rsidRPr="00FE4FB8" w:rsidRDefault="00076137" w:rsidP="00076137">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(6.5)</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(6.5)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(3.6)</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w:t>
            </w:r>
          </w:p>
        </w:tc>
      </w:tr>
      <w:tr w:rsidR="00076137" w:rsidRPr="00FE4FB8" w:rsidTr="00076137">
        <w:trPr>
          <w:gridAfter w:val="1"/>
          <w:wAfter w:w="37" w:type="dxa"/>
          <w:trHeight w:hRule="exact" w:val="120"/>
        </w:trPr>
        <w:tc>
          <w:tcPr>
            <w:tcW w:w="7760" w:type="dxa"/>
            <w:gridSpan w:val="5"/>
            <w:tcBorders>
              <w:top w:val="nil"/>
              <w:left w:val="nil"/>
              <w:bottom w:val="nil"/>
              <w:right w:val="nil"/>
            </w:tcBorders>
          </w:tcPr>
          <w:p w:rsidR="00076137" w:rsidRPr="00FE4FB8" w:rsidRDefault="00076137" w:rsidP="00016914">
            <w:pPr>
              <w:pStyle w:val="TableofFigures"/>
              <w:rPr>
                <w:rFonts w:eastAsiaTheme="minorEastAsia"/>
                <w:b/>
                <w:bCs/>
                <w:lang w:eastAsia="en-AU"/>
              </w:rPr>
            </w:pP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rPr>
          <w:gridAfter w:val="1"/>
          <w:wAfter w:w="37" w:type="dxa"/>
        </w:trPr>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w:t>
            </w:r>
          </w:p>
        </w:tc>
      </w:tr>
      <w:tr w:rsidR="00076137" w:rsidRPr="00FE4FB8" w:rsidTr="00076137">
        <w:trPr>
          <w:gridAfter w:val="1"/>
          <w:wAfter w:w="37" w:type="dxa"/>
          <w:trHeight w:hRule="exact" w:val="120"/>
        </w:trPr>
        <w:tc>
          <w:tcPr>
            <w:tcW w:w="7760" w:type="dxa"/>
            <w:gridSpan w:val="5"/>
            <w:tcBorders>
              <w:top w:val="nil"/>
              <w:left w:val="nil"/>
              <w:bottom w:val="nil"/>
              <w:right w:val="nil"/>
            </w:tcBorders>
          </w:tcPr>
          <w:p w:rsidR="00076137" w:rsidRPr="00FE4FB8" w:rsidRDefault="00076137" w:rsidP="00016914">
            <w:pPr>
              <w:pStyle w:val="TableofFigures"/>
              <w:rPr>
                <w:rFonts w:eastAsiaTheme="minorEastAsia"/>
                <w:lang w:eastAsia="en-AU"/>
              </w:rPr>
            </w:pPr>
          </w:p>
        </w:tc>
      </w:tr>
      <w:tr w:rsidR="00076137" w:rsidRPr="00FE4FB8" w:rsidTr="00076137">
        <w:trPr>
          <w:gridAfter w:val="1"/>
          <w:wAfter w:w="37" w:type="dxa"/>
        </w:trPr>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liabilities</w:t>
            </w:r>
          </w:p>
        </w:tc>
      </w:tr>
      <w:tr w:rsidR="00B03921" w:rsidRPr="00FE4FB8" w:rsidTr="00016914">
        <w:trPr>
          <w:gridAfter w:val="1"/>
          <w:wAfter w:w="37" w:type="dxa"/>
        </w:trPr>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gridAfter w:val="1"/>
          <w:wAfter w:w="37" w:type="dxa"/>
        </w:trPr>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w:t>
            </w:r>
          </w:p>
        </w:tc>
      </w:tr>
    </w:tbl>
    <w:p w:rsidR="00B03921" w:rsidRDefault="00B03921" w:rsidP="00016914">
      <w:pPr>
        <w:pStyle w:val="Source"/>
      </w:pPr>
      <w:r w:rsidRPr="004F7ADD">
        <w:t xml:space="preserve">Sources: </w:t>
      </w:r>
      <w:r>
        <w:t>Parliament of Victoria, Victorian Auditor-</w:t>
      </w:r>
      <w:r w:rsidRPr="006C33FF">
        <w:t>General</w:t>
      </w:r>
      <w:r w:rsidR="00BA5A16">
        <w:t>’</w:t>
      </w:r>
      <w:r w:rsidRPr="006C33FF">
        <w:t>s Office</w:t>
      </w:r>
      <w:r>
        <w:t>,</w:t>
      </w:r>
      <w:r w:rsidRPr="006C33FF">
        <w:t xml:space="preserve"> </w:t>
      </w:r>
      <w:r>
        <w:t>and Department of</w:t>
      </w:r>
      <w:r w:rsidRPr="004F7ADD">
        <w:t xml:space="preserve"> Treasury and Finance</w:t>
      </w:r>
    </w:p>
    <w:p w:rsidR="00B03921" w:rsidRDefault="00B03921" w:rsidP="00016914">
      <w:pPr>
        <w:pStyle w:val="Notes"/>
      </w:pPr>
      <w:r>
        <w:t>Note:</w:t>
      </w:r>
    </w:p>
    <w:p w:rsidR="00B03921" w:rsidRPr="006F4D96" w:rsidRDefault="00B03921" w:rsidP="00016914">
      <w:pPr>
        <w:pStyle w:val="Notes"/>
      </w:pPr>
      <w:r>
        <w:t>(a)</w:t>
      </w:r>
      <w:r>
        <w:tab/>
        <w:t xml:space="preserve">The 2014-15 budget figures have been restated to reflect </w:t>
      </w:r>
      <w:r w:rsidRPr="00B21426">
        <w:t>the 2013-14 actual closing balance</w:t>
      </w:r>
      <w:r>
        <w:t>s.</w:t>
      </w:r>
    </w:p>
    <w:p w:rsidR="00B03921" w:rsidRPr="0090460D" w:rsidRDefault="00B03921" w:rsidP="00016914"/>
    <w:p w:rsidR="00B03921" w:rsidRDefault="00B03921" w:rsidP="00016914">
      <w:pPr>
        <w:sectPr w:rsidR="00B03921" w:rsidSect="00016914">
          <w:footerReference w:type="even" r:id="rId61"/>
          <w:footerReference w:type="default" r:id="rId62"/>
          <w:pgSz w:w="9979" w:h="14181" w:code="34"/>
          <w:pgMar w:top="1140" w:right="1140" w:bottom="1140" w:left="1140" w:header="720" w:footer="431" w:gutter="0"/>
          <w:cols w:space="708"/>
          <w:docGrid w:linePitch="360"/>
        </w:sectPr>
      </w:pPr>
    </w:p>
    <w:p w:rsidR="00B03921" w:rsidRPr="00252214" w:rsidRDefault="00B03921" w:rsidP="00016914">
      <w:pPr>
        <w:pStyle w:val="Heading1"/>
      </w:pPr>
      <w:bookmarkStart w:id="125" w:name="_Toc418274765"/>
      <w:r>
        <w:t>Courts</w:t>
      </w:r>
      <w:bookmarkEnd w:id="125"/>
    </w:p>
    <w:p w:rsidR="00B03921" w:rsidRDefault="00B03921" w:rsidP="00016914">
      <w:pPr>
        <w:pStyle w:val="Heading2"/>
      </w:pPr>
      <w:r>
        <w:t>Operating performance</w:t>
      </w:r>
    </w:p>
    <w:p w:rsidR="00B03921" w:rsidRDefault="00B03921" w:rsidP="00016914">
      <w:r>
        <w:t xml:space="preserve">Courts is expected to have a balanced net result from transactions for the 2015-16 budget. </w:t>
      </w:r>
    </w:p>
    <w:p w:rsidR="00B03921" w:rsidRDefault="00B03921" w:rsidP="00016914">
      <w:r>
        <w:t>Total income from transactions is expected to increase by $4.9 million from the 2014-15 revised budget to the 2015-16 b</w:t>
      </w:r>
      <w:r w:rsidRPr="00652296">
        <w:t>udget</w:t>
      </w:r>
      <w:r>
        <w:t xml:space="preserve">. </w:t>
      </w:r>
    </w:p>
    <w:p w:rsidR="00B03921" w:rsidRDefault="00B03921" w:rsidP="00016914">
      <w:r>
        <w:t xml:space="preserve">The increase is a result of funding for initiatives announced in the </w:t>
      </w:r>
      <w:r w:rsidRPr="00A16A03">
        <w:rPr>
          <w:i/>
        </w:rPr>
        <w:t>2015-16 Budget</w:t>
      </w:r>
      <w:r>
        <w:t xml:space="preserve">, including: </w:t>
      </w:r>
    </w:p>
    <w:p w:rsidR="00B03921" w:rsidRDefault="00B03921" w:rsidP="00016914">
      <w:pPr>
        <w:pStyle w:val="BulletText"/>
      </w:pPr>
      <w:r>
        <w:t xml:space="preserve">Victorian Court safety audit; </w:t>
      </w:r>
    </w:p>
    <w:p w:rsidR="00B03921" w:rsidRDefault="00B03921" w:rsidP="00016914">
      <w:pPr>
        <w:pStyle w:val="BulletText"/>
      </w:pPr>
      <w:r>
        <w:t>Men</w:t>
      </w:r>
      <w:r w:rsidR="00BA5A16">
        <w:t>’</w:t>
      </w:r>
      <w:r>
        <w:t>s behaviour change programs; and</w:t>
      </w:r>
    </w:p>
    <w:p w:rsidR="00B03921" w:rsidRDefault="00B03921" w:rsidP="00016914">
      <w:pPr>
        <w:pStyle w:val="BulletText"/>
      </w:pPr>
      <w:r>
        <w:t>Coroners Court Death Review Unit.</w:t>
      </w:r>
    </w:p>
    <w:p w:rsidR="00B03921" w:rsidRDefault="00B03921" w:rsidP="00016914">
      <w:r>
        <w:t>Special appropriation revenue is expected to increase by $6.3 million in 2015-16 to support an independent judiciary.</w:t>
      </w:r>
    </w:p>
    <w:p w:rsidR="00B03921" w:rsidRDefault="00B03921" w:rsidP="00016914">
      <w:r>
        <w:t>Increases are offset by a decrease in grants revenue in 2015-16 of $12.5 million as a result of a one-off budget transfer to Courts from the Department of Justice and Regulation in 2014-15.</w:t>
      </w:r>
    </w:p>
    <w:p w:rsidR="00B03921" w:rsidRPr="00E7182D" w:rsidRDefault="00B03921" w:rsidP="00016914">
      <w:r>
        <w:t>Total expenses from transactions are expected to increase by $4.9 million from the 2014</w:t>
      </w:r>
      <w:r>
        <w:noBreakHyphen/>
        <w:t>15 revised budget due to the factors identified above.</w:t>
      </w:r>
    </w:p>
    <w:p w:rsidR="00B03921" w:rsidRDefault="00B03921" w:rsidP="00016914">
      <w:pPr>
        <w:pStyle w:val="Heading2"/>
      </w:pPr>
      <w:r>
        <w:t>Balance sheet</w:t>
      </w:r>
    </w:p>
    <w:p w:rsidR="00B03921" w:rsidRDefault="00B03921" w:rsidP="00016914">
      <w:r>
        <w:t>Courts</w:t>
      </w:r>
      <w:r w:rsidR="00BA5A16">
        <w:t>’</w:t>
      </w:r>
      <w:r>
        <w:t xml:space="preserve"> net asset position is expected to increase by $47.6 million compared to the </w:t>
      </w:r>
      <w:r>
        <w:br/>
        <w:t>2014-15 revised budget. Net assets in 2015-16 reflect the Government</w:t>
      </w:r>
      <w:r w:rsidR="00BA5A16">
        <w:t>’</w:t>
      </w:r>
      <w:r>
        <w:t>s commitment to build new facilities and other infrastructure across the State, based on modern service models and future growth in demand for services.</w:t>
      </w:r>
    </w:p>
    <w:p w:rsidR="00B03921" w:rsidRPr="00E7182D" w:rsidRDefault="00B03921" w:rsidP="00016914">
      <w:r>
        <w:t>The increase in net assets includes expanding the video conferencing network that will deliver a significant increase in the capacity for concurrent calls, reducing the need for people, including prisoners, to physically attend court for hearings. The increase also reflects the asset investment infrastructure announced in previous budgets such as the new Children</w:t>
      </w:r>
      <w:r w:rsidR="00BA5A16">
        <w:t>’</w:t>
      </w:r>
      <w:r>
        <w:t>s Court at Broadmeadows and the Shepparton Court redevelopment with a new purpose-built court complex.</w:t>
      </w:r>
    </w:p>
    <w:p w:rsidR="00B03921" w:rsidRDefault="00B03921" w:rsidP="00016914">
      <w:pPr>
        <w:pStyle w:val="Heading2"/>
      </w:pPr>
      <w:r>
        <w:t>Investing and financing</w:t>
      </w:r>
    </w:p>
    <w:p w:rsidR="00B03921" w:rsidRPr="00E7182D" w:rsidRDefault="00B03921" w:rsidP="00016914">
      <w:r w:rsidRPr="00E7182D">
        <w:t>Payments for non-financial assets in 2015-16 reflect new asset investments such as the expansion of the video conferencing network and the continued implementation of asset investment programs commenced in previous budgets, including the new Children</w:t>
      </w:r>
      <w:r w:rsidR="00BA5A16">
        <w:t>’</w:t>
      </w:r>
      <w:r w:rsidRPr="00E7182D">
        <w:t>s C</w:t>
      </w:r>
      <w:r>
        <w:t>ourt at Broadmeadows and the re</w:t>
      </w:r>
      <w:r w:rsidRPr="00E7182D">
        <w:t>devel</w:t>
      </w:r>
      <w:r>
        <w:t>opment of the Shepparton Court.</w:t>
      </w:r>
      <w:r w:rsidRPr="00E7182D">
        <w:t xml:space="preserve"> The investing activity is financed by a net cash inflow </w:t>
      </w:r>
      <w:r>
        <w:t xml:space="preserve">from operating activities </w:t>
      </w:r>
      <w:r w:rsidRPr="00E7182D">
        <w:t xml:space="preserve">and a capital contribution from the State Government. </w:t>
      </w:r>
    </w:p>
    <w:p w:rsidR="00B03921" w:rsidRDefault="00B03921" w:rsidP="00016914">
      <w:pPr>
        <w:pStyle w:val="Heading2"/>
      </w:pPr>
      <w:r w:rsidRPr="0090460D">
        <w:t>Administered items statement</w:t>
      </w:r>
    </w:p>
    <w:p w:rsidR="00B03921" w:rsidRPr="00BA70FF" w:rsidRDefault="00B03921" w:rsidP="00016914">
      <w:r w:rsidRPr="00BA70FF">
        <w:t xml:space="preserve">Transactions administered by Courts include revenue items from special appropriations to award victims who suffer loss of earnings, or are reasonably likely to suffer as a direct result of an act of violence. In addition, Courts collects revenue from court fees and fines. </w:t>
      </w:r>
    </w:p>
    <w:p w:rsidR="00B03921" w:rsidRDefault="00B03921" w:rsidP="00016914">
      <w:pPr>
        <w:pStyle w:val="Tableheading"/>
      </w:pPr>
      <w:r>
        <w:t>Table 3.9.1:</w:t>
      </w:r>
      <w:r>
        <w:tab/>
        <w:t>Comprehensive operating statement</w:t>
      </w:r>
      <w:r w:rsidRPr="00A53FE7">
        <w:rPr>
          <w:vertAlign w:val="superscript"/>
        </w:rPr>
        <w:t>(a)</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rHeight w:val="503"/>
        </w:trPr>
        <w:tc>
          <w:tcPr>
            <w:tcW w:w="3784"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311.8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137.7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454.6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461.2</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466.1</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ofFigures"/>
              <w:jc w:val="left"/>
              <w:rPr>
                <w:rFonts w:eastAsiaTheme="minorEastAsia"/>
                <w:b/>
                <w:lang w:eastAsia="en-AU"/>
              </w:rPr>
            </w:pPr>
            <w:r w:rsidRPr="00FE4FB8">
              <w:rPr>
                <w:rFonts w:eastAsiaTheme="minorEastAsia"/>
                <w:b/>
                <w:bCs/>
                <w:lang w:eastAsia="en-AU"/>
              </w:rPr>
              <w:t>Expenses from transactions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262.9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279.9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40.6</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110.8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115.3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102.6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454.6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461.2</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466.1</w:t>
            </w:r>
          </w:p>
        </w:tc>
      </w:tr>
      <w:tr w:rsidR="00B03921" w:rsidRPr="00FE4FB8" w:rsidTr="00016914">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 from transactions (net operating balance)</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t>Sources: Courts, and Department of Treasury and Finance</w:t>
      </w:r>
    </w:p>
    <w:p w:rsidR="00B03921" w:rsidRDefault="00B03921" w:rsidP="00016914">
      <w:pPr>
        <w:pStyle w:val="Notes"/>
      </w:pPr>
      <w:r>
        <w:t>Note:</w:t>
      </w:r>
    </w:p>
    <w:p w:rsidR="00B03921" w:rsidRDefault="00B03921" w:rsidP="00016914">
      <w:pPr>
        <w:pStyle w:val="Notes"/>
        <w:rPr>
          <w:b/>
        </w:rPr>
      </w:pPr>
      <w:r>
        <w:t>(a)</w:t>
      </w:r>
      <w:r>
        <w:tab/>
        <w:t>Courts began operations from 1 July 2014.</w:t>
      </w:r>
    </w:p>
    <w:p w:rsidR="00B03921" w:rsidRDefault="00B03921">
      <w:pPr>
        <w:spacing w:after="0"/>
        <w:rPr>
          <w:rFonts w:ascii="Calibri" w:hAnsi="Calibri"/>
          <w:b/>
        </w:rPr>
      </w:pPr>
      <w:r>
        <w:br w:type="page"/>
      </w:r>
    </w:p>
    <w:p w:rsidR="00B03921" w:rsidRDefault="00B03921" w:rsidP="00016914">
      <w:pPr>
        <w:pStyle w:val="Tableheading"/>
      </w:pPr>
      <w:r>
        <w:t>Table 3.9.2:</w:t>
      </w:r>
      <w:r>
        <w:tab/>
        <w:t>Balance sheet</w:t>
      </w:r>
      <w:r w:rsidRPr="00A53FE7">
        <w:rPr>
          <w:vertAlign w:val="superscript"/>
        </w:rPr>
        <w:t>(a)</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blHeader/>
        </w:trPr>
        <w:tc>
          <w:tcPr>
            <w:tcW w:w="3784" w:type="dxa"/>
            <w:vMerge w:val="restart"/>
            <w:tcBorders>
              <w:top w:val="single" w:sz="6" w:space="0" w:color="000000"/>
              <w:left w:val="single" w:sz="6" w:space="0" w:color="000000"/>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vMerge w:val="restart"/>
            <w:tcBorders>
              <w:top w:val="single" w:sz="6" w:space="0" w:color="000000"/>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p>
        </w:tc>
        <w:tc>
          <w:tcPr>
            <w:tcW w:w="2982" w:type="dxa"/>
            <w:gridSpan w:val="3"/>
            <w:tcBorders>
              <w:top w:val="single" w:sz="6" w:space="0" w:color="000000"/>
              <w:left w:val="nil"/>
              <w:bottom w:val="nil"/>
              <w:right w:val="single" w:sz="6" w:space="0" w:color="000000"/>
            </w:tcBorders>
            <w:shd w:val="clear" w:color="000000" w:fill="000000"/>
          </w:tcPr>
          <w:p w:rsidR="00076137" w:rsidRPr="00FE4FB8" w:rsidRDefault="00076137" w:rsidP="00076137">
            <w:pPr>
              <w:pStyle w:val="Tabletextheading"/>
              <w:jc w:val="center"/>
              <w:rPr>
                <w:rFonts w:eastAsiaTheme="minorEastAsia"/>
                <w:color w:val="FFFFFF"/>
                <w:lang w:eastAsia="en-AU"/>
              </w:rPr>
            </w:pPr>
            <w:r>
              <w:rPr>
                <w:rFonts w:eastAsiaTheme="minorEastAsia"/>
                <w:lang w:eastAsia="en-AU"/>
              </w:rPr>
              <w:t>Estimated as at 30 Jun</w:t>
            </w:r>
          </w:p>
        </w:tc>
      </w:tr>
      <w:tr w:rsidR="00076137" w:rsidRPr="00FE4FB8" w:rsidTr="00076137">
        <w:trPr>
          <w:trHeight w:val="488"/>
          <w:tblHeader/>
        </w:trPr>
        <w:tc>
          <w:tcPr>
            <w:tcW w:w="3784" w:type="dxa"/>
            <w:vMerge/>
            <w:tcBorders>
              <w:left w:val="single" w:sz="6" w:space="0" w:color="000000"/>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vMerge/>
            <w:tcBorders>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p>
        </w:tc>
        <w:tc>
          <w:tcPr>
            <w:tcW w:w="994"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p>
        </w:tc>
        <w:tc>
          <w:tcPr>
            <w:tcW w:w="994" w:type="dxa"/>
            <w:tcBorders>
              <w:top w:val="nil"/>
              <w:left w:val="nil"/>
              <w:right w:val="single" w:sz="6" w:space="0" w:color="000000"/>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p>
        </w:tc>
      </w:tr>
      <w:tr w:rsidR="00076137" w:rsidRPr="00FE4FB8" w:rsidTr="00076137">
        <w:tc>
          <w:tcPr>
            <w:tcW w:w="7760" w:type="dxa"/>
            <w:gridSpan w:val="5"/>
            <w:tcBorders>
              <w:top w:val="single" w:sz="6" w:space="0" w:color="000000"/>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Assets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Financial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48.6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813.3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814.8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843.6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21.5</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841.4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842.9</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865.0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890.0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891.5</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934.3</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ofFigures"/>
              <w:jc w:val="left"/>
              <w:rPr>
                <w:rFonts w:eastAsiaTheme="minorEastAsia"/>
                <w:b/>
                <w:lang w:eastAsia="en-AU"/>
              </w:rPr>
            </w:pPr>
            <w:r w:rsidRPr="00FE4FB8">
              <w:rPr>
                <w:rFonts w:eastAsiaTheme="minorEastAsia"/>
                <w:b/>
                <w:bCs/>
                <w:lang w:eastAsia="en-AU"/>
              </w:rPr>
              <w:t>Liabilities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104.7</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99.9</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62.8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179.6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179.6</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174.7</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710.4</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711.9</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759.5</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ofFigures"/>
              <w:jc w:val="left"/>
              <w:rPr>
                <w:rFonts w:eastAsiaTheme="minorEastAsia"/>
                <w:b/>
                <w:lang w:eastAsia="en-AU"/>
              </w:rPr>
            </w:pPr>
            <w:r w:rsidRPr="00FE4FB8">
              <w:rPr>
                <w:rFonts w:eastAsiaTheme="minorEastAsia"/>
                <w:b/>
                <w:bCs/>
                <w:lang w:eastAsia="en-AU"/>
              </w:rPr>
              <w:t>Equity</w:t>
            </w:r>
          </w:p>
        </w:tc>
      </w:tr>
      <w:tr w:rsidR="00B03921" w:rsidRPr="00FE4FB8" w:rsidTr="00016914">
        <w:tc>
          <w:tcPr>
            <w:tcW w:w="3784"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710.4</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711.9</w:t>
            </w:r>
          </w:p>
        </w:tc>
        <w:tc>
          <w:tcPr>
            <w:tcW w:w="994"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759.5</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710.4</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711.9</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759.5</w:t>
            </w:r>
          </w:p>
        </w:tc>
      </w:tr>
    </w:tbl>
    <w:p w:rsidR="00B03921" w:rsidRDefault="00B03921" w:rsidP="00016914">
      <w:pPr>
        <w:pStyle w:val="Source"/>
      </w:pPr>
      <w:r>
        <w:t>Sources: Courts, and Department of Treasury and Finance</w:t>
      </w:r>
    </w:p>
    <w:p w:rsidR="00B03921" w:rsidRDefault="00B03921" w:rsidP="00016914">
      <w:pPr>
        <w:pStyle w:val="Notes"/>
      </w:pPr>
      <w:r>
        <w:t>Note:</w:t>
      </w:r>
    </w:p>
    <w:p w:rsidR="00B03921" w:rsidRDefault="00B03921" w:rsidP="00016914">
      <w:pPr>
        <w:pStyle w:val="Notes"/>
        <w:rPr>
          <w:b/>
        </w:rPr>
      </w:pPr>
      <w:r>
        <w:t>(a)</w:t>
      </w:r>
      <w:r>
        <w:tab/>
        <w:t>Courts began operations from 1 July 2014.</w:t>
      </w:r>
    </w:p>
    <w:p w:rsidR="00B03921" w:rsidRDefault="00B03921">
      <w:pPr>
        <w:spacing w:after="0"/>
        <w:rPr>
          <w:rFonts w:ascii="Calibri" w:hAnsi="Calibri"/>
          <w:b/>
        </w:rPr>
      </w:pPr>
      <w:r>
        <w:br w:type="page"/>
      </w:r>
    </w:p>
    <w:p w:rsidR="00B03921" w:rsidRDefault="00B03921" w:rsidP="00016914">
      <w:pPr>
        <w:pStyle w:val="Tableheading"/>
      </w:pPr>
      <w:r>
        <w:t>Table 3.9.3:</w:t>
      </w:r>
      <w:r>
        <w:tab/>
        <w:t>Statement of cash flows</w:t>
      </w:r>
      <w:r w:rsidRPr="00A53FE7">
        <w:rPr>
          <w:vertAlign w:val="superscript"/>
        </w:rPr>
        <w:t>(a)</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rHeight w:val="503"/>
          <w:tblHeader/>
        </w:trPr>
        <w:tc>
          <w:tcPr>
            <w:tcW w:w="3784"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operating activities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(b)</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431.2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428.8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27.4</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452.0</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458.6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445.4</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Payments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c>
          <w:tcPr>
            <w:tcW w:w="994" w:type="dxa"/>
            <w:tcBorders>
              <w:top w:val="nil"/>
              <w:left w:val="nil"/>
              <w:bottom w:val="nil"/>
              <w:right w:val="nil"/>
            </w:tcBorders>
          </w:tcPr>
          <w:p w:rsidR="00B03921" w:rsidRPr="00FE4FB8" w:rsidRDefault="00B03921" w:rsidP="00016914">
            <w:pPr>
              <w:pStyle w:val="TableofFigures"/>
              <w:rPr>
                <w:rFonts w:eastAsiaTheme="minorEastAsia"/>
                <w:b/>
                <w:lang w:eastAsia="en-AU"/>
              </w:rPr>
            </w:pPr>
            <w:r w:rsidRPr="00FE4FB8">
              <w:rPr>
                <w:rFonts w:eastAsiaTheme="minorEastAsia"/>
                <w:b/>
                <w:lang w:eastAsia="en-AU"/>
              </w:rPr>
              <w:t xml:space="preserve"> </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(0.3)</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(371.6)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(378.2)</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(382.5)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(40.6)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(40.6)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(40.6)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(11.4)</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(11.4)</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(424.4)</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(431.0)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(434.8)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27.6</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27.6</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10.6</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(b)</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(23.6)</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(25.1)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(53.4)</w:t>
            </w:r>
          </w:p>
        </w:tc>
      </w:tr>
      <w:tr w:rsidR="00B03921" w:rsidRPr="00FE4FB8" w:rsidTr="00016914">
        <w:tc>
          <w:tcPr>
            <w:tcW w:w="3784"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(23.6)</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(25.1)</w:t>
            </w:r>
          </w:p>
        </w:tc>
        <w:tc>
          <w:tcPr>
            <w:tcW w:w="994"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(53.4)</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2.5</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(2.3)</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(0.8)</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42.8</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c>
          <w:tcPr>
            <w:tcW w:w="99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r>
      <w:tr w:rsidR="00B03921" w:rsidRPr="00FE4FB8" w:rsidTr="00016914">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1.7</w:t>
            </w:r>
          </w:p>
        </w:tc>
      </w:tr>
      <w:tr w:rsidR="00B03921" w:rsidRPr="00FE4FB8" w:rsidTr="00016914">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r>
    </w:tbl>
    <w:p w:rsidR="00B03921" w:rsidRDefault="00B03921" w:rsidP="00016914">
      <w:pPr>
        <w:pStyle w:val="Source"/>
      </w:pPr>
      <w:r>
        <w:t>Sources: Courts, and Department of Treasury and Finance</w:t>
      </w:r>
    </w:p>
    <w:p w:rsidR="00B03921" w:rsidRDefault="00B03921" w:rsidP="00016914">
      <w:pPr>
        <w:pStyle w:val="Notes"/>
      </w:pPr>
      <w:r>
        <w:t>Notes:</w:t>
      </w:r>
    </w:p>
    <w:p w:rsidR="00B03921" w:rsidRDefault="00B03921" w:rsidP="00016914">
      <w:pPr>
        <w:pStyle w:val="Notes"/>
      </w:pPr>
      <w:r>
        <w:t>(a)</w:t>
      </w:r>
      <w:r>
        <w:tab/>
        <w:t>Courts began operations from 1 July 2014.</w:t>
      </w:r>
    </w:p>
    <w:p w:rsidR="00B03921" w:rsidRDefault="00B03921" w:rsidP="00016914">
      <w:pPr>
        <w:pStyle w:val="Notes"/>
        <w:rPr>
          <w:b/>
        </w:rPr>
      </w:pPr>
      <w:r>
        <w:t>(b)</w:t>
      </w:r>
      <w:r>
        <w:tab/>
        <w:t>Figures have been restated to better reflect the nature of related cash flows.</w:t>
      </w:r>
    </w:p>
    <w:p w:rsidR="00B03921" w:rsidRDefault="00B03921">
      <w:pPr>
        <w:spacing w:after="0"/>
        <w:rPr>
          <w:rFonts w:ascii="Calibri" w:hAnsi="Calibri"/>
          <w:b/>
        </w:rPr>
      </w:pPr>
      <w:r>
        <w:br w:type="page"/>
      </w:r>
    </w:p>
    <w:p w:rsidR="00B03921" w:rsidRDefault="00B03921" w:rsidP="00016914">
      <w:pPr>
        <w:pStyle w:val="Tableheading"/>
      </w:pPr>
      <w:r>
        <w:t>Table 3.9.4:</w:t>
      </w:r>
      <w:r>
        <w:tab/>
        <w:t>Statement of changes in equity</w:t>
      </w:r>
      <w:r w:rsidRPr="00A53FE7">
        <w:rPr>
          <w:vertAlign w:val="superscript"/>
        </w:rPr>
        <w:t>(a)</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26"/>
        <w:gridCol w:w="363"/>
        <w:gridCol w:w="1036"/>
        <w:gridCol w:w="1260"/>
        <w:gridCol w:w="1091"/>
        <w:gridCol w:w="840"/>
        <w:gridCol w:w="744"/>
      </w:tblGrid>
      <w:tr w:rsidR="00B03921" w:rsidRPr="00FE4FB8" w:rsidTr="00016914">
        <w:trPr>
          <w:tblHeader/>
        </w:trPr>
        <w:tc>
          <w:tcPr>
            <w:tcW w:w="2427"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398"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60"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091"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840"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744"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103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26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4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2014 (actual)</w:t>
            </w:r>
          </w:p>
        </w:tc>
        <w:tc>
          <w:tcPr>
            <w:tcW w:w="103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26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4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710.4</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710.4</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Closing balance 30 June 2015 (budget) </w:t>
            </w:r>
          </w:p>
        </w:tc>
        <w:tc>
          <w:tcPr>
            <w:tcW w:w="103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26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710.4</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4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710.4</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711.9</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711.9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2015 (revised)</w:t>
            </w:r>
          </w:p>
        </w:tc>
        <w:tc>
          <w:tcPr>
            <w:tcW w:w="103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26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711.9</w:t>
            </w:r>
          </w:p>
        </w:tc>
        <w:tc>
          <w:tcPr>
            <w:tcW w:w="1091"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44"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711.9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3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35"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6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47.6</w:t>
            </w:r>
          </w:p>
        </w:tc>
        <w:tc>
          <w:tcPr>
            <w:tcW w:w="1091"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4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44"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47.6</w:t>
            </w:r>
          </w:p>
        </w:tc>
      </w:tr>
      <w:tr w:rsidR="00B03921" w:rsidRPr="00FE4FB8" w:rsidTr="00016914">
        <w:tc>
          <w:tcPr>
            <w:tcW w:w="2789"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2016 (budget)</w:t>
            </w:r>
          </w:p>
        </w:tc>
        <w:tc>
          <w:tcPr>
            <w:tcW w:w="1036"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26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759.5</w:t>
            </w:r>
          </w:p>
        </w:tc>
        <w:tc>
          <w:tcPr>
            <w:tcW w:w="109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74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759.5</w:t>
            </w:r>
          </w:p>
        </w:tc>
      </w:tr>
    </w:tbl>
    <w:p w:rsidR="00B03921" w:rsidRDefault="00B03921" w:rsidP="00016914">
      <w:pPr>
        <w:pStyle w:val="Source"/>
      </w:pPr>
      <w:r>
        <w:t>Sources: Courts, and Department of Treasury and Finance</w:t>
      </w:r>
    </w:p>
    <w:p w:rsidR="00B03921" w:rsidRDefault="00B03921" w:rsidP="00016914">
      <w:pPr>
        <w:pStyle w:val="Notes"/>
      </w:pPr>
      <w:r>
        <w:t>Note:</w:t>
      </w:r>
    </w:p>
    <w:p w:rsidR="00B03921" w:rsidRDefault="00B03921" w:rsidP="00016914">
      <w:pPr>
        <w:pStyle w:val="Notes"/>
      </w:pPr>
      <w:r>
        <w:t xml:space="preserve">(a) </w:t>
      </w:r>
      <w:r>
        <w:tab/>
        <w:t>Courts began operations from 1 July 2014.</w:t>
      </w:r>
    </w:p>
    <w:p w:rsidR="00B03921" w:rsidRDefault="00B03921" w:rsidP="00016914">
      <w:pPr>
        <w:pStyle w:val="million"/>
      </w:pP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3.9.5:</w:t>
      </w:r>
      <w:r>
        <w:tab/>
        <w:t>Administered items statement</w:t>
      </w:r>
      <w:r w:rsidRPr="00A53FE7">
        <w:rPr>
          <w:vertAlign w:val="superscript"/>
        </w:rPr>
        <w:t>(a)</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076137" w:rsidRPr="00FE4FB8" w:rsidTr="00076137">
        <w:trPr>
          <w:trHeight w:val="503"/>
          <w:tblHeader/>
        </w:trPr>
        <w:tc>
          <w:tcPr>
            <w:tcW w:w="3784"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p>
        </w:tc>
        <w:tc>
          <w:tcPr>
            <w:tcW w:w="994"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61.6</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57.3</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136.1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136.3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139.6</w:t>
            </w:r>
          </w:p>
        </w:tc>
      </w:tr>
      <w:tr w:rsidR="00076137" w:rsidRPr="00FE4FB8" w:rsidTr="00076137">
        <w:trPr>
          <w:trHeight w:hRule="exact" w:val="120"/>
        </w:trPr>
        <w:tc>
          <w:tcPr>
            <w:tcW w:w="7760" w:type="dxa"/>
            <w:gridSpan w:val="5"/>
            <w:tcBorders>
              <w:top w:val="nil"/>
              <w:left w:val="nil"/>
              <w:bottom w:val="nil"/>
              <w:right w:val="nil"/>
            </w:tcBorders>
          </w:tcPr>
          <w:p w:rsidR="00076137" w:rsidRPr="00FE4FB8" w:rsidRDefault="00076137" w:rsidP="00016914">
            <w:pPr>
              <w:pStyle w:val="TableofFigures"/>
              <w:rPr>
                <w:rFonts w:eastAsiaTheme="minorEastAsia"/>
                <w:lang w:eastAsia="en-AU"/>
              </w:rPr>
            </w:pP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clear" w:color="auto"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shd w:val="clear" w:color="auto"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58.1</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78.0</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78.0</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136.1</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136.3</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139.6</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3784"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3784"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rPr>
          <w:trHeight w:hRule="exact" w:val="120"/>
        </w:trPr>
        <w:tc>
          <w:tcPr>
            <w:tcW w:w="7760" w:type="dxa"/>
            <w:gridSpan w:val="5"/>
            <w:tcBorders>
              <w:top w:val="nil"/>
              <w:left w:val="nil"/>
              <w:bottom w:val="nil"/>
              <w:right w:val="nil"/>
            </w:tcBorders>
          </w:tcPr>
          <w:p w:rsidR="00076137" w:rsidRPr="00FE4FB8" w:rsidRDefault="00076137" w:rsidP="00016914">
            <w:pPr>
              <w:pStyle w:val="TableofFigures"/>
              <w:rPr>
                <w:rFonts w:eastAsiaTheme="minorEastAsia"/>
                <w:b/>
                <w:bCs/>
                <w:lang w:eastAsia="en-AU"/>
              </w:rPr>
            </w:pP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6.8</w:t>
            </w:r>
          </w:p>
        </w:tc>
      </w:tr>
      <w:tr w:rsidR="00076137" w:rsidRPr="00FE4FB8" w:rsidTr="00076137">
        <w:trPr>
          <w:trHeight w:hRule="exact" w:val="120"/>
        </w:trPr>
        <w:tc>
          <w:tcPr>
            <w:tcW w:w="7760" w:type="dxa"/>
            <w:gridSpan w:val="5"/>
            <w:tcBorders>
              <w:top w:val="nil"/>
              <w:left w:val="nil"/>
              <w:bottom w:val="nil"/>
              <w:right w:val="nil"/>
            </w:tcBorders>
          </w:tcPr>
          <w:p w:rsidR="00076137" w:rsidRPr="00FE4FB8" w:rsidRDefault="00076137" w:rsidP="00016914">
            <w:pPr>
              <w:pStyle w:val="TableofFigures"/>
              <w:rPr>
                <w:rFonts w:eastAsiaTheme="minorEastAsia"/>
                <w:lang w:eastAsia="en-AU"/>
              </w:rPr>
            </w:pP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liabilitie</w:t>
            </w:r>
            <w:r>
              <w:rPr>
                <w:rFonts w:eastAsiaTheme="minorEastAsia"/>
                <w:b/>
                <w:bCs/>
                <w:lang w:eastAsia="en-AU"/>
              </w:rPr>
              <w:t>s</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7.2</w:t>
            </w:r>
          </w:p>
        </w:tc>
      </w:tr>
      <w:tr w:rsidR="00B03921" w:rsidRPr="00FE4FB8" w:rsidTr="00016914">
        <w:tc>
          <w:tcPr>
            <w:tcW w:w="3784"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r>
      <w:tr w:rsidR="00B03921" w:rsidRPr="00FE4FB8" w:rsidTr="00016914">
        <w:tc>
          <w:tcPr>
            <w:tcW w:w="3784"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8.0</w:t>
            </w:r>
          </w:p>
        </w:tc>
        <w:tc>
          <w:tcPr>
            <w:tcW w:w="99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8.0</w:t>
            </w:r>
          </w:p>
        </w:tc>
      </w:tr>
      <w:tr w:rsidR="00B03921" w:rsidRPr="00FE4FB8" w:rsidTr="00016914">
        <w:tc>
          <w:tcPr>
            <w:tcW w:w="37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w:t>
            </w:r>
          </w:p>
        </w:tc>
        <w:tc>
          <w:tcPr>
            <w:tcW w:w="99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(1.2)</w:t>
            </w:r>
          </w:p>
        </w:tc>
      </w:tr>
    </w:tbl>
    <w:p w:rsidR="00B03921" w:rsidRDefault="00B03921" w:rsidP="00016914">
      <w:pPr>
        <w:pStyle w:val="Source"/>
      </w:pPr>
      <w:r>
        <w:t>Sources: Courts, and Department of Treasury and Finance</w:t>
      </w:r>
    </w:p>
    <w:p w:rsidR="00B03921" w:rsidRDefault="00B03921" w:rsidP="00016914">
      <w:pPr>
        <w:pStyle w:val="Notes"/>
      </w:pPr>
      <w:r>
        <w:t>Note:</w:t>
      </w:r>
    </w:p>
    <w:p w:rsidR="00B03921" w:rsidRDefault="00B03921" w:rsidP="00016914">
      <w:pPr>
        <w:pStyle w:val="Notes"/>
      </w:pPr>
      <w:r>
        <w:t xml:space="preserve">(a) </w:t>
      </w:r>
      <w:r>
        <w:tab/>
        <w:t>Courts began operations from 1 July 2014.</w:t>
      </w:r>
    </w:p>
    <w:p w:rsidR="00B03921" w:rsidRPr="0090460D" w:rsidRDefault="00B03921" w:rsidP="00016914"/>
    <w:p w:rsidR="00B03921" w:rsidRDefault="00B03921" w:rsidP="00016914">
      <w:pPr>
        <w:sectPr w:rsidR="00B03921" w:rsidSect="00016914">
          <w:footerReference w:type="even" r:id="rId63"/>
          <w:footerReference w:type="default" r:id="rId64"/>
          <w:pgSz w:w="9979" w:h="14181" w:code="34"/>
          <w:pgMar w:top="1140" w:right="1140" w:bottom="1140" w:left="1140" w:header="720" w:footer="431" w:gutter="0"/>
          <w:cols w:space="708"/>
          <w:docGrid w:linePitch="360"/>
        </w:sectPr>
      </w:pPr>
    </w:p>
    <w:p w:rsidR="00B03921" w:rsidRPr="00252214" w:rsidRDefault="00B03921" w:rsidP="00016914">
      <w:pPr>
        <w:pStyle w:val="Heading1"/>
      </w:pPr>
      <w:bookmarkStart w:id="126" w:name="_Toc418274766"/>
      <w:r w:rsidRPr="00252214">
        <w:t xml:space="preserve">Department of </w:t>
      </w:r>
      <w:r w:rsidRPr="00651B6B">
        <w:t>Human Services</w:t>
      </w:r>
      <w:bookmarkEnd w:id="126"/>
    </w:p>
    <w:p w:rsidR="00B03921" w:rsidRDefault="00B03921" w:rsidP="00016914">
      <w:r w:rsidRPr="00845765">
        <w:t>Machinery of government changes effective</w:t>
      </w:r>
      <w:r>
        <w:t xml:space="preserve"> from</w:t>
      </w:r>
      <w:r w:rsidRPr="00845765">
        <w:t xml:space="preserve"> </w:t>
      </w:r>
      <w:r>
        <w:t>1 January</w:t>
      </w:r>
      <w:r w:rsidRPr="00845765">
        <w:t xml:space="preserve"> 2015 reallocated the functions of the Department of Human Services to other departments. The financial statements therefore do not include estimates for 2015</w:t>
      </w:r>
      <w:r>
        <w:noBreakHyphen/>
      </w:r>
      <w:r w:rsidRPr="00845765">
        <w:t xml:space="preserve">16, </w:t>
      </w:r>
      <w:r>
        <w:t>or closing balances (for balance sheet items) as at 30 June </w:t>
      </w:r>
      <w:r w:rsidRPr="00845765">
        <w:t>2015. The 2014-15 revised figures reflect the operat</w:t>
      </w:r>
      <w:r>
        <w:t>ions of the Department up to 31 </w:t>
      </w:r>
      <w:r w:rsidRPr="00845765">
        <w:t>December 2014 and are broadly consistent with original budget expectations for that period</w:t>
      </w:r>
      <w:r>
        <w:t xml:space="preserve">. </w:t>
      </w:r>
    </w:p>
    <w:p w:rsidR="00B03921" w:rsidRDefault="00B03921" w:rsidP="00016914">
      <w:pPr>
        <w:pStyle w:val="Heading2"/>
      </w:pPr>
      <w:r>
        <w:t>Operating performance</w:t>
      </w:r>
    </w:p>
    <w:p w:rsidR="00B03921" w:rsidRPr="00803658" w:rsidRDefault="00B03921" w:rsidP="00016914">
      <w:r w:rsidRPr="00CF4411">
        <w:t>No significant movements.</w:t>
      </w:r>
    </w:p>
    <w:p w:rsidR="00B03921" w:rsidRDefault="00B03921" w:rsidP="00016914">
      <w:pPr>
        <w:pStyle w:val="Heading2"/>
      </w:pPr>
      <w:r>
        <w:t>Balance sheet</w:t>
      </w:r>
    </w:p>
    <w:p w:rsidR="00B03921" w:rsidRDefault="00B03921" w:rsidP="00016914">
      <w:r w:rsidRPr="00CF4411">
        <w:t>No significant movements.</w:t>
      </w:r>
    </w:p>
    <w:p w:rsidR="00B03921" w:rsidRDefault="00B03921" w:rsidP="00016914">
      <w:pPr>
        <w:pStyle w:val="Heading2"/>
      </w:pPr>
      <w:r>
        <w:t>Investing and financing</w:t>
      </w:r>
    </w:p>
    <w:p w:rsidR="00B03921" w:rsidRDefault="00B03921" w:rsidP="00016914">
      <w:r w:rsidRPr="00CF4411">
        <w:t>No significant movements.</w:t>
      </w:r>
    </w:p>
    <w:p w:rsidR="00B03921" w:rsidRDefault="00B03921" w:rsidP="00016914">
      <w:pPr>
        <w:pStyle w:val="Heading2"/>
      </w:pPr>
      <w:r w:rsidRPr="0090460D">
        <w:t>Administered items statement</w:t>
      </w:r>
    </w:p>
    <w:p w:rsidR="00B03921" w:rsidRDefault="00B03921" w:rsidP="00016914">
      <w:r w:rsidRPr="00CF4411">
        <w:t>No significant movements.</w:t>
      </w:r>
      <w:r>
        <w:br w:type="page"/>
      </w:r>
    </w:p>
    <w:p w:rsidR="00B03921" w:rsidRDefault="00B03921" w:rsidP="00016914">
      <w:pPr>
        <w:pStyle w:val="Tableheading"/>
      </w:pPr>
      <w:r>
        <w:t>Table 3.10.1:</w:t>
      </w:r>
      <w:r>
        <w:tab/>
        <w:t>Comprehensive operating statement</w:t>
      </w:r>
    </w:p>
    <w:p w:rsidR="00B03921" w:rsidRDefault="00B03921" w:rsidP="00016914">
      <w:pPr>
        <w:pStyle w:val="million"/>
        <w:rPr>
          <w:rFonts w:ascii="Times New Roman" w:hAnsi="Times New Roman"/>
          <w:i w:val="0"/>
          <w:sz w:val="20"/>
          <w:szCs w:val="20"/>
          <w:lang w:eastAsia="en-AU"/>
        </w:rPr>
      </w:pPr>
      <w:r>
        <w:t>($ million)</w:t>
      </w:r>
    </w:p>
    <w:tbl>
      <w:tblPr>
        <w:tblW w:w="7797"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gridCol w:w="37"/>
      </w:tblGrid>
      <w:tr w:rsidR="00076137" w:rsidRPr="001818B5" w:rsidTr="00076137">
        <w:trPr>
          <w:gridAfter w:val="1"/>
          <w:wAfter w:w="37" w:type="dxa"/>
          <w:cantSplit/>
          <w:trHeight w:val="503"/>
          <w:tblHeader/>
        </w:trPr>
        <w:tc>
          <w:tcPr>
            <w:tcW w:w="3784" w:type="dxa"/>
            <w:tcBorders>
              <w:top w:val="single" w:sz="6" w:space="0" w:color="auto"/>
              <w:left w:val="single" w:sz="6" w:space="0" w:color="auto"/>
              <w:right w:val="nil"/>
            </w:tcBorders>
            <w:shd w:val="clear" w:color="000000" w:fill="000000"/>
          </w:tcPr>
          <w:p w:rsidR="00076137" w:rsidRPr="001818B5"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1818B5" w:rsidRDefault="00076137" w:rsidP="00076137">
            <w:pPr>
              <w:pStyle w:val="Tabletextheading"/>
              <w:rPr>
                <w:rFonts w:eastAsiaTheme="minorEastAsia"/>
                <w:iCs/>
                <w:color w:val="FFFFFF"/>
                <w:lang w:eastAsia="en-AU"/>
              </w:rPr>
            </w:pPr>
            <w:r w:rsidRPr="001818B5">
              <w:rPr>
                <w:rFonts w:eastAsiaTheme="minorEastAsia"/>
                <w:iCs/>
                <w:color w:val="FFFFFF"/>
                <w:lang w:eastAsia="en-AU"/>
              </w:rPr>
              <w:t>2013-14</w:t>
            </w:r>
            <w:r>
              <w:rPr>
                <w:rFonts w:eastAsiaTheme="minorEastAsia"/>
                <w:iCs/>
                <w:color w:val="FFFFFF"/>
                <w:lang w:eastAsia="en-AU"/>
              </w:rPr>
              <w:t xml:space="preserve"> </w:t>
            </w:r>
            <w:r w:rsidRPr="001818B5">
              <w:rPr>
                <w:rFonts w:eastAsiaTheme="minorEastAsia"/>
                <w:iCs/>
                <w:color w:val="FFFFFF"/>
                <w:lang w:eastAsia="en-AU"/>
              </w:rPr>
              <w:t>actual</w:t>
            </w:r>
          </w:p>
        </w:tc>
        <w:tc>
          <w:tcPr>
            <w:tcW w:w="994" w:type="dxa"/>
            <w:tcBorders>
              <w:top w:val="single" w:sz="6" w:space="0" w:color="auto"/>
              <w:left w:val="nil"/>
              <w:right w:val="nil"/>
            </w:tcBorders>
            <w:shd w:val="clear" w:color="000000" w:fill="000000"/>
          </w:tcPr>
          <w:p w:rsidR="00076137" w:rsidRPr="001818B5" w:rsidRDefault="00076137" w:rsidP="00076137">
            <w:pPr>
              <w:pStyle w:val="Tabletextheading"/>
              <w:rPr>
                <w:rFonts w:eastAsiaTheme="minorEastAsia"/>
                <w:iCs/>
                <w:color w:val="FFFFFF"/>
                <w:lang w:eastAsia="en-AU"/>
              </w:rPr>
            </w:pPr>
            <w:r w:rsidRPr="001818B5">
              <w:rPr>
                <w:rFonts w:eastAsiaTheme="minorEastAsia"/>
                <w:iCs/>
                <w:color w:val="FFFFFF"/>
                <w:lang w:eastAsia="en-AU"/>
              </w:rPr>
              <w:t>2014-15</w:t>
            </w:r>
            <w:r>
              <w:rPr>
                <w:rFonts w:eastAsiaTheme="minorEastAsia"/>
                <w:iCs/>
                <w:color w:val="FFFFFF"/>
                <w:lang w:eastAsia="en-AU"/>
              </w:rPr>
              <w:t xml:space="preserve"> </w:t>
            </w:r>
            <w:r w:rsidRPr="001818B5">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76137" w:rsidRPr="001818B5" w:rsidRDefault="00076137" w:rsidP="00076137">
            <w:pPr>
              <w:pStyle w:val="Tabletextheading"/>
              <w:rPr>
                <w:rFonts w:eastAsiaTheme="minorEastAsia"/>
                <w:iCs/>
                <w:color w:val="FFFFFF"/>
                <w:lang w:eastAsia="en-AU"/>
              </w:rPr>
            </w:pPr>
            <w:r w:rsidRPr="001818B5">
              <w:rPr>
                <w:rFonts w:eastAsiaTheme="minorEastAsia"/>
                <w:iCs/>
                <w:color w:val="FFFFFF"/>
                <w:lang w:eastAsia="en-AU"/>
              </w:rPr>
              <w:t>2014-15</w:t>
            </w:r>
            <w:r>
              <w:rPr>
                <w:rFonts w:eastAsiaTheme="minorEastAsia"/>
                <w:iCs/>
                <w:color w:val="FFFFFF"/>
                <w:lang w:eastAsia="en-AU"/>
              </w:rPr>
              <w:t xml:space="preserve"> </w:t>
            </w:r>
            <w:r w:rsidRPr="001818B5">
              <w:rPr>
                <w:rFonts w:eastAsiaTheme="minorEastAsia"/>
                <w:iCs/>
                <w:color w:val="FFFFFF"/>
                <w:lang w:eastAsia="en-AU"/>
              </w:rPr>
              <w:t>revised</w:t>
            </w:r>
            <w:r w:rsidRPr="001818B5">
              <w:rPr>
                <w:rFonts w:eastAsiaTheme="minorEastAsia"/>
                <w:iCs/>
                <w:color w:val="FFFFFF"/>
                <w:vertAlign w:val="superscript"/>
                <w:lang w:eastAsia="en-AU"/>
              </w:rPr>
              <w:t>(a)</w:t>
            </w:r>
          </w:p>
        </w:tc>
        <w:tc>
          <w:tcPr>
            <w:tcW w:w="994" w:type="dxa"/>
            <w:tcBorders>
              <w:top w:val="single" w:sz="6" w:space="0" w:color="auto"/>
              <w:left w:val="nil"/>
              <w:right w:val="single" w:sz="6" w:space="0" w:color="auto"/>
            </w:tcBorders>
            <w:shd w:val="clear" w:color="000000" w:fill="000000"/>
          </w:tcPr>
          <w:p w:rsidR="00076137" w:rsidRPr="001818B5" w:rsidRDefault="00076137" w:rsidP="00076137">
            <w:pPr>
              <w:pStyle w:val="Tabletextheading"/>
              <w:rPr>
                <w:rFonts w:eastAsiaTheme="minorEastAsia"/>
                <w:iCs/>
                <w:color w:val="FFFFFF"/>
                <w:lang w:eastAsia="en-AU"/>
              </w:rPr>
            </w:pPr>
            <w:r w:rsidRPr="001818B5">
              <w:rPr>
                <w:rFonts w:eastAsiaTheme="minorEastAsia"/>
                <w:iCs/>
                <w:color w:val="FFFFFF"/>
                <w:lang w:eastAsia="en-AU"/>
              </w:rPr>
              <w:t>2015-16</w:t>
            </w:r>
            <w:r>
              <w:rPr>
                <w:rFonts w:eastAsiaTheme="minorEastAsia"/>
                <w:iCs/>
                <w:color w:val="FFFFFF"/>
                <w:lang w:eastAsia="en-AU"/>
              </w:rPr>
              <w:t xml:space="preserve"> </w:t>
            </w:r>
            <w:r w:rsidRPr="001818B5">
              <w:rPr>
                <w:rFonts w:eastAsiaTheme="minorEastAsia"/>
                <w:iCs/>
                <w:color w:val="FFFFFF"/>
                <w:lang w:eastAsia="en-AU"/>
              </w:rPr>
              <w:t>budget</w:t>
            </w:r>
            <w:r w:rsidRPr="001818B5">
              <w:rPr>
                <w:rFonts w:eastAsiaTheme="minorEastAsia"/>
                <w:iCs/>
                <w:color w:val="FFFFFF"/>
                <w:vertAlign w:val="superscript"/>
                <w:lang w:eastAsia="en-AU"/>
              </w:rPr>
              <w:t>(b)</w:t>
            </w:r>
          </w:p>
        </w:tc>
      </w:tr>
      <w:tr w:rsidR="00076137" w:rsidRPr="001818B5" w:rsidTr="00076137">
        <w:trPr>
          <w:gridAfter w:val="1"/>
          <w:wAfter w:w="37" w:type="dxa"/>
          <w:cantSplit/>
        </w:trPr>
        <w:tc>
          <w:tcPr>
            <w:tcW w:w="7760" w:type="dxa"/>
            <w:gridSpan w:val="5"/>
            <w:tcBorders>
              <w:top w:val="single" w:sz="6" w:space="0" w:color="auto"/>
              <w:left w:val="nil"/>
              <w:bottom w:val="nil"/>
              <w:right w:val="nil"/>
            </w:tcBorders>
            <w:shd w:val="solid" w:color="FFFFFF" w:fill="auto"/>
          </w:tcPr>
          <w:p w:rsidR="00076137" w:rsidRPr="001818B5" w:rsidRDefault="00076137" w:rsidP="00076137">
            <w:pPr>
              <w:pStyle w:val="Tabletext"/>
              <w:rPr>
                <w:rFonts w:eastAsiaTheme="minorEastAsia"/>
                <w:b/>
                <w:lang w:eastAsia="en-AU"/>
              </w:rPr>
            </w:pPr>
            <w:r w:rsidRPr="001818B5">
              <w:rPr>
                <w:rFonts w:eastAsiaTheme="minorEastAsia"/>
                <w:b/>
                <w:bCs/>
                <w:lang w:eastAsia="en-AU"/>
              </w:rPr>
              <w:t>Net re</w:t>
            </w:r>
            <w:r>
              <w:rPr>
                <w:rFonts w:eastAsiaTheme="minorEastAsia"/>
                <w:b/>
                <w:bCs/>
                <w:lang w:eastAsia="en-AU"/>
              </w:rPr>
              <w:t>sult from continuing operations</w:t>
            </w:r>
          </w:p>
        </w:tc>
      </w:tr>
      <w:tr w:rsidR="00076137" w:rsidRPr="001818B5" w:rsidTr="00076137">
        <w:trPr>
          <w:gridAfter w:val="1"/>
          <w:wAfter w:w="37" w:type="dxa"/>
          <w:cantSplit/>
        </w:trPr>
        <w:tc>
          <w:tcPr>
            <w:tcW w:w="7760" w:type="dxa"/>
            <w:gridSpan w:val="5"/>
            <w:tcBorders>
              <w:top w:val="nil"/>
              <w:left w:val="nil"/>
              <w:bottom w:val="nil"/>
              <w:right w:val="nil"/>
            </w:tcBorders>
            <w:shd w:val="solid" w:color="FFFFFF" w:fill="auto"/>
          </w:tcPr>
          <w:p w:rsidR="00076137" w:rsidRPr="001818B5" w:rsidRDefault="00076137" w:rsidP="00076137">
            <w:pPr>
              <w:pStyle w:val="Tabletext"/>
              <w:rPr>
                <w:rFonts w:eastAsiaTheme="minorEastAsia"/>
                <w:b/>
                <w:lang w:eastAsia="en-AU"/>
              </w:rPr>
            </w:pPr>
            <w:r w:rsidRPr="001818B5">
              <w:rPr>
                <w:rFonts w:eastAsiaTheme="minorEastAsia"/>
                <w:b/>
                <w:bCs/>
                <w:lang w:eastAsia="en-AU"/>
              </w:rPr>
              <w:t>Income from transactions</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Output appropriations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3 609.0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3 779.2</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1 997.4</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Special appropriations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63.9</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63.9</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32.0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Interest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0.4</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Sale of goods and services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19.5</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16.3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10.6</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Grants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11.5</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12.0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6.8</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Fair value of assets and services received free of charge or for nominal consideration</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20.2</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Other income</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10.2</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0.7</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0.9</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single" w:sz="6" w:space="0" w:color="auto"/>
              <w:left w:val="nil"/>
              <w:bottom w:val="nil"/>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Total income from transactions</w:t>
            </w:r>
          </w:p>
        </w:tc>
        <w:tc>
          <w:tcPr>
            <w:tcW w:w="994" w:type="dxa"/>
            <w:tcBorders>
              <w:top w:val="single" w:sz="6" w:space="0" w:color="auto"/>
              <w:left w:val="nil"/>
              <w:bottom w:val="nil"/>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3 734.6</w:t>
            </w:r>
          </w:p>
        </w:tc>
        <w:tc>
          <w:tcPr>
            <w:tcW w:w="994" w:type="dxa"/>
            <w:tcBorders>
              <w:top w:val="single" w:sz="6" w:space="0" w:color="auto"/>
              <w:left w:val="nil"/>
              <w:bottom w:val="nil"/>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3 872.6</w:t>
            </w:r>
          </w:p>
        </w:tc>
        <w:tc>
          <w:tcPr>
            <w:tcW w:w="994" w:type="dxa"/>
            <w:tcBorders>
              <w:top w:val="single" w:sz="6" w:space="0" w:color="auto"/>
              <w:left w:val="nil"/>
              <w:bottom w:val="nil"/>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2 047.8</w:t>
            </w:r>
          </w:p>
        </w:tc>
        <w:tc>
          <w:tcPr>
            <w:tcW w:w="994" w:type="dxa"/>
            <w:tcBorders>
              <w:top w:val="single" w:sz="6" w:space="0" w:color="auto"/>
              <w:left w:val="nil"/>
              <w:bottom w:val="nil"/>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076137" w:rsidRPr="001818B5" w:rsidTr="00076137">
        <w:trPr>
          <w:gridAfter w:val="1"/>
          <w:wAfter w:w="37" w:type="dxa"/>
          <w:cantSplit/>
        </w:trPr>
        <w:tc>
          <w:tcPr>
            <w:tcW w:w="7760" w:type="dxa"/>
            <w:gridSpan w:val="5"/>
            <w:tcBorders>
              <w:top w:val="nil"/>
              <w:left w:val="nil"/>
              <w:bottom w:val="nil"/>
              <w:right w:val="nil"/>
            </w:tcBorders>
            <w:shd w:val="solid" w:color="FFFFFF" w:fill="auto"/>
          </w:tcPr>
          <w:p w:rsidR="00076137" w:rsidRPr="001818B5" w:rsidRDefault="00076137" w:rsidP="00076137">
            <w:pPr>
              <w:pStyle w:val="Tabletext"/>
              <w:rPr>
                <w:rFonts w:eastAsiaTheme="minorEastAsia"/>
                <w:b/>
                <w:lang w:eastAsia="en-AU"/>
              </w:rPr>
            </w:pPr>
            <w:r w:rsidRPr="001818B5">
              <w:rPr>
                <w:rFonts w:eastAsiaTheme="minorEastAsia"/>
                <w:b/>
                <w:bCs/>
                <w:lang w:eastAsia="en-AU"/>
              </w:rPr>
              <w:t>Expenses from transactio</w:t>
            </w:r>
            <w:r>
              <w:rPr>
                <w:rFonts w:eastAsiaTheme="minorEastAsia"/>
                <w:b/>
                <w:bCs/>
                <w:lang w:eastAsia="en-AU"/>
              </w:rPr>
              <w:t>n</w:t>
            </w:r>
            <w:r w:rsidRPr="001818B5">
              <w:rPr>
                <w:rFonts w:eastAsiaTheme="minorEastAsia"/>
                <w:b/>
                <w:bCs/>
                <w:lang w:eastAsia="en-AU"/>
              </w:rPr>
              <w:t>s</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Employee benefits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833.2</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852.0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420.4</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 xml:space="preserve">Depreciation </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34.4</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39.6</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17.9</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Interest expense</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2.0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2.9</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0.7</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Grants and other transfers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721.7</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683.6</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382.7</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Capital asset charge</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58.0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60.2</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30.1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Other operating expenses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2 069.8</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2 229.0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1 071.1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3 719.2</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3 867.3</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1 922.9</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B03921" w:rsidRPr="001818B5" w:rsidTr="00016914">
        <w:trPr>
          <w:gridAfter w:val="1"/>
          <w:wAfter w:w="37" w:type="dxa"/>
          <w:cantSplit/>
        </w:trPr>
        <w:tc>
          <w:tcPr>
            <w:tcW w:w="3784" w:type="dxa"/>
            <w:tcBorders>
              <w:top w:val="nil"/>
              <w:left w:val="nil"/>
              <w:bottom w:val="single" w:sz="12" w:space="0" w:color="auto"/>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 xml:space="preserve">Net result from transactions </w:t>
            </w:r>
            <w:r w:rsidR="008E3FEB">
              <w:rPr>
                <w:rFonts w:eastAsiaTheme="minorEastAsia"/>
                <w:b/>
                <w:bCs/>
                <w:lang w:eastAsia="en-AU"/>
              </w:rPr>
              <w:br/>
            </w:r>
            <w:r w:rsidRPr="001818B5">
              <w:rPr>
                <w:rFonts w:eastAsiaTheme="minorEastAsia"/>
                <w:b/>
                <w:bCs/>
                <w:lang w:eastAsia="en-AU"/>
              </w:rPr>
              <w:t>(net operating balance)</w:t>
            </w:r>
          </w:p>
        </w:tc>
        <w:tc>
          <w:tcPr>
            <w:tcW w:w="994" w:type="dxa"/>
            <w:tcBorders>
              <w:top w:val="nil"/>
              <w:left w:val="nil"/>
              <w:bottom w:val="single" w:sz="12"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15.4</w:t>
            </w:r>
          </w:p>
        </w:tc>
        <w:tc>
          <w:tcPr>
            <w:tcW w:w="994" w:type="dxa"/>
            <w:tcBorders>
              <w:top w:val="nil"/>
              <w:left w:val="nil"/>
              <w:bottom w:val="single" w:sz="12"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5.3</w:t>
            </w:r>
          </w:p>
        </w:tc>
        <w:tc>
          <w:tcPr>
            <w:tcW w:w="994" w:type="dxa"/>
            <w:tcBorders>
              <w:top w:val="nil"/>
              <w:left w:val="nil"/>
              <w:bottom w:val="single" w:sz="12"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124.9</w:t>
            </w:r>
          </w:p>
        </w:tc>
        <w:tc>
          <w:tcPr>
            <w:tcW w:w="994" w:type="dxa"/>
            <w:tcBorders>
              <w:top w:val="nil"/>
              <w:left w:val="nil"/>
              <w:bottom w:val="single" w:sz="12"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076137" w:rsidRPr="001818B5" w:rsidTr="00076137">
        <w:trPr>
          <w:gridAfter w:val="1"/>
          <w:wAfter w:w="37" w:type="dxa"/>
          <w:cantSplit/>
        </w:trPr>
        <w:tc>
          <w:tcPr>
            <w:tcW w:w="7760" w:type="dxa"/>
            <w:gridSpan w:val="5"/>
            <w:tcBorders>
              <w:top w:val="nil"/>
              <w:left w:val="nil"/>
              <w:bottom w:val="nil"/>
              <w:right w:val="nil"/>
            </w:tcBorders>
            <w:shd w:val="solid" w:color="FFFFFF" w:fill="auto"/>
          </w:tcPr>
          <w:p w:rsidR="00076137" w:rsidRPr="001818B5" w:rsidRDefault="00076137" w:rsidP="00076137">
            <w:pPr>
              <w:pStyle w:val="Tabletext"/>
              <w:rPr>
                <w:rFonts w:eastAsiaTheme="minorEastAsia"/>
                <w:b/>
                <w:bCs/>
                <w:lang w:eastAsia="en-AU"/>
              </w:rPr>
            </w:pPr>
            <w:r w:rsidRPr="001818B5">
              <w:rPr>
                <w:rFonts w:eastAsiaTheme="minorEastAsia"/>
                <w:b/>
                <w:bCs/>
                <w:lang w:eastAsia="en-AU"/>
              </w:rPr>
              <w:t xml:space="preserve">Other economic flows included in net result </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Net gain/(loss) on non-financial assets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(5.1)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(3.8)</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(12.3)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Net gain/(loss) on financial instruments and statutory receivables/payables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single" w:sz="6" w:space="0" w:color="auto"/>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Other gains/(losses) from economic flows</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(0.3)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(0.1)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(2.0)</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Pr>
                <w:rFonts w:eastAsiaTheme="minorEastAsia"/>
                <w:b/>
                <w:bCs/>
                <w:lang w:eastAsia="en-AU"/>
              </w:rPr>
              <w:t>(5.4)</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Pr>
                <w:rFonts w:eastAsiaTheme="minorEastAsia"/>
                <w:b/>
                <w:bCs/>
                <w:lang w:eastAsia="en-AU"/>
              </w:rPr>
              <w:t>(3.8)</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Pr>
                <w:rFonts w:eastAsiaTheme="minorEastAsia"/>
                <w:b/>
                <w:bCs/>
                <w:lang w:eastAsia="en-AU"/>
              </w:rPr>
              <w:t>(14.4)</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B03921" w:rsidRPr="001818B5" w:rsidTr="00016914">
        <w:trPr>
          <w:gridAfter w:val="1"/>
          <w:wAfter w:w="37" w:type="dxa"/>
          <w:cantSplit/>
        </w:trPr>
        <w:tc>
          <w:tcPr>
            <w:tcW w:w="378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Net result</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9.9</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1.4</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110.5</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076137" w:rsidRPr="001818B5" w:rsidTr="00076137">
        <w:trPr>
          <w:cantSplit/>
        </w:trPr>
        <w:tc>
          <w:tcPr>
            <w:tcW w:w="7797" w:type="dxa"/>
            <w:gridSpan w:val="6"/>
            <w:tcBorders>
              <w:top w:val="nil"/>
              <w:left w:val="nil"/>
              <w:bottom w:val="nil"/>
              <w:right w:val="nil"/>
            </w:tcBorders>
            <w:shd w:val="solid" w:color="FFFFFF" w:fill="auto"/>
          </w:tcPr>
          <w:p w:rsidR="00076137" w:rsidRPr="001818B5" w:rsidRDefault="00076137" w:rsidP="00076137">
            <w:pPr>
              <w:pStyle w:val="Tabletext"/>
              <w:rPr>
                <w:rFonts w:eastAsiaTheme="minorEastAsia"/>
                <w:b/>
                <w:bCs/>
                <w:lang w:eastAsia="en-AU"/>
              </w:rPr>
            </w:pPr>
            <w:r w:rsidRPr="001818B5">
              <w:rPr>
                <w:rFonts w:eastAsiaTheme="minorEastAsia"/>
                <w:b/>
                <w:bCs/>
                <w:lang w:eastAsia="en-AU"/>
              </w:rPr>
              <w:t xml:space="preserve">Other economic flows – other comprehensive income </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Asset revaluation reserve</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166.3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(1.1)</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nil"/>
              <w:left w:val="nil"/>
              <w:bottom w:val="nil"/>
              <w:right w:val="nil"/>
            </w:tcBorders>
            <w:shd w:val="solid" w:color="FFFFFF" w:fill="auto"/>
          </w:tcPr>
          <w:p w:rsidR="00B03921" w:rsidRPr="001818B5" w:rsidRDefault="00B03921" w:rsidP="00016914">
            <w:pPr>
              <w:pStyle w:val="Tabletext"/>
              <w:rPr>
                <w:rFonts w:eastAsiaTheme="minorEastAsia"/>
                <w:lang w:eastAsia="en-AU"/>
              </w:rPr>
            </w:pPr>
            <w:r w:rsidRPr="001818B5">
              <w:rPr>
                <w:rFonts w:eastAsiaTheme="minorEastAsia"/>
                <w:lang w:eastAsia="en-AU"/>
              </w:rPr>
              <w:t>Other</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 xml:space="preserve"> 0.5</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Pr>
                <w:rFonts w:eastAsiaTheme="minorEastAsia"/>
                <w:lang w:eastAsia="en-AU"/>
              </w:rPr>
              <w:t>(0.3)</w:t>
            </w:r>
          </w:p>
        </w:tc>
        <w:tc>
          <w:tcPr>
            <w:tcW w:w="994" w:type="dxa"/>
            <w:tcBorders>
              <w:top w:val="nil"/>
              <w:left w:val="nil"/>
              <w:bottom w:val="nil"/>
              <w:right w:val="nil"/>
            </w:tcBorders>
            <w:shd w:val="solid" w:color="FFFFFF" w:fill="auto"/>
          </w:tcPr>
          <w:p w:rsidR="00B03921" w:rsidRPr="001818B5" w:rsidRDefault="00B03921" w:rsidP="00016914">
            <w:pPr>
              <w:pStyle w:val="TableofFigures"/>
              <w:rPr>
                <w:rFonts w:eastAsiaTheme="minorEastAsia"/>
                <w:lang w:eastAsia="en-AU"/>
              </w:rPr>
            </w:pPr>
            <w:r w:rsidRPr="001818B5">
              <w:rPr>
                <w:rFonts w:eastAsiaTheme="minorEastAsia"/>
                <w:lang w:eastAsia="en-AU"/>
              </w:rPr>
              <w:t>..</w:t>
            </w:r>
          </w:p>
        </w:tc>
      </w:tr>
      <w:tr w:rsidR="00B03921" w:rsidRPr="001818B5" w:rsidTr="00016914">
        <w:trPr>
          <w:gridAfter w:val="1"/>
          <w:wAfter w:w="37" w:type="dxa"/>
          <w:cantSplit/>
        </w:trPr>
        <w:tc>
          <w:tcPr>
            <w:tcW w:w="378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lang w:eastAsia="en-AU"/>
              </w:rPr>
            </w:pPr>
            <w:r w:rsidRPr="001818B5">
              <w:rPr>
                <w:rFonts w:eastAsiaTheme="minorEastAsia"/>
                <w:b/>
                <w:lang w:eastAsia="en-AU"/>
              </w:rPr>
              <w:t xml:space="preserve"> 166.8</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lang w:eastAsia="en-AU"/>
              </w:rPr>
            </w:pPr>
            <w:r>
              <w:rPr>
                <w:rFonts w:eastAsiaTheme="minorEastAsia"/>
                <w:b/>
                <w:lang w:eastAsia="en-AU"/>
              </w:rPr>
              <w:t>(1.4)</w:t>
            </w:r>
          </w:p>
        </w:tc>
        <w:tc>
          <w:tcPr>
            <w:tcW w:w="994" w:type="dxa"/>
            <w:tcBorders>
              <w:top w:val="single" w:sz="6" w:space="0" w:color="auto"/>
              <w:left w:val="nil"/>
              <w:bottom w:val="single" w:sz="6" w:space="0" w:color="auto"/>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r w:rsidR="00B03921" w:rsidRPr="001818B5" w:rsidTr="00016914">
        <w:trPr>
          <w:gridAfter w:val="1"/>
          <w:wAfter w:w="37" w:type="dxa"/>
          <w:cantSplit/>
        </w:trPr>
        <w:tc>
          <w:tcPr>
            <w:tcW w:w="3784" w:type="dxa"/>
            <w:tcBorders>
              <w:top w:val="single" w:sz="6" w:space="0" w:color="auto"/>
              <w:left w:val="nil"/>
              <w:bottom w:val="single" w:sz="12" w:space="0" w:color="000000"/>
              <w:right w:val="nil"/>
            </w:tcBorders>
            <w:shd w:val="solid" w:color="FFFFFF" w:fill="auto"/>
          </w:tcPr>
          <w:p w:rsidR="00B03921" w:rsidRPr="001818B5" w:rsidRDefault="00B03921" w:rsidP="00016914">
            <w:pPr>
              <w:pStyle w:val="Tabletext"/>
              <w:rPr>
                <w:rFonts w:eastAsiaTheme="minorEastAsia"/>
                <w:b/>
                <w:bCs/>
                <w:lang w:eastAsia="en-AU"/>
              </w:rPr>
            </w:pPr>
            <w:r w:rsidRPr="001818B5">
              <w:rPr>
                <w:rFonts w:eastAsiaTheme="minorEastAsia"/>
                <w:b/>
                <w:bCs/>
                <w:lang w:eastAsia="en-AU"/>
              </w:rPr>
              <w:t>Comprehensive result</w:t>
            </w:r>
          </w:p>
        </w:tc>
        <w:tc>
          <w:tcPr>
            <w:tcW w:w="994" w:type="dxa"/>
            <w:tcBorders>
              <w:top w:val="single" w:sz="6" w:space="0" w:color="auto"/>
              <w:left w:val="nil"/>
              <w:bottom w:val="single" w:sz="12" w:space="0" w:color="000000"/>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176.7</w:t>
            </w:r>
          </w:p>
        </w:tc>
        <w:tc>
          <w:tcPr>
            <w:tcW w:w="994" w:type="dxa"/>
            <w:tcBorders>
              <w:top w:val="single" w:sz="6" w:space="0" w:color="auto"/>
              <w:left w:val="nil"/>
              <w:bottom w:val="single" w:sz="12" w:space="0" w:color="000000"/>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1.4</w:t>
            </w:r>
          </w:p>
        </w:tc>
        <w:tc>
          <w:tcPr>
            <w:tcW w:w="994" w:type="dxa"/>
            <w:tcBorders>
              <w:top w:val="single" w:sz="6" w:space="0" w:color="auto"/>
              <w:left w:val="nil"/>
              <w:bottom w:val="single" w:sz="12" w:space="0" w:color="000000"/>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 xml:space="preserve"> 109.1</w:t>
            </w:r>
          </w:p>
        </w:tc>
        <w:tc>
          <w:tcPr>
            <w:tcW w:w="994" w:type="dxa"/>
            <w:tcBorders>
              <w:top w:val="single" w:sz="6" w:space="0" w:color="auto"/>
              <w:left w:val="nil"/>
              <w:bottom w:val="single" w:sz="12" w:space="0" w:color="000000"/>
              <w:right w:val="nil"/>
            </w:tcBorders>
            <w:shd w:val="solid" w:color="FFFFFF" w:fill="auto"/>
          </w:tcPr>
          <w:p w:rsidR="00B03921" w:rsidRPr="001818B5" w:rsidRDefault="00B03921" w:rsidP="00016914">
            <w:pPr>
              <w:pStyle w:val="TableofFigures"/>
              <w:rPr>
                <w:rFonts w:eastAsiaTheme="minorEastAsia"/>
                <w:b/>
                <w:bCs/>
                <w:lang w:eastAsia="en-AU"/>
              </w:rPr>
            </w:pPr>
            <w:r w:rsidRPr="001818B5">
              <w:rPr>
                <w:rFonts w:eastAsiaTheme="minorEastAsia"/>
                <w:b/>
                <w:bCs/>
                <w:lang w:eastAsia="en-AU"/>
              </w:rPr>
              <w:t>..</w:t>
            </w:r>
          </w:p>
        </w:tc>
      </w:tr>
    </w:tbl>
    <w:p w:rsidR="00B03921" w:rsidRDefault="00B03921" w:rsidP="00016914">
      <w:pPr>
        <w:pStyle w:val="Source"/>
      </w:pPr>
      <w:r w:rsidRPr="001D350D">
        <w:t xml:space="preserve">Sources: </w:t>
      </w:r>
      <w:r>
        <w:t>Departments of Health and Human Services,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t xml:space="preserve">Figures for the 2014-15 revised </w:t>
      </w:r>
      <w:r w:rsidRPr="00E955A1">
        <w:t>reflect actuals for</w:t>
      </w:r>
      <w:r w:rsidRPr="00DF610E">
        <w:t xml:space="preserve"> the Department of Human Services as at 31 December 2014. This department ceased to operate from 1 January 2015 and its functions</w:t>
      </w:r>
      <w:r>
        <w:t xml:space="preserve"> were</w:t>
      </w:r>
      <w:r w:rsidRPr="00DF610E">
        <w:t xml:space="preserve"> transferred to the Department of Health and Human Services. The budget for the functions</w:t>
      </w:r>
      <w:r>
        <w:t xml:space="preserve"> </w:t>
      </w:r>
      <w:r w:rsidRPr="00DF610E">
        <w:t xml:space="preserve">transferred to </w:t>
      </w:r>
      <w:r>
        <w:t xml:space="preserve">that department </w:t>
      </w:r>
      <w:r w:rsidRPr="00DF610E">
        <w:t>is included in the revised</w:t>
      </w:r>
      <w:r>
        <w:t xml:space="preserve"> estimates of that department.</w:t>
      </w:r>
    </w:p>
    <w:p w:rsidR="00B03921" w:rsidRDefault="00B03921" w:rsidP="00016914">
      <w:pPr>
        <w:pStyle w:val="Notes"/>
      </w:pPr>
      <w:r w:rsidRPr="00B0679B">
        <w:t xml:space="preserve">(b) </w:t>
      </w:r>
      <w:r>
        <w:tab/>
      </w:r>
      <w:r w:rsidRPr="00DF610E">
        <w:t xml:space="preserve">No budget is available for 2015-16 as this department ceased operations from </w:t>
      </w:r>
      <w:r>
        <w:t>1 January 2015 and its functions were</w:t>
      </w:r>
      <w:r w:rsidRPr="00DF610E">
        <w:t xml:space="preserve"> transferred to the Department of Health and Human Services. The budget for the function</w:t>
      </w:r>
      <w:r>
        <w:t>s was</w:t>
      </w:r>
      <w:r w:rsidRPr="00DF610E">
        <w:t xml:space="preserve"> transferred to </w:t>
      </w:r>
      <w:r>
        <w:t>that department and</w:t>
      </w:r>
      <w:r w:rsidRPr="00DF610E">
        <w:t xml:space="preserve"> is included in</w:t>
      </w:r>
      <w:r>
        <w:t xml:space="preserve"> the estimates of</w:t>
      </w:r>
      <w:r w:rsidRPr="00DF610E">
        <w:t xml:space="preserve"> </w:t>
      </w:r>
      <w:r>
        <w:t>that department.</w:t>
      </w:r>
    </w:p>
    <w:p w:rsidR="00B03921" w:rsidRDefault="00B03921" w:rsidP="00016914">
      <w:pPr>
        <w:pStyle w:val="Tableheading"/>
      </w:pPr>
      <w:r>
        <w:t>Table 3.10.2:</w:t>
      </w:r>
      <w:r>
        <w:tab/>
        <w:t>Balance sheet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1076"/>
        <w:gridCol w:w="912"/>
      </w:tblGrid>
      <w:tr w:rsidR="00076137" w:rsidRPr="00FE4FB8" w:rsidTr="00076137">
        <w:tc>
          <w:tcPr>
            <w:tcW w:w="3784" w:type="dxa"/>
            <w:vMerge w:val="restart"/>
            <w:tcBorders>
              <w:top w:val="single" w:sz="6" w:space="0" w:color="000000"/>
              <w:left w:val="single" w:sz="6" w:space="0" w:color="000000"/>
              <w:right w:val="nil"/>
            </w:tcBorders>
            <w:shd w:val="clear" w:color="000000" w:fill="000000"/>
          </w:tcPr>
          <w:p w:rsidR="00076137" w:rsidRPr="00076137" w:rsidRDefault="00076137" w:rsidP="00016914">
            <w:pPr>
              <w:pStyle w:val="Tabletext"/>
              <w:rPr>
                <w:rFonts w:eastAsiaTheme="minorEastAsia"/>
                <w:i/>
                <w:lang w:eastAsia="en-AU"/>
              </w:rPr>
            </w:pPr>
          </w:p>
        </w:tc>
        <w:tc>
          <w:tcPr>
            <w:tcW w:w="994" w:type="dxa"/>
            <w:vMerge w:val="restart"/>
            <w:tcBorders>
              <w:top w:val="single" w:sz="6" w:space="0" w:color="000000"/>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p>
        </w:tc>
        <w:tc>
          <w:tcPr>
            <w:tcW w:w="2982" w:type="dxa"/>
            <w:gridSpan w:val="3"/>
            <w:tcBorders>
              <w:top w:val="single" w:sz="6" w:space="0" w:color="000000"/>
              <w:left w:val="nil"/>
              <w:bottom w:val="nil"/>
              <w:right w:val="single" w:sz="6" w:space="0" w:color="000000"/>
            </w:tcBorders>
            <w:shd w:val="clear" w:color="000000" w:fill="000000"/>
          </w:tcPr>
          <w:p w:rsidR="00076137" w:rsidRPr="00FE4FB8" w:rsidRDefault="00076137" w:rsidP="00076137">
            <w:pPr>
              <w:pStyle w:val="Tabletextheading"/>
              <w:jc w:val="center"/>
              <w:rPr>
                <w:rFonts w:eastAsiaTheme="minorEastAsia"/>
                <w:color w:val="FFFFFF"/>
                <w:lang w:eastAsia="en-AU"/>
              </w:rPr>
            </w:pPr>
            <w:r>
              <w:rPr>
                <w:rFonts w:eastAsiaTheme="minorEastAsia"/>
                <w:color w:val="FFFFFF"/>
                <w:lang w:eastAsia="en-AU"/>
              </w:rPr>
              <w:t>Estimated as at 30 Jun</w:t>
            </w:r>
          </w:p>
        </w:tc>
      </w:tr>
      <w:tr w:rsidR="00076137" w:rsidRPr="00FE4FB8" w:rsidTr="00076137">
        <w:trPr>
          <w:trHeight w:val="488"/>
        </w:trPr>
        <w:tc>
          <w:tcPr>
            <w:tcW w:w="3784" w:type="dxa"/>
            <w:vMerge/>
            <w:tcBorders>
              <w:left w:val="single" w:sz="6" w:space="0" w:color="000000"/>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vMerge/>
            <w:tcBorders>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p>
        </w:tc>
        <w:tc>
          <w:tcPr>
            <w:tcW w:w="994"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p>
        </w:tc>
        <w:tc>
          <w:tcPr>
            <w:tcW w:w="1076"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(a)(b)</w:t>
            </w:r>
          </w:p>
        </w:tc>
        <w:tc>
          <w:tcPr>
            <w:tcW w:w="912" w:type="dxa"/>
            <w:tcBorders>
              <w:top w:val="nil"/>
              <w:left w:val="nil"/>
              <w:right w:val="single" w:sz="6" w:space="0" w:color="000000"/>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(a)</w:t>
            </w:r>
          </w:p>
        </w:tc>
      </w:tr>
      <w:tr w:rsidR="00076137" w:rsidRPr="00FE4FB8" w:rsidTr="00076137">
        <w:tc>
          <w:tcPr>
            <w:tcW w:w="7760" w:type="dxa"/>
            <w:gridSpan w:val="5"/>
            <w:tcBorders>
              <w:top w:val="single" w:sz="6" w:space="0" w:color="000000"/>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Assets</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Financial assets</w:t>
            </w:r>
            <w:r w:rsidRPr="00FE4FB8">
              <w:rPr>
                <w:rFonts w:eastAsiaTheme="minorEastAsia"/>
                <w:b/>
                <w:lang w:eastAsia="en-AU"/>
              </w:rPr>
              <w:t xml:space="preserve"> </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51.3</w:t>
            </w:r>
          </w:p>
        </w:tc>
        <w:tc>
          <w:tcPr>
            <w:tcW w:w="107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323.8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327.7</w:t>
            </w:r>
          </w:p>
        </w:tc>
        <w:tc>
          <w:tcPr>
            <w:tcW w:w="107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373.8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385.0</w:t>
            </w:r>
          </w:p>
        </w:tc>
        <w:tc>
          <w:tcPr>
            <w:tcW w:w="107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Non-financial assets classified as held for sale including disposal group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919.1</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967.1</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27.0</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947.8</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1 001.8</w:t>
            </w:r>
          </w:p>
        </w:tc>
        <w:tc>
          <w:tcPr>
            <w:tcW w:w="107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1 321.6</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1 386.8</w:t>
            </w:r>
          </w:p>
        </w:tc>
        <w:tc>
          <w:tcPr>
            <w:tcW w:w="107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Liabilities</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200.7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202.3</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43.9</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45.4</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230.5</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249.5</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475.1</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497.2</w:t>
            </w:r>
          </w:p>
        </w:tc>
        <w:tc>
          <w:tcPr>
            <w:tcW w:w="107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378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846.5</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889.6</w:t>
            </w:r>
          </w:p>
        </w:tc>
        <w:tc>
          <w:tcPr>
            <w:tcW w:w="1076"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Equity</w:t>
            </w:r>
            <w:r w:rsidRPr="00FE4FB8">
              <w:rPr>
                <w:rFonts w:eastAsiaTheme="minorEastAsia"/>
                <w:b/>
                <w:lang w:eastAsia="en-AU"/>
              </w:rPr>
              <w:t xml:space="preserve"> </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322.0</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323.4</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607.7</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607.7</w:t>
            </w:r>
          </w:p>
        </w:tc>
        <w:tc>
          <w:tcPr>
            <w:tcW w:w="107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(83.1)</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Pr>
                <w:rFonts w:eastAsiaTheme="minorEastAsia"/>
                <w:lang w:eastAsia="en-AU"/>
              </w:rPr>
              <w:t>(41.6)</w:t>
            </w:r>
          </w:p>
        </w:tc>
        <w:tc>
          <w:tcPr>
            <w:tcW w:w="1076"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2"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78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846.5</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889.6</w:t>
            </w:r>
          </w:p>
        </w:tc>
        <w:tc>
          <w:tcPr>
            <w:tcW w:w="1076"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12"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1D350D">
        <w:t xml:space="preserve">Sources: </w:t>
      </w:r>
      <w:r>
        <w:t>Departments of Health and Human Services,</w:t>
      </w:r>
      <w:r w:rsidRPr="001D350D">
        <w:t xml:space="preserve"> and Treasury and Finance</w:t>
      </w:r>
    </w:p>
    <w:p w:rsidR="00B03921" w:rsidRDefault="00B03921" w:rsidP="00016914">
      <w:pPr>
        <w:pStyle w:val="Notes"/>
      </w:pPr>
      <w:r w:rsidRPr="00B0679B">
        <w:t>Not</w:t>
      </w:r>
      <w:r>
        <w:t>es</w:t>
      </w:r>
      <w:r w:rsidRPr="00B0679B">
        <w:t>:</w:t>
      </w:r>
    </w:p>
    <w:p w:rsidR="00B03921" w:rsidRDefault="00B03921" w:rsidP="00016914">
      <w:pPr>
        <w:pStyle w:val="Notes"/>
      </w:pPr>
      <w:r w:rsidRPr="00B0679B">
        <w:t>(a)</w:t>
      </w:r>
      <w:r>
        <w:tab/>
      </w:r>
      <w:r w:rsidRPr="00DF610E">
        <w:t>This department ceased to operate from 1 January 2015 and its functions</w:t>
      </w:r>
      <w:r>
        <w:t xml:space="preserve"> were</w:t>
      </w:r>
      <w:r w:rsidRPr="00DF610E">
        <w:t xml:space="preserve"> tran</w:t>
      </w:r>
      <w:r>
        <w:t>sferred to the Department of Health and Human Services</w:t>
      </w:r>
      <w:r w:rsidRPr="00DF610E">
        <w:t xml:space="preserve">. The budget for the functions transferred to </w:t>
      </w:r>
      <w:r>
        <w:t xml:space="preserve">the Department of Health and Human Services </w:t>
      </w:r>
      <w:r w:rsidRPr="00DF610E">
        <w:t xml:space="preserve">is included in the revised estimates of </w:t>
      </w:r>
      <w:r>
        <w:t>that department</w:t>
      </w:r>
      <w:r w:rsidRPr="00DF610E">
        <w:t>.</w:t>
      </w:r>
    </w:p>
    <w:p w:rsidR="00B03921" w:rsidRPr="006F4D96" w:rsidRDefault="00B03921" w:rsidP="00016914">
      <w:pPr>
        <w:pStyle w:val="Notes"/>
      </w:pPr>
      <w:r>
        <w:t>(b)</w:t>
      </w:r>
      <w:r>
        <w:tab/>
        <w:t>The 2015 budget figures have been restated to reflect the 201</w:t>
      </w:r>
      <w:r w:rsidRPr="00B21426">
        <w:t>4 actual closing balance</w:t>
      </w:r>
      <w:r>
        <w:t>s</w:t>
      </w:r>
      <w:r w:rsidRPr="00B21426">
        <w:t>.</w:t>
      </w:r>
    </w:p>
    <w:p w:rsidR="00B03921" w:rsidRPr="00A07166" w:rsidRDefault="00B03921" w:rsidP="00016914">
      <w:pPr>
        <w:pStyle w:val="Notes"/>
      </w:pPr>
      <w:r>
        <w:br w:type="page"/>
      </w:r>
    </w:p>
    <w:p w:rsidR="00B03921" w:rsidRDefault="00B03921" w:rsidP="00016914">
      <w:pPr>
        <w:pStyle w:val="Tableheading"/>
      </w:pPr>
      <w:r>
        <w:t>Table 3.10.3:</w:t>
      </w:r>
      <w:r>
        <w:tab/>
        <w:t>Statement of cash flows</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49"/>
        <w:gridCol w:w="994"/>
        <w:gridCol w:w="923"/>
        <w:gridCol w:w="896"/>
        <w:gridCol w:w="898"/>
      </w:tblGrid>
      <w:tr w:rsidR="00076137" w:rsidRPr="00FE4FB8" w:rsidTr="00076137">
        <w:trPr>
          <w:trHeight w:val="503"/>
          <w:tblHeader/>
        </w:trPr>
        <w:tc>
          <w:tcPr>
            <w:tcW w:w="4049"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23"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896"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(a)</w:t>
            </w:r>
          </w:p>
        </w:tc>
        <w:tc>
          <w:tcPr>
            <w:tcW w:w="898"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076137" w:rsidRPr="00FE4FB8" w:rsidTr="00076137">
        <w:tc>
          <w:tcPr>
            <w:tcW w:w="7760" w:type="dxa"/>
            <w:gridSpan w:val="5"/>
            <w:tcBorders>
              <w:top w:val="single" w:sz="6" w:space="0" w:color="auto"/>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operating activities</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Receipts</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Receipts from Government</w:t>
            </w:r>
            <w:r w:rsidRPr="00FE4FB8">
              <w:rPr>
                <w:rFonts w:eastAsiaTheme="minorEastAsia"/>
                <w:vertAlign w:val="superscript"/>
                <w:lang w:eastAsia="en-AU"/>
              </w:rPr>
              <w:t>(c)</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3 598.9</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3 834.1</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1 968.6</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Receipts from other entities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13.0</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12.8</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7.1</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 received</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0.3</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receipts</w:t>
            </w:r>
          </w:p>
        </w:tc>
        <w:tc>
          <w:tcPr>
            <w:tcW w:w="99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56.8</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21.4</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receipts</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3 668.9</w:t>
            </w:r>
          </w:p>
        </w:tc>
        <w:tc>
          <w:tcPr>
            <w:tcW w:w="923"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3 868.6</w:t>
            </w:r>
          </w:p>
        </w:tc>
        <w:tc>
          <w:tcPr>
            <w:tcW w:w="896"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1 981.2</w:t>
            </w:r>
          </w:p>
        </w:tc>
        <w:tc>
          <w:tcPr>
            <w:tcW w:w="898"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Payment</w:t>
            </w:r>
            <w:r>
              <w:rPr>
                <w:rFonts w:eastAsiaTheme="minorEastAsia"/>
                <w:b/>
                <w:bCs/>
                <w:lang w:eastAsia="en-AU"/>
              </w:rPr>
              <w:t>s</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of grants and other transfers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(721.7)</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(683.6)</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(382.7)</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to suppliers and employees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(2 839.7)</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(3 060.4)</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(1 577.9)</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(58.0)</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(60.2)</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(30.1)</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Interest and other costs of finance paid</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(2.0)</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(2.9)</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(0.7)</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payments</w:t>
            </w:r>
          </w:p>
        </w:tc>
        <w:tc>
          <w:tcPr>
            <w:tcW w:w="994"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(3 621.5)</w:t>
            </w:r>
          </w:p>
        </w:tc>
        <w:tc>
          <w:tcPr>
            <w:tcW w:w="923"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(3 807.0)</w:t>
            </w:r>
          </w:p>
        </w:tc>
        <w:tc>
          <w:tcPr>
            <w:tcW w:w="89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(1 991.5)</w:t>
            </w:r>
          </w:p>
        </w:tc>
        <w:tc>
          <w:tcPr>
            <w:tcW w:w="898"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operating activities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47.5</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61.6</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(10.3)</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investing activities</w:t>
            </w:r>
          </w:p>
        </w:tc>
      </w:tr>
      <w:tr w:rsidR="00B03921" w:rsidRPr="00FE4FB8" w:rsidTr="00016914">
        <w:tc>
          <w:tcPr>
            <w:tcW w:w="4049" w:type="dxa"/>
            <w:tcBorders>
              <w:top w:val="nil"/>
              <w:left w:val="nil"/>
              <w:bottom w:val="nil"/>
              <w:right w:val="nil"/>
            </w:tcBorders>
          </w:tcPr>
          <w:p w:rsidR="00B03921" w:rsidRPr="00FE4FB8" w:rsidRDefault="00B03921" w:rsidP="00016914">
            <w:pPr>
              <w:pStyle w:val="Tabletext"/>
              <w:rPr>
                <w:rFonts w:eastAsiaTheme="minorEastAsia"/>
                <w:vertAlign w:val="superscript"/>
                <w:lang w:eastAsia="en-AU"/>
              </w:rPr>
            </w:pPr>
            <w:r w:rsidRPr="00FE4FB8">
              <w:rPr>
                <w:rFonts w:eastAsiaTheme="minorEastAsia"/>
                <w:lang w:eastAsia="en-AU"/>
              </w:rPr>
              <w:t>Net investment</w:t>
            </w:r>
            <w:r w:rsidRPr="00FE4FB8">
              <w:rPr>
                <w:rFonts w:eastAsiaTheme="minorEastAsia"/>
                <w:vertAlign w:val="superscript"/>
                <w:lang w:eastAsia="en-AU"/>
              </w:rPr>
              <w:t>(c)</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(2.4)</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for non-financial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(44.6)</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(97.4)</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(23.4)</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Proceeds from sale of non-financial assets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10.9</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loans to other parties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(13.4)</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 from/(used in) investing activities</w:t>
            </w:r>
          </w:p>
        </w:tc>
        <w:tc>
          <w:tcPr>
            <w:tcW w:w="99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(31.8)</w:t>
            </w:r>
          </w:p>
        </w:tc>
        <w:tc>
          <w:tcPr>
            <w:tcW w:w="923"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(97.4)</w:t>
            </w:r>
          </w:p>
        </w:tc>
        <w:tc>
          <w:tcPr>
            <w:tcW w:w="896"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(34.4)</w:t>
            </w:r>
          </w:p>
        </w:tc>
        <w:tc>
          <w:tcPr>
            <w:tcW w:w="898"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Cash flows from financing activities</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Owner contributions by State Government</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30.2</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41.6</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5.3</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Repayment of finance leases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(13.8)</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borrowings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(25.2)</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w:t>
            </w:r>
          </w:p>
        </w:tc>
        <w:tc>
          <w:tcPr>
            <w:tcW w:w="89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33.9</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(8.8)</w:t>
            </w:r>
          </w:p>
        </w:tc>
        <w:tc>
          <w:tcPr>
            <w:tcW w:w="923"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43.1</w:t>
            </w:r>
          </w:p>
        </w:tc>
        <w:tc>
          <w:tcPr>
            <w:tcW w:w="896"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39.2</w:t>
            </w:r>
          </w:p>
        </w:tc>
        <w:tc>
          <w:tcPr>
            <w:tcW w:w="898"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049"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increase/(decrease) in cash and cash equivalents</w:t>
            </w:r>
          </w:p>
        </w:tc>
        <w:tc>
          <w:tcPr>
            <w:tcW w:w="99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6.9</w:t>
            </w:r>
          </w:p>
        </w:tc>
        <w:tc>
          <w:tcPr>
            <w:tcW w:w="923"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7.3</w:t>
            </w:r>
          </w:p>
        </w:tc>
        <w:tc>
          <w:tcPr>
            <w:tcW w:w="896"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(5.6)</w:t>
            </w:r>
          </w:p>
        </w:tc>
        <w:tc>
          <w:tcPr>
            <w:tcW w:w="89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049"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37.1</w:t>
            </w:r>
          </w:p>
        </w:tc>
        <w:tc>
          <w:tcPr>
            <w:tcW w:w="923"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44.0</w:t>
            </w:r>
          </w:p>
        </w:tc>
        <w:tc>
          <w:tcPr>
            <w:tcW w:w="896"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44.0</w:t>
            </w:r>
          </w:p>
        </w:tc>
        <w:tc>
          <w:tcPr>
            <w:tcW w:w="898"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049"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Cash and cash equivalents at the end of the financial year</w:t>
            </w:r>
          </w:p>
        </w:tc>
        <w:tc>
          <w:tcPr>
            <w:tcW w:w="99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44.0</w:t>
            </w:r>
          </w:p>
        </w:tc>
        <w:tc>
          <w:tcPr>
            <w:tcW w:w="923"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51.3</w:t>
            </w:r>
          </w:p>
        </w:tc>
        <w:tc>
          <w:tcPr>
            <w:tcW w:w="896"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38.4</w:t>
            </w:r>
          </w:p>
        </w:tc>
        <w:tc>
          <w:tcPr>
            <w:tcW w:w="898"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1D350D">
        <w:t>Source</w:t>
      </w:r>
      <w:r>
        <w:t>s</w:t>
      </w:r>
      <w:r w:rsidRPr="001D350D">
        <w:t xml:space="preserve">: </w:t>
      </w:r>
      <w:r>
        <w:t>Departments of Health and Human Services,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t>Figures for the 2014-</w:t>
      </w:r>
      <w:r w:rsidRPr="00E955A1">
        <w:t>15 revised reflect actuals for the</w:t>
      </w:r>
      <w:r w:rsidRPr="00DF610E">
        <w:t xml:space="preserve"> Department of Human Services as at 31 December 2014. This department ceased to operate from 1 January 2015 and its functions</w:t>
      </w:r>
      <w:r>
        <w:t xml:space="preserve"> were</w:t>
      </w:r>
      <w:r w:rsidRPr="00DF610E">
        <w:t xml:space="preserve"> transferred to the Department of Health and Human Services. The budget for the functions</w:t>
      </w:r>
      <w:r>
        <w:t xml:space="preserve"> </w:t>
      </w:r>
      <w:r w:rsidRPr="00DF610E">
        <w:t xml:space="preserve">transferred to </w:t>
      </w:r>
      <w:r>
        <w:t xml:space="preserve">that department </w:t>
      </w:r>
      <w:r w:rsidRPr="00DF610E">
        <w:t>is included in the revised</w:t>
      </w:r>
      <w:r>
        <w:t xml:space="preserve"> estimates of that department.</w:t>
      </w:r>
    </w:p>
    <w:p w:rsidR="00B03921" w:rsidRDefault="00B03921" w:rsidP="00016914">
      <w:pPr>
        <w:pStyle w:val="Notes"/>
      </w:pPr>
      <w:r w:rsidRPr="00B0679B">
        <w:t xml:space="preserve">(b) </w:t>
      </w:r>
      <w:r>
        <w:tab/>
      </w:r>
      <w:r w:rsidRPr="00DF610E">
        <w:t xml:space="preserve">No budget is available for 2015-16 as this department ceased operations from </w:t>
      </w:r>
      <w:r>
        <w:t>1 January 2015 and its functions were</w:t>
      </w:r>
      <w:r w:rsidRPr="00DF610E">
        <w:t xml:space="preserve"> transferred to the Department of Health and Human Services. The budget for the function</w:t>
      </w:r>
      <w:r>
        <w:t xml:space="preserve">s </w:t>
      </w:r>
      <w:r w:rsidRPr="00DF610E">
        <w:t xml:space="preserve">transferred to </w:t>
      </w:r>
      <w:r>
        <w:t xml:space="preserve">that department </w:t>
      </w:r>
      <w:r w:rsidRPr="00DF610E">
        <w:t>is included in</w:t>
      </w:r>
      <w:r>
        <w:t xml:space="preserve"> the estimates of</w:t>
      </w:r>
      <w:r w:rsidRPr="00DF610E">
        <w:t xml:space="preserve"> </w:t>
      </w:r>
      <w:r>
        <w:t>that department.</w:t>
      </w:r>
    </w:p>
    <w:p w:rsidR="00B03921" w:rsidRPr="00CB5BD0" w:rsidRDefault="00B03921" w:rsidP="00016914">
      <w:pPr>
        <w:pStyle w:val="Notes"/>
      </w:pPr>
      <w:r>
        <w:t>(c)</w:t>
      </w:r>
      <w:r>
        <w:tab/>
        <w:t xml:space="preserve">Figures have been restated to better reflect the nature of related cash flows. </w:t>
      </w:r>
      <w:r>
        <w:br w:type="page"/>
      </w:r>
    </w:p>
    <w:p w:rsidR="00B03921" w:rsidRDefault="00B03921" w:rsidP="00016914">
      <w:pPr>
        <w:pStyle w:val="Tableheading"/>
      </w:pPr>
      <w:r>
        <w:t>Table 3.10.4: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285"/>
        <w:gridCol w:w="505"/>
        <w:gridCol w:w="1077"/>
        <w:gridCol w:w="1218"/>
        <w:gridCol w:w="1091"/>
        <w:gridCol w:w="770"/>
        <w:gridCol w:w="814"/>
      </w:tblGrid>
      <w:tr w:rsidR="00B03921" w:rsidRPr="00FE4FB8" w:rsidTr="00016914">
        <w:tc>
          <w:tcPr>
            <w:tcW w:w="2285"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582"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18"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091"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770"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814"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311.7</w:t>
            </w:r>
          </w:p>
        </w:tc>
        <w:tc>
          <w:tcPr>
            <w:tcW w:w="1218"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(104.7)</w:t>
            </w:r>
          </w:p>
        </w:tc>
        <w:tc>
          <w:tcPr>
            <w:tcW w:w="1091"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439.6</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w:t>
            </w:r>
          </w:p>
        </w:tc>
        <w:tc>
          <w:tcPr>
            <w:tcW w:w="81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648.3</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10.3</w:t>
            </w:r>
          </w:p>
        </w:tc>
        <w:tc>
          <w:tcPr>
            <w:tcW w:w="121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166.3</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81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176.7</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21.6</w:t>
            </w:r>
          </w:p>
        </w:tc>
        <w:tc>
          <w:tcPr>
            <w:tcW w:w="109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21.6</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2014 (actual)</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322.0</w:t>
            </w:r>
          </w:p>
        </w:tc>
        <w:tc>
          <w:tcPr>
            <w:tcW w:w="1218"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(83.1)</w:t>
            </w:r>
          </w:p>
        </w:tc>
        <w:tc>
          <w:tcPr>
            <w:tcW w:w="1091"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605.8</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w:t>
            </w:r>
          </w:p>
        </w:tc>
        <w:tc>
          <w:tcPr>
            <w:tcW w:w="81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846.5</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w:t>
            </w:r>
          </w:p>
        </w:tc>
        <w:tc>
          <w:tcPr>
            <w:tcW w:w="121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1.4</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41.6</w:t>
            </w:r>
          </w:p>
        </w:tc>
        <w:tc>
          <w:tcPr>
            <w:tcW w:w="109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41.6</w:t>
            </w:r>
          </w:p>
        </w:tc>
      </w:tr>
      <w:tr w:rsidR="00B03921" w:rsidRPr="00FE4FB8" w:rsidTr="00016914">
        <w:tc>
          <w:tcPr>
            <w:tcW w:w="2790" w:type="dxa"/>
            <w:gridSpan w:val="2"/>
            <w:tcBorders>
              <w:top w:val="single" w:sz="6" w:space="0" w:color="auto"/>
              <w:left w:val="nil"/>
              <w:bottom w:val="nil"/>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 xml:space="preserve">(a) </w:t>
            </w:r>
          </w:p>
        </w:tc>
        <w:tc>
          <w:tcPr>
            <w:tcW w:w="1077"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323.4</w:t>
            </w:r>
          </w:p>
        </w:tc>
        <w:tc>
          <w:tcPr>
            <w:tcW w:w="1218"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(41.6)</w:t>
            </w:r>
          </w:p>
        </w:tc>
        <w:tc>
          <w:tcPr>
            <w:tcW w:w="1091"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605.8</w:t>
            </w:r>
          </w:p>
        </w:tc>
        <w:tc>
          <w:tcPr>
            <w:tcW w:w="770"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1.9</w:t>
            </w:r>
          </w:p>
        </w:tc>
        <w:tc>
          <w:tcPr>
            <w:tcW w:w="814" w:type="dxa"/>
            <w:tcBorders>
              <w:top w:val="single" w:sz="6" w:space="0" w:color="auto"/>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889.6</w:t>
            </w:r>
          </w:p>
        </w:tc>
      </w:tr>
      <w:tr w:rsidR="00B03921" w:rsidRPr="00FE4FB8" w:rsidTr="00016914">
        <w:tc>
          <w:tcPr>
            <w:tcW w:w="2790" w:type="dxa"/>
            <w:gridSpan w:val="2"/>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1077"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110.3</w:t>
            </w:r>
          </w:p>
        </w:tc>
        <w:tc>
          <w:tcPr>
            <w:tcW w:w="1218"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9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w:t>
            </w:r>
          </w:p>
        </w:tc>
        <w:tc>
          <w:tcPr>
            <w:tcW w:w="770"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814"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109.1</w:t>
            </w:r>
          </w:p>
        </w:tc>
      </w:tr>
      <w:tr w:rsidR="00B03921" w:rsidRPr="00FE4FB8" w:rsidTr="00016914">
        <w:tc>
          <w:tcPr>
            <w:tcW w:w="2790" w:type="dxa"/>
            <w:gridSpan w:val="2"/>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1077"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18"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5.4</w:t>
            </w:r>
          </w:p>
        </w:tc>
        <w:tc>
          <w:tcPr>
            <w:tcW w:w="1091"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770"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4"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5.4</w:t>
            </w:r>
          </w:p>
        </w:tc>
      </w:tr>
      <w:tr w:rsidR="00B03921" w:rsidRPr="00FE4FB8" w:rsidTr="00016914">
        <w:tc>
          <w:tcPr>
            <w:tcW w:w="2790" w:type="dxa"/>
            <w:gridSpan w:val="2"/>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31 December 2014 (actual)</w:t>
            </w:r>
            <w:r w:rsidRPr="00FE4FB8">
              <w:rPr>
                <w:rFonts w:eastAsiaTheme="minorEastAsia"/>
                <w:b/>
                <w:bCs/>
                <w:vertAlign w:val="superscript"/>
                <w:lang w:eastAsia="en-AU"/>
              </w:rPr>
              <w:t>(b)</w:t>
            </w:r>
          </w:p>
        </w:tc>
        <w:tc>
          <w:tcPr>
            <w:tcW w:w="1077"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432.3</w:t>
            </w:r>
          </w:p>
        </w:tc>
        <w:tc>
          <w:tcPr>
            <w:tcW w:w="1218"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(77.7)</w:t>
            </w:r>
          </w:p>
        </w:tc>
        <w:tc>
          <w:tcPr>
            <w:tcW w:w="1091"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604.7</w:t>
            </w:r>
          </w:p>
        </w:tc>
        <w:tc>
          <w:tcPr>
            <w:tcW w:w="770"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w:t>
            </w:r>
          </w:p>
        </w:tc>
        <w:tc>
          <w:tcPr>
            <w:tcW w:w="814"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961.0</w:t>
            </w:r>
          </w:p>
        </w:tc>
      </w:tr>
    </w:tbl>
    <w:p w:rsidR="00B03921" w:rsidRDefault="00B03921" w:rsidP="00016914">
      <w:pPr>
        <w:pStyle w:val="Source"/>
      </w:pPr>
      <w:r w:rsidRPr="001D350D">
        <w:t>Source</w:t>
      </w:r>
      <w:r>
        <w:t>s</w:t>
      </w:r>
      <w:r w:rsidRPr="001D350D">
        <w:t xml:space="preserve">: </w:t>
      </w:r>
      <w:r>
        <w:t>Departments of Health and Human Services,</w:t>
      </w:r>
      <w:r w:rsidRPr="001D350D">
        <w:t xml:space="preserve"> and Treasury and Finance</w:t>
      </w:r>
    </w:p>
    <w:p w:rsidR="00B03921" w:rsidRPr="002507AC" w:rsidRDefault="00B03921" w:rsidP="00016914">
      <w:pPr>
        <w:pStyle w:val="Notes"/>
      </w:pPr>
      <w:r w:rsidRPr="002507AC">
        <w:t>Note</w:t>
      </w:r>
      <w:r>
        <w:t>s</w:t>
      </w:r>
      <w:r w:rsidRPr="002507AC">
        <w:t>:</w:t>
      </w:r>
    </w:p>
    <w:p w:rsidR="00B03921" w:rsidRPr="006F4D96" w:rsidRDefault="00B03921" w:rsidP="00016914">
      <w:pPr>
        <w:pStyle w:val="Notes"/>
      </w:pPr>
      <w:r w:rsidRPr="002507AC">
        <w:t>(a)</w:t>
      </w:r>
      <w:r w:rsidRPr="002507AC">
        <w:tab/>
      </w:r>
      <w:r>
        <w:t>The 2015 budget figures have been restated to reflect the 20</w:t>
      </w:r>
      <w:r w:rsidRPr="00B21426">
        <w:t>14 actual closing balance</w:t>
      </w:r>
      <w:r>
        <w:t>s</w:t>
      </w:r>
      <w:r w:rsidRPr="00B21426">
        <w:t>.</w:t>
      </w:r>
    </w:p>
    <w:p w:rsidR="00B03921" w:rsidRDefault="00B03921" w:rsidP="00016914">
      <w:pPr>
        <w:pStyle w:val="Notes"/>
      </w:pPr>
      <w:r>
        <w:t>(b)</w:t>
      </w:r>
      <w:r>
        <w:tab/>
      </w:r>
      <w:r w:rsidRPr="002507AC">
        <w:t>The Department of Human Services ceased to operate from 1 January 2015 and its functions were transferred to the Department of Health and Human Services.</w:t>
      </w:r>
      <w:r w:rsidRPr="00DF610E">
        <w:t xml:space="preserve"> </w:t>
      </w:r>
    </w:p>
    <w:p w:rsidR="00B03921" w:rsidRDefault="00B03921" w:rsidP="00016914"/>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3.10.5:</w:t>
      </w:r>
      <w:r>
        <w:tab/>
        <w:t>Administered items statement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217"/>
        <w:gridCol w:w="885"/>
        <w:gridCol w:w="886"/>
        <w:gridCol w:w="886"/>
        <w:gridCol w:w="886"/>
      </w:tblGrid>
      <w:tr w:rsidR="00076137" w:rsidRPr="00FE4FB8" w:rsidTr="00076137">
        <w:trPr>
          <w:trHeight w:val="503"/>
        </w:trPr>
        <w:tc>
          <w:tcPr>
            <w:tcW w:w="4217"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885"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886"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886"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886"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076137" w:rsidRPr="00FE4FB8" w:rsidTr="00076137">
        <w:tc>
          <w:tcPr>
            <w:tcW w:w="7760" w:type="dxa"/>
            <w:gridSpan w:val="5"/>
            <w:tcBorders>
              <w:top w:val="single" w:sz="6" w:space="0" w:color="auto"/>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16.5</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29.8</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13.6</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10.1</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1.0</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27.5</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33.7</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15.7</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rPr>
          <w:trHeight w:hRule="exact" w:val="120"/>
        </w:trPr>
        <w:tc>
          <w:tcPr>
            <w:tcW w:w="7760" w:type="dxa"/>
            <w:gridSpan w:val="5"/>
            <w:tcBorders>
              <w:top w:val="nil"/>
              <w:left w:val="nil"/>
              <w:bottom w:val="nil"/>
              <w:right w:val="nil"/>
            </w:tcBorders>
            <w:shd w:val="solid" w:color="FFFFFF" w:fill="auto"/>
          </w:tcPr>
          <w:p w:rsidR="00076137" w:rsidRPr="00FE4FB8" w:rsidRDefault="00076137" w:rsidP="00016914">
            <w:pPr>
              <w:pStyle w:val="TableofFigures"/>
              <w:rPr>
                <w:rFonts w:eastAsiaTheme="minorEastAsia"/>
                <w:lang w:eastAsia="en-AU"/>
              </w:rPr>
            </w:pP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5.8</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0.8</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28.8</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20.6</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36.5</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39.9</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21.1</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(9.0)</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(6.3)</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(5.4)</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Other economic flows included in net result</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8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c>
          <w:tcPr>
            <w:tcW w:w="886"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6.3</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other economic flows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0.1</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(0.1)</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0.3</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6.3</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885"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(8.7)</w:t>
            </w:r>
          </w:p>
        </w:tc>
        <w:tc>
          <w:tcPr>
            <w:tcW w:w="886" w:type="dxa"/>
            <w:tcBorders>
              <w:top w:val="single" w:sz="6" w:space="0" w:color="auto"/>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886"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(5.4)</w:t>
            </w:r>
          </w:p>
        </w:tc>
        <w:tc>
          <w:tcPr>
            <w:tcW w:w="886"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nil"/>
              <w:left w:val="nil"/>
              <w:bottom w:val="single" w:sz="12"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885"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(8.7)</w:t>
            </w:r>
          </w:p>
        </w:tc>
        <w:tc>
          <w:tcPr>
            <w:tcW w:w="886" w:type="dxa"/>
            <w:tcBorders>
              <w:top w:val="nil"/>
              <w:left w:val="nil"/>
              <w:bottom w:val="single" w:sz="12" w:space="0" w:color="auto"/>
              <w:right w:val="nil"/>
            </w:tcBorders>
            <w:shd w:val="solid" w:color="FFFFFF" w:fill="auto"/>
          </w:tcPr>
          <w:p w:rsidR="00B03921" w:rsidRPr="00FE4FB8" w:rsidRDefault="00B03921" w:rsidP="00016914">
            <w:pPr>
              <w:pStyle w:val="TableofFigures"/>
              <w:rPr>
                <w:rFonts w:eastAsiaTheme="minorEastAsia"/>
                <w:b/>
                <w:bCs/>
                <w:lang w:eastAsia="en-AU"/>
              </w:rPr>
            </w:pPr>
            <w:r>
              <w:rPr>
                <w:rFonts w:eastAsiaTheme="minorEastAsia"/>
                <w:b/>
                <w:bCs/>
                <w:lang w:eastAsia="en-AU"/>
              </w:rPr>
              <w:t>..</w:t>
            </w:r>
          </w:p>
        </w:tc>
        <w:tc>
          <w:tcPr>
            <w:tcW w:w="886"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(5.4)</w:t>
            </w:r>
          </w:p>
        </w:tc>
        <w:tc>
          <w:tcPr>
            <w:tcW w:w="886"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rPr>
          <w:trHeight w:hRule="exact" w:val="120"/>
        </w:trPr>
        <w:tc>
          <w:tcPr>
            <w:tcW w:w="7760" w:type="dxa"/>
            <w:gridSpan w:val="5"/>
            <w:tcBorders>
              <w:top w:val="nil"/>
              <w:left w:val="nil"/>
              <w:bottom w:val="nil"/>
              <w:right w:val="nil"/>
            </w:tcBorders>
            <w:shd w:val="solid" w:color="FFFFFF" w:fill="auto"/>
          </w:tcPr>
          <w:p w:rsidR="00076137" w:rsidRPr="00FE4FB8" w:rsidRDefault="00076137" w:rsidP="00016914">
            <w:pPr>
              <w:pStyle w:val="TableofFigures"/>
              <w:rPr>
                <w:rFonts w:eastAsiaTheme="minorEastAsia"/>
                <w:b/>
                <w:bCs/>
                <w:lang w:eastAsia="en-AU"/>
              </w:rPr>
            </w:pP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0.6</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4.7</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rPr>
          <w:trHeight w:hRule="exact" w:val="120"/>
        </w:trPr>
        <w:tc>
          <w:tcPr>
            <w:tcW w:w="7760" w:type="dxa"/>
            <w:gridSpan w:val="5"/>
            <w:tcBorders>
              <w:top w:val="nil"/>
              <w:left w:val="nil"/>
              <w:bottom w:val="nil"/>
              <w:right w:val="nil"/>
            </w:tcBorders>
            <w:shd w:val="solid" w:color="FFFFFF" w:fill="auto"/>
          </w:tcPr>
          <w:p w:rsidR="00076137" w:rsidRPr="00FE4FB8" w:rsidRDefault="00076137" w:rsidP="00016914">
            <w:pPr>
              <w:pStyle w:val="TableofFigures"/>
              <w:rPr>
                <w:rFonts w:eastAsiaTheme="minorEastAsia"/>
                <w:lang w:eastAsia="en-AU"/>
              </w:rPr>
            </w:pPr>
          </w:p>
        </w:tc>
      </w:tr>
      <w:tr w:rsidR="00076137" w:rsidRPr="00FE4FB8" w:rsidTr="00076137">
        <w:tc>
          <w:tcPr>
            <w:tcW w:w="7760" w:type="dxa"/>
            <w:gridSpan w:val="5"/>
            <w:tcBorders>
              <w:top w:val="nil"/>
              <w:left w:val="nil"/>
              <w:bottom w:val="nil"/>
              <w:right w:val="nil"/>
            </w:tcBorders>
            <w:shd w:val="solid" w:color="FFFFFF" w:fill="auto"/>
          </w:tcPr>
          <w:p w:rsidR="00076137" w:rsidRPr="00FE4FB8" w:rsidRDefault="00076137" w:rsidP="00076137">
            <w:pPr>
              <w:pStyle w:val="Tabletext"/>
              <w:rPr>
                <w:rFonts w:eastAsiaTheme="minorEastAsia"/>
                <w:b/>
                <w:lang w:eastAsia="en-AU"/>
              </w:rPr>
            </w:pPr>
            <w:r w:rsidRPr="00FE4FB8">
              <w:rPr>
                <w:rFonts w:eastAsiaTheme="minorEastAsia"/>
                <w:b/>
                <w:bCs/>
                <w:lang w:eastAsia="en-AU"/>
              </w:rPr>
              <w:t>Administered liabilitie</w:t>
            </w:r>
            <w:r>
              <w:rPr>
                <w:rFonts w:eastAsiaTheme="minorEastAsia"/>
                <w:b/>
                <w:bCs/>
                <w:lang w:eastAsia="en-AU"/>
              </w:rPr>
              <w:t>s</w:t>
            </w:r>
          </w:p>
        </w:tc>
      </w:tr>
      <w:tr w:rsidR="00B03921" w:rsidRPr="00FE4FB8" w:rsidTr="00016914">
        <w:tc>
          <w:tcPr>
            <w:tcW w:w="4217" w:type="dxa"/>
            <w:tcBorders>
              <w:top w:val="nil"/>
              <w:left w:val="nil"/>
              <w:bottom w:val="nil"/>
              <w:right w:val="nil"/>
            </w:tcBorders>
            <w:shd w:val="solid" w:color="FFFFFF" w:fill="auto"/>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88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6"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217"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885"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4.6</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6" w:space="0" w:color="auto"/>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c>
          <w:tcPr>
            <w:tcW w:w="4217"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885"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w:t>
            </w:r>
          </w:p>
        </w:tc>
        <w:tc>
          <w:tcPr>
            <w:tcW w:w="886"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w:t>
            </w:r>
          </w:p>
        </w:tc>
        <w:tc>
          <w:tcPr>
            <w:tcW w:w="886"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6"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4F7ADD">
        <w:t xml:space="preserve">Sources: </w:t>
      </w:r>
      <w:r>
        <w:t>Departments of Health and Human Services,</w:t>
      </w:r>
      <w:r w:rsidRPr="004F7ADD">
        <w:t xml:space="preserve"> and Treasury and Finance</w:t>
      </w:r>
    </w:p>
    <w:p w:rsidR="00B03921" w:rsidRDefault="00B03921" w:rsidP="00016914">
      <w:pPr>
        <w:pStyle w:val="Notes"/>
      </w:pPr>
      <w:r w:rsidRPr="00B0679B">
        <w:t>Notes:</w:t>
      </w:r>
    </w:p>
    <w:p w:rsidR="00B03921" w:rsidRPr="006F4D96" w:rsidRDefault="00B03921" w:rsidP="00016914">
      <w:pPr>
        <w:pStyle w:val="Notes"/>
      </w:pPr>
      <w:r w:rsidRPr="00B0679B">
        <w:t>(a)</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(b)</w:t>
      </w:r>
      <w:r>
        <w:tab/>
        <w:t>Figures for the 2014-15 r</w:t>
      </w:r>
      <w:r w:rsidRPr="00DF610E">
        <w:t>evised reflect estimates for the Department of Human Services as at 31 December 2014. This department ceased to operate from 1 January 2015 and its functions</w:t>
      </w:r>
      <w:r>
        <w:t xml:space="preserve"> were</w:t>
      </w:r>
      <w:r w:rsidRPr="00DF610E">
        <w:t xml:space="preserve"> transferred to the Department of Health and Human Services. The budget for the functions</w:t>
      </w:r>
      <w:r>
        <w:t xml:space="preserve"> </w:t>
      </w:r>
      <w:r w:rsidRPr="00DF610E">
        <w:t xml:space="preserve">transferred to </w:t>
      </w:r>
      <w:r>
        <w:t xml:space="preserve">that department </w:t>
      </w:r>
      <w:r w:rsidRPr="00DF610E">
        <w:t>is included in the revised</w:t>
      </w:r>
      <w:r>
        <w:t xml:space="preserve"> estimates of that department.</w:t>
      </w:r>
    </w:p>
    <w:p w:rsidR="00B03921" w:rsidRDefault="00B03921" w:rsidP="00016914">
      <w:pPr>
        <w:pStyle w:val="Notes"/>
      </w:pPr>
      <w:r>
        <w:t>(c</w:t>
      </w:r>
      <w:r w:rsidRPr="00B0679B">
        <w:t xml:space="preserve">) </w:t>
      </w:r>
      <w:r>
        <w:tab/>
      </w:r>
      <w:r w:rsidRPr="00DF610E">
        <w:t xml:space="preserve">No budget is available for 2015-16 as this department ceased operations from </w:t>
      </w:r>
      <w:r>
        <w:t>1 January 2015 and its functions were</w:t>
      </w:r>
      <w:r w:rsidRPr="00DF610E">
        <w:t xml:space="preserve"> transferred to the Department of Health and Human Services. The budget for the function</w:t>
      </w:r>
      <w:r>
        <w:t>s</w:t>
      </w:r>
      <w:r w:rsidRPr="00DF610E">
        <w:t xml:space="preserve"> transferred to </w:t>
      </w:r>
      <w:r>
        <w:t>that department i</w:t>
      </w:r>
      <w:r w:rsidRPr="00DF610E">
        <w:t>s included in</w:t>
      </w:r>
      <w:r>
        <w:t xml:space="preserve"> the estimates of</w:t>
      </w:r>
      <w:r w:rsidRPr="00DF610E">
        <w:t xml:space="preserve"> </w:t>
      </w:r>
      <w:r>
        <w:t>that department.</w:t>
      </w:r>
    </w:p>
    <w:p w:rsidR="00B03921" w:rsidRPr="0090460D" w:rsidRDefault="00B03921" w:rsidP="00016914"/>
    <w:p w:rsidR="00B03921" w:rsidRDefault="00B03921" w:rsidP="00016914">
      <w:pPr>
        <w:sectPr w:rsidR="00B03921" w:rsidSect="00016914">
          <w:footerReference w:type="even" r:id="rId65"/>
          <w:footerReference w:type="default" r:id="rId66"/>
          <w:pgSz w:w="9979" w:h="14181" w:code="34"/>
          <w:pgMar w:top="1138" w:right="1138" w:bottom="1138" w:left="1138" w:header="720" w:footer="432" w:gutter="0"/>
          <w:cols w:space="708"/>
          <w:docGrid w:linePitch="360"/>
        </w:sectPr>
      </w:pPr>
    </w:p>
    <w:p w:rsidR="00B03921" w:rsidRPr="00E4705C" w:rsidRDefault="00B03921" w:rsidP="00016914">
      <w:pPr>
        <w:pStyle w:val="Heading1"/>
      </w:pPr>
      <w:bookmarkStart w:id="127" w:name="_Toc418274767"/>
      <w:r w:rsidRPr="00E4705C">
        <w:t>Department of Transport, Planning and Local Infrastructure</w:t>
      </w:r>
      <w:bookmarkEnd w:id="127"/>
    </w:p>
    <w:p w:rsidR="00B03921" w:rsidRPr="00A341BB" w:rsidRDefault="00B03921" w:rsidP="00016914">
      <w:r>
        <w:t>Machinery of g</w:t>
      </w:r>
      <w:r w:rsidRPr="00A341BB">
        <w:t>overnment changes effective</w:t>
      </w:r>
      <w:r>
        <w:t xml:space="preserve"> from</w:t>
      </w:r>
      <w:r w:rsidRPr="00A341BB">
        <w:t xml:space="preserve"> 1 January 2015 reallocated the functions of the Department of Transport, Planning and Local Infrastructure to other departments. The financial statements therefore do not include estimates for 2015-16</w:t>
      </w:r>
      <w:r>
        <w:t xml:space="preserve"> budget</w:t>
      </w:r>
      <w:r w:rsidRPr="00A341BB">
        <w:t>, and</w:t>
      </w:r>
      <w:r>
        <w:t xml:space="preserve"> closing balances (for </w:t>
      </w:r>
      <w:r w:rsidRPr="00A341BB">
        <w:t>balance sheet items</w:t>
      </w:r>
      <w:r>
        <w:t>)</w:t>
      </w:r>
      <w:r w:rsidRPr="00A341BB">
        <w:t xml:space="preserve"> as at 30 June 2015. The 2014-15 revised</w:t>
      </w:r>
      <w:r>
        <w:t xml:space="preserve"> budget</w:t>
      </w:r>
      <w:r w:rsidRPr="00A341BB">
        <w:t xml:space="preserve"> figures</w:t>
      </w:r>
      <w:r>
        <w:t xml:space="preserve"> reflect the operations of the D</w:t>
      </w:r>
      <w:r w:rsidRPr="00A341BB">
        <w:t xml:space="preserve">epartment up to 31 December 2014 and </w:t>
      </w:r>
      <w:r>
        <w:t xml:space="preserve">are broadly consistent with </w:t>
      </w:r>
      <w:r w:rsidRPr="00A341BB">
        <w:t>original budget expectations for that period.</w:t>
      </w:r>
    </w:p>
    <w:p w:rsidR="00B03921" w:rsidRDefault="00B03921" w:rsidP="00016914">
      <w:pPr>
        <w:pStyle w:val="Heading2"/>
      </w:pPr>
      <w:r>
        <w:t>Operating performance</w:t>
      </w:r>
    </w:p>
    <w:p w:rsidR="00B03921" w:rsidRPr="00EA271B" w:rsidRDefault="00B03921" w:rsidP="00016914">
      <w:r w:rsidRPr="00CF4411">
        <w:t>No significant movements.</w:t>
      </w:r>
    </w:p>
    <w:p w:rsidR="00B03921" w:rsidRDefault="00B03921" w:rsidP="00016914">
      <w:pPr>
        <w:pStyle w:val="Heading2"/>
      </w:pPr>
      <w:r>
        <w:t>Balance sheet</w:t>
      </w:r>
    </w:p>
    <w:p w:rsidR="00B03921" w:rsidRDefault="00B03921" w:rsidP="00016914">
      <w:r w:rsidRPr="00A341BB">
        <w:t xml:space="preserve">Major movements in total assets include </w:t>
      </w:r>
      <w:r>
        <w:t xml:space="preserve">constructing </w:t>
      </w:r>
      <w:r w:rsidRPr="00A341BB">
        <w:t>new roads, public transport and sporting infrastructure, as highlighted below.</w:t>
      </w:r>
    </w:p>
    <w:p w:rsidR="00B03921" w:rsidRDefault="00B03921" w:rsidP="00016914">
      <w:pPr>
        <w:pStyle w:val="Heading2"/>
      </w:pPr>
      <w:r>
        <w:t>Investing and financing</w:t>
      </w:r>
    </w:p>
    <w:p w:rsidR="00B03921" w:rsidRDefault="00B03921" w:rsidP="00016914">
      <w:r>
        <w:t>Cash flows from operating activities are consistent with normal business operations.</w:t>
      </w:r>
    </w:p>
    <w:p w:rsidR="00B03921" w:rsidRDefault="00B03921" w:rsidP="00016914">
      <w:r>
        <w:t>The expected investment in property, plant and equipment in 2014-15 reflects approved cash flows for existing road, public transport and sport related assets projects, including:</w:t>
      </w:r>
    </w:p>
    <w:p w:rsidR="00B03921" w:rsidRDefault="00B03921" w:rsidP="00016914">
      <w:pPr>
        <w:pStyle w:val="BulletText"/>
      </w:pPr>
      <w:r>
        <w:t>Western Highway Duplication – Ballarat to Stawell;</w:t>
      </w:r>
    </w:p>
    <w:p w:rsidR="00B03921" w:rsidRDefault="00B03921" w:rsidP="00016914">
      <w:pPr>
        <w:pStyle w:val="BulletText"/>
      </w:pPr>
      <w:r>
        <w:t xml:space="preserve">the </w:t>
      </w:r>
      <w:r w:rsidRPr="00562700">
        <w:rPr>
          <w:i/>
        </w:rPr>
        <w:t>Road Safety Strategy 2013-22</w:t>
      </w:r>
      <w:r>
        <w:t>; and</w:t>
      </w:r>
    </w:p>
    <w:p w:rsidR="00B03921" w:rsidRDefault="00B03921" w:rsidP="00016914">
      <w:pPr>
        <w:pStyle w:val="BulletText"/>
      </w:pPr>
      <w:r>
        <w:t>tram procurement and supporting infrastructure.</w:t>
      </w:r>
    </w:p>
    <w:p w:rsidR="00B03921" w:rsidRDefault="00B03921" w:rsidP="00016914">
      <w:pPr>
        <w:pStyle w:val="Heading2"/>
      </w:pPr>
      <w:r w:rsidRPr="0090460D">
        <w:t>Administered items statement</w:t>
      </w:r>
    </w:p>
    <w:p w:rsidR="00B03921" w:rsidRDefault="00B03921" w:rsidP="00016914">
      <w:r>
        <w:t>Transactions administered by the Department on behalf of the State in 2014-15 include collecting of road and public transport regulatory fees and fines revenues, Commonwealth financial assistance payments to local government and collecting fees and charges for land title transactions. The 2014-15 revised budget also progressively recognises concession fees paid in advance by Transurban under the CityLink contract.</w:t>
      </w:r>
    </w:p>
    <w:p w:rsidR="00B03921" w:rsidRDefault="00B03921" w:rsidP="00016914">
      <w:r>
        <w:t>Administered expenses are affected by the items outlined above.</w:t>
      </w:r>
    </w:p>
    <w:p w:rsidR="00B03921" w:rsidRDefault="00B03921">
      <w:pPr>
        <w:spacing w:after="0"/>
      </w:pPr>
      <w:r>
        <w:br w:type="page"/>
      </w:r>
    </w:p>
    <w:p w:rsidR="00B03921" w:rsidRDefault="00B03921" w:rsidP="00016914">
      <w:pPr>
        <w:pStyle w:val="Tableheading"/>
      </w:pPr>
      <w:r>
        <w:t>Table 3.11.1:</w:t>
      </w:r>
      <w:r>
        <w:tab/>
        <w:t>Comprehensive operating statement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217"/>
        <w:gridCol w:w="840"/>
        <w:gridCol w:w="895"/>
        <w:gridCol w:w="910"/>
        <w:gridCol w:w="898"/>
      </w:tblGrid>
      <w:tr w:rsidR="00076137" w:rsidRPr="00FE4FB8" w:rsidTr="00076137">
        <w:trPr>
          <w:trHeight w:val="503"/>
          <w:tblHeader/>
        </w:trPr>
        <w:tc>
          <w:tcPr>
            <w:tcW w:w="4217" w:type="dxa"/>
            <w:tcBorders>
              <w:top w:val="single" w:sz="6" w:space="0" w:color="auto"/>
              <w:left w:val="single" w:sz="6" w:space="0" w:color="auto"/>
              <w:right w:val="nil"/>
            </w:tcBorders>
            <w:shd w:val="clear" w:color="000000" w:fill="000000"/>
          </w:tcPr>
          <w:p w:rsidR="00076137" w:rsidRPr="00FE4FB8" w:rsidRDefault="00076137" w:rsidP="00016914">
            <w:pPr>
              <w:pStyle w:val="Tabletext"/>
              <w:rPr>
                <w:rFonts w:eastAsiaTheme="minorEastAsia"/>
                <w:lang w:eastAsia="en-AU"/>
              </w:rPr>
            </w:pPr>
          </w:p>
        </w:tc>
        <w:tc>
          <w:tcPr>
            <w:tcW w:w="840"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895"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p>
        </w:tc>
        <w:tc>
          <w:tcPr>
            <w:tcW w:w="910" w:type="dxa"/>
            <w:tcBorders>
              <w:top w:val="single" w:sz="6" w:space="0" w:color="auto"/>
              <w:left w:val="nil"/>
              <w:right w:val="nil"/>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(a)</w:t>
            </w:r>
          </w:p>
        </w:tc>
        <w:tc>
          <w:tcPr>
            <w:tcW w:w="898" w:type="dxa"/>
            <w:tcBorders>
              <w:top w:val="single" w:sz="6" w:space="0" w:color="auto"/>
              <w:left w:val="nil"/>
              <w:right w:val="single" w:sz="6" w:space="0" w:color="auto"/>
            </w:tcBorders>
            <w:shd w:val="clear" w:color="000000" w:fill="000000"/>
          </w:tcPr>
          <w:p w:rsidR="00076137" w:rsidRPr="00FE4FB8" w:rsidRDefault="00076137" w:rsidP="00076137">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(b)</w:t>
            </w:r>
          </w:p>
        </w:tc>
      </w:tr>
      <w:tr w:rsidR="00076137" w:rsidRPr="00FE4FB8" w:rsidTr="00076137">
        <w:tc>
          <w:tcPr>
            <w:tcW w:w="7760" w:type="dxa"/>
            <w:gridSpan w:val="5"/>
            <w:tcBorders>
              <w:top w:val="single" w:sz="6" w:space="0" w:color="auto"/>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Net re</w:t>
            </w:r>
            <w:r>
              <w:rPr>
                <w:rFonts w:eastAsiaTheme="minorEastAsia"/>
                <w:b/>
                <w:bCs/>
                <w:lang w:eastAsia="en-AU"/>
              </w:rPr>
              <w:t>sult from continuing operations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Income from transactions</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Output appropriations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5 325.1</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5 692.2</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2 872.0</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Special appropriations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16.7</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13.9</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9.8</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4.1</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686.0</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396.2</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225.7</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305.5</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305.7</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154.5</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Fair value of assets and services received free of charge or for nominal consideration</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64.0</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0.4</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136.9</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113.6</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78.5</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income from transactions</w:t>
            </w:r>
          </w:p>
        </w:tc>
        <w:tc>
          <w:tcPr>
            <w:tcW w:w="8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6 543.0</w:t>
            </w:r>
          </w:p>
        </w:tc>
        <w:tc>
          <w:tcPr>
            <w:tcW w:w="895"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6 528.1</w:t>
            </w:r>
          </w:p>
        </w:tc>
        <w:tc>
          <w:tcPr>
            <w:tcW w:w="91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3 344.9</w:t>
            </w:r>
          </w:p>
        </w:tc>
        <w:tc>
          <w:tcPr>
            <w:tcW w:w="898"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Expenses from transactions</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Employee benefits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488.0</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483.5</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246.3</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Depreciation </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642.8</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665.4</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320.5</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Interest expense</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132.9</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130.7</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65.6</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2 294.1</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2 390.1</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1 215.5</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Capital asset charge</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87.6</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88.6</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40.1</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operating expenses</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2 813.9</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2 586.4</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1 279.3</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expenses from transactions</w:t>
            </w:r>
          </w:p>
        </w:tc>
        <w:tc>
          <w:tcPr>
            <w:tcW w:w="8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6 459.3</w:t>
            </w:r>
          </w:p>
        </w:tc>
        <w:tc>
          <w:tcPr>
            <w:tcW w:w="8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6 344.7</w:t>
            </w:r>
          </w:p>
        </w:tc>
        <w:tc>
          <w:tcPr>
            <w:tcW w:w="91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3 167.4</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4217"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 xml:space="preserve">Net result from transactions </w:t>
            </w:r>
            <w:r w:rsidR="008E3FEB">
              <w:rPr>
                <w:rFonts w:eastAsiaTheme="minorEastAsia"/>
                <w:b/>
                <w:bCs/>
                <w:lang w:eastAsia="en-AU"/>
              </w:rPr>
              <w:br/>
            </w:r>
            <w:r w:rsidRPr="00FE4FB8">
              <w:rPr>
                <w:rFonts w:eastAsiaTheme="minorEastAsia"/>
                <w:b/>
                <w:bCs/>
                <w:lang w:eastAsia="en-AU"/>
              </w:rPr>
              <w:t>(net operating balance)</w:t>
            </w:r>
          </w:p>
        </w:tc>
        <w:tc>
          <w:tcPr>
            <w:tcW w:w="840"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83.7</w:t>
            </w:r>
          </w:p>
        </w:tc>
        <w:tc>
          <w:tcPr>
            <w:tcW w:w="895"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183.3</w:t>
            </w:r>
          </w:p>
        </w:tc>
        <w:tc>
          <w:tcPr>
            <w:tcW w:w="910"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177.6</w:t>
            </w:r>
          </w:p>
        </w:tc>
        <w:tc>
          <w:tcPr>
            <w:tcW w:w="898"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non-financial assets</w:t>
            </w:r>
          </w:p>
        </w:tc>
        <w:tc>
          <w:tcPr>
            <w:tcW w:w="84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(49.5)</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0.7</w:t>
            </w:r>
          </w:p>
        </w:tc>
        <w:tc>
          <w:tcPr>
            <w:tcW w:w="91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(100.7)</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Net gain/(loss) on financial instruments and statutory receivables/payables</w:t>
            </w:r>
          </w:p>
        </w:tc>
        <w:tc>
          <w:tcPr>
            <w:tcW w:w="84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(0.4)</w:t>
            </w:r>
          </w:p>
        </w:tc>
        <w:tc>
          <w:tcPr>
            <w:tcW w:w="8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(0.1)</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economic flows</w:t>
            </w:r>
          </w:p>
        </w:tc>
        <w:tc>
          <w:tcPr>
            <w:tcW w:w="84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(1.1)</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1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(2.7)</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8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(51.0)</w:t>
            </w:r>
          </w:p>
        </w:tc>
        <w:tc>
          <w:tcPr>
            <w:tcW w:w="8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0.7</w:t>
            </w:r>
          </w:p>
        </w:tc>
        <w:tc>
          <w:tcPr>
            <w:tcW w:w="91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(103.4)</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4217"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8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32.7</w:t>
            </w:r>
          </w:p>
        </w:tc>
        <w:tc>
          <w:tcPr>
            <w:tcW w:w="8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184.0</w:t>
            </w:r>
          </w:p>
        </w:tc>
        <w:tc>
          <w:tcPr>
            <w:tcW w:w="91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74.1</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58" w:type="dxa"/>
            <w:gridSpan w:val="5"/>
            <w:tcBorders>
              <w:top w:val="nil"/>
              <w:left w:val="nil"/>
              <w:bottom w:val="nil"/>
              <w:right w:val="nil"/>
            </w:tcBorders>
          </w:tcPr>
          <w:p w:rsidR="00076137" w:rsidRPr="00FE4FB8" w:rsidRDefault="00076137" w:rsidP="00076137">
            <w:pPr>
              <w:pStyle w:val="Tabletext"/>
              <w:rPr>
                <w:rFonts w:eastAsiaTheme="minorEastAsia"/>
                <w:b/>
                <w:bCs/>
                <w:lang w:eastAsia="en-AU"/>
              </w:rPr>
            </w:pPr>
            <w:r w:rsidRPr="00FE4FB8">
              <w:rPr>
                <w:rFonts w:eastAsiaTheme="minorEastAsia"/>
                <w:b/>
                <w:bCs/>
                <w:lang w:eastAsia="en-AU"/>
              </w:rPr>
              <w:t>Other economic flows – other comprehensive income</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Asset revaluation reserve</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135.7</w:t>
            </w:r>
          </w:p>
        </w:tc>
        <w:tc>
          <w:tcPr>
            <w:tcW w:w="895"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3 922.2</w:t>
            </w:r>
          </w:p>
        </w:tc>
        <w:tc>
          <w:tcPr>
            <w:tcW w:w="910"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84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37.5</w:t>
            </w:r>
          </w:p>
        </w:tc>
        <w:tc>
          <w:tcPr>
            <w:tcW w:w="89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(2.5)</w:t>
            </w:r>
          </w:p>
        </w:tc>
        <w:tc>
          <w:tcPr>
            <w:tcW w:w="910"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lang w:eastAsia="en-AU"/>
              </w:rPr>
              <w:t>(8.3)</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4217"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8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173.2</w:t>
            </w:r>
          </w:p>
        </w:tc>
        <w:tc>
          <w:tcPr>
            <w:tcW w:w="89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3 919.7</w:t>
            </w:r>
          </w:p>
        </w:tc>
        <w:tc>
          <w:tcPr>
            <w:tcW w:w="91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lang w:eastAsia="en-AU"/>
              </w:rPr>
              <w:t>(8.3)</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4217"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8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205.9</w:t>
            </w:r>
          </w:p>
        </w:tc>
        <w:tc>
          <w:tcPr>
            <w:tcW w:w="895"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4 103.7</w:t>
            </w:r>
          </w:p>
        </w:tc>
        <w:tc>
          <w:tcPr>
            <w:tcW w:w="91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65.8</w:t>
            </w:r>
          </w:p>
        </w:tc>
        <w:tc>
          <w:tcPr>
            <w:tcW w:w="8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1D350D">
        <w:t xml:space="preserve">Sources: </w:t>
      </w:r>
      <w:r>
        <w:t>Departments of Economic Development, Jobs, Transport and Resources,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t xml:space="preserve">Figures for the 2014-15 revised </w:t>
      </w:r>
      <w:r w:rsidRPr="00C71C6A">
        <w:t>reflects actuals for the Department of Transport, Planning and Local Infrastructure as at 31 December 2014. This department ceased to</w:t>
      </w:r>
      <w:r w:rsidRPr="00AE5AA5">
        <w:t xml:space="preserve"> operate from 1 January 2015 and its functions</w:t>
      </w:r>
      <w:r>
        <w:t xml:space="preserve"> were</w:t>
      </w:r>
      <w:r w:rsidRPr="00AE5AA5">
        <w:t xml:space="preserve"> tran</w:t>
      </w:r>
      <w:r>
        <w:t>sferred to other departments</w:t>
      </w:r>
      <w:r w:rsidRPr="00AE5AA5">
        <w:t>. The budget for the functions transferred to other departments is included in the revised estimates of those departments.</w:t>
      </w:r>
    </w:p>
    <w:p w:rsidR="00B03921" w:rsidRDefault="00B03921" w:rsidP="00016914">
      <w:pPr>
        <w:pStyle w:val="Notes"/>
        <w:rPr>
          <w:b/>
        </w:rPr>
      </w:pPr>
      <w:r w:rsidRPr="00B0679B">
        <w:t xml:space="preserve">(b) </w:t>
      </w:r>
      <w:r>
        <w:tab/>
      </w:r>
      <w:r w:rsidRPr="00DF610E">
        <w:t>No budget is available for 2015-16 as this department ceased operations from 1 January 2015 and its function</w:t>
      </w:r>
      <w:r>
        <w:t>s were transferred to other departments</w:t>
      </w:r>
      <w:r w:rsidRPr="00DF610E">
        <w:t>. The budget for the functions transferred to other departments is included in the estimates of those departments.</w:t>
      </w:r>
    </w:p>
    <w:p w:rsidR="00B03921" w:rsidRDefault="00B03921" w:rsidP="00016914">
      <w:pPr>
        <w:pStyle w:val="Tableheading"/>
      </w:pPr>
      <w:r>
        <w:t>Table 3.11.2:</w:t>
      </w:r>
      <w:r>
        <w:tab/>
        <w:t>Balance sheet</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993"/>
        <w:gridCol w:w="868"/>
        <w:gridCol w:w="911"/>
        <w:gridCol w:w="1090"/>
        <w:gridCol w:w="898"/>
      </w:tblGrid>
      <w:tr w:rsidR="00076137" w:rsidRPr="00FE4FB8" w:rsidTr="00076137">
        <w:tc>
          <w:tcPr>
            <w:tcW w:w="3993" w:type="dxa"/>
            <w:vMerge w:val="restart"/>
            <w:tcBorders>
              <w:top w:val="single" w:sz="6" w:space="0" w:color="000000"/>
              <w:left w:val="single" w:sz="6" w:space="0" w:color="000000"/>
              <w:right w:val="nil"/>
            </w:tcBorders>
            <w:shd w:val="clear" w:color="000000" w:fill="000000"/>
          </w:tcPr>
          <w:p w:rsidR="00076137" w:rsidRPr="00076137" w:rsidRDefault="00076137" w:rsidP="00016914">
            <w:pPr>
              <w:pStyle w:val="Tabletext"/>
              <w:rPr>
                <w:rFonts w:eastAsiaTheme="minorEastAsia"/>
                <w:i/>
                <w:lang w:eastAsia="en-AU"/>
              </w:rPr>
            </w:pPr>
          </w:p>
        </w:tc>
        <w:tc>
          <w:tcPr>
            <w:tcW w:w="868" w:type="dxa"/>
            <w:vMerge w:val="restart"/>
            <w:tcBorders>
              <w:top w:val="single" w:sz="6" w:space="0" w:color="000000"/>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r w:rsidRPr="00FE4FB8">
              <w:rPr>
                <w:rFonts w:eastAsiaTheme="minorEastAsia"/>
                <w:color w:val="FFFFFF"/>
                <w:lang w:eastAsia="en-AU"/>
              </w:rPr>
              <w:t xml:space="preserve">  </w:t>
            </w:r>
          </w:p>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2014</w:t>
            </w:r>
            <w:r>
              <w:rPr>
                <w:rFonts w:eastAsiaTheme="minorEastAsia"/>
                <w:color w:val="FFFFFF"/>
                <w:lang w:eastAsia="en-AU"/>
              </w:rPr>
              <w:t xml:space="preserve"> </w:t>
            </w:r>
            <w:r w:rsidRPr="00FE4FB8">
              <w:rPr>
                <w:rFonts w:eastAsiaTheme="minorEastAsia"/>
                <w:color w:val="FFFFFF"/>
                <w:lang w:eastAsia="en-AU"/>
              </w:rPr>
              <w:t>actual</w:t>
            </w:r>
          </w:p>
        </w:tc>
        <w:tc>
          <w:tcPr>
            <w:tcW w:w="2899" w:type="dxa"/>
            <w:gridSpan w:val="3"/>
            <w:tcBorders>
              <w:top w:val="single" w:sz="6" w:space="0" w:color="000000"/>
              <w:left w:val="nil"/>
              <w:bottom w:val="nil"/>
              <w:right w:val="single" w:sz="6" w:space="0" w:color="000000"/>
            </w:tcBorders>
            <w:shd w:val="clear" w:color="000000" w:fill="000000"/>
          </w:tcPr>
          <w:p w:rsidR="00076137" w:rsidRPr="00FE4FB8" w:rsidRDefault="00076137" w:rsidP="00076137">
            <w:pPr>
              <w:pStyle w:val="Tabletextheading"/>
              <w:jc w:val="center"/>
              <w:rPr>
                <w:rFonts w:eastAsiaTheme="minorEastAsia"/>
                <w:color w:val="FFFFFF"/>
                <w:lang w:eastAsia="en-AU"/>
              </w:rPr>
            </w:pPr>
            <w:r>
              <w:rPr>
                <w:rFonts w:eastAsiaTheme="minorEastAsia"/>
                <w:color w:val="FFFFFF"/>
                <w:lang w:eastAsia="en-AU"/>
              </w:rPr>
              <w:t>Estimated as at 30 Jun</w:t>
            </w:r>
          </w:p>
        </w:tc>
      </w:tr>
      <w:tr w:rsidR="00076137" w:rsidRPr="00FE4FB8" w:rsidTr="00076137">
        <w:trPr>
          <w:trHeight w:val="488"/>
        </w:trPr>
        <w:tc>
          <w:tcPr>
            <w:tcW w:w="3993" w:type="dxa"/>
            <w:vMerge/>
            <w:tcBorders>
              <w:left w:val="single" w:sz="6" w:space="0" w:color="000000"/>
              <w:right w:val="nil"/>
            </w:tcBorders>
            <w:shd w:val="clear" w:color="000000" w:fill="000000"/>
          </w:tcPr>
          <w:p w:rsidR="00076137" w:rsidRPr="00FE4FB8" w:rsidRDefault="00076137" w:rsidP="00016914">
            <w:pPr>
              <w:pStyle w:val="Tabletext"/>
              <w:rPr>
                <w:rFonts w:eastAsiaTheme="minorEastAsia"/>
                <w:lang w:eastAsia="en-AU"/>
              </w:rPr>
            </w:pPr>
          </w:p>
        </w:tc>
        <w:tc>
          <w:tcPr>
            <w:tcW w:w="868" w:type="dxa"/>
            <w:vMerge/>
            <w:tcBorders>
              <w:left w:val="nil"/>
              <w:right w:val="nil"/>
            </w:tcBorders>
            <w:shd w:val="clear" w:color="000000" w:fill="000000"/>
          </w:tcPr>
          <w:p w:rsidR="00076137" w:rsidRPr="00FE4FB8" w:rsidRDefault="00076137" w:rsidP="00016914">
            <w:pPr>
              <w:pStyle w:val="Tabletextheading"/>
              <w:rPr>
                <w:rFonts w:eastAsiaTheme="minorEastAsia"/>
                <w:color w:val="FFFFFF"/>
                <w:lang w:eastAsia="en-AU"/>
              </w:rPr>
            </w:pPr>
          </w:p>
        </w:tc>
        <w:tc>
          <w:tcPr>
            <w:tcW w:w="911"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budget</w:t>
            </w:r>
          </w:p>
        </w:tc>
        <w:tc>
          <w:tcPr>
            <w:tcW w:w="1090" w:type="dxa"/>
            <w:tcBorders>
              <w:top w:val="nil"/>
              <w:left w:val="nil"/>
              <w:right w:val="nil"/>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(a)(b)</w:t>
            </w:r>
          </w:p>
        </w:tc>
        <w:tc>
          <w:tcPr>
            <w:tcW w:w="898" w:type="dxa"/>
            <w:tcBorders>
              <w:top w:val="nil"/>
              <w:left w:val="nil"/>
              <w:right w:val="single" w:sz="6" w:space="0" w:color="000000"/>
            </w:tcBorders>
            <w:shd w:val="clear" w:color="000000" w:fill="000000"/>
          </w:tcPr>
          <w:p w:rsidR="00076137" w:rsidRPr="00FE4FB8" w:rsidRDefault="00076137" w:rsidP="00076137">
            <w:pPr>
              <w:pStyle w:val="Tabletextheading"/>
              <w:rPr>
                <w:rFonts w:eastAsiaTheme="minorEastAsia"/>
                <w:color w:val="FFFFFF"/>
                <w:lang w:eastAsia="en-AU"/>
              </w:rPr>
            </w:pPr>
            <w:r w:rsidRPr="00FE4FB8">
              <w:rPr>
                <w:rFonts w:eastAsiaTheme="minorEastAsia"/>
                <w:color w:val="FFFFFF"/>
                <w:lang w:eastAsia="en-AU"/>
              </w:rPr>
              <w:t>2016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(b)</w:t>
            </w:r>
          </w:p>
        </w:tc>
      </w:tr>
      <w:tr w:rsidR="00076137" w:rsidRPr="00FE4FB8" w:rsidTr="00076137">
        <w:tc>
          <w:tcPr>
            <w:tcW w:w="7760" w:type="dxa"/>
            <w:gridSpan w:val="5"/>
            <w:tcBorders>
              <w:top w:val="single" w:sz="6" w:space="0" w:color="000000"/>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Assets</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Financial assets</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1 098.5</w:t>
            </w:r>
          </w:p>
        </w:tc>
        <w:tc>
          <w:tcPr>
            <w:tcW w:w="911"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lang w:eastAsia="en-AU"/>
              </w:rPr>
            </w:pPr>
            <w:r w:rsidRPr="00FE4FB8">
              <w:rPr>
                <w:rFonts w:eastAsiaTheme="minorEastAsia"/>
                <w:lang w:eastAsia="en-AU"/>
              </w:rPr>
              <w:t>1 453.2</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922.8</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918.6</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financial assets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19.8</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19.8</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Investments accounted for using equity method</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9.0</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financial assets</w:t>
            </w:r>
          </w:p>
        </w:tc>
        <w:tc>
          <w:tcPr>
            <w:tcW w:w="86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2 050.2</w:t>
            </w:r>
          </w:p>
        </w:tc>
        <w:tc>
          <w:tcPr>
            <w:tcW w:w="911"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2 400.6</w:t>
            </w:r>
          </w:p>
        </w:tc>
        <w:tc>
          <w:tcPr>
            <w:tcW w:w="109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Non-financial assets</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Inventories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23.8</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23.8</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Property, plant and equipment</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47 711.4</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52 163.1</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Investment properties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67.7</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67.7</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Intangible assets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149.9</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138.0</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7.6</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non-financial assets</w:t>
            </w:r>
          </w:p>
        </w:tc>
        <w:tc>
          <w:tcPr>
            <w:tcW w:w="86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47 960.4</w:t>
            </w:r>
          </w:p>
        </w:tc>
        <w:tc>
          <w:tcPr>
            <w:tcW w:w="911"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52 400.2</w:t>
            </w:r>
          </w:p>
        </w:tc>
        <w:tc>
          <w:tcPr>
            <w:tcW w:w="109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3993"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assets</w:t>
            </w:r>
          </w:p>
        </w:tc>
        <w:tc>
          <w:tcPr>
            <w:tcW w:w="86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50 010.6</w:t>
            </w:r>
          </w:p>
        </w:tc>
        <w:tc>
          <w:tcPr>
            <w:tcW w:w="911"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54 800.8</w:t>
            </w:r>
          </w:p>
        </w:tc>
        <w:tc>
          <w:tcPr>
            <w:tcW w:w="109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Liabilities</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1 102.7</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1 094.4</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Borrowings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1 294.9</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1 297.8</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Provisions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527.3</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551.1</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liabilities</w:t>
            </w:r>
          </w:p>
        </w:tc>
        <w:tc>
          <w:tcPr>
            <w:tcW w:w="86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2 924.9</w:t>
            </w:r>
          </w:p>
        </w:tc>
        <w:tc>
          <w:tcPr>
            <w:tcW w:w="911"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2 943.3</w:t>
            </w:r>
          </w:p>
        </w:tc>
        <w:tc>
          <w:tcPr>
            <w:tcW w:w="109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76137">
        <w:tc>
          <w:tcPr>
            <w:tcW w:w="3993"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868"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47 085.7</w:t>
            </w:r>
          </w:p>
        </w:tc>
        <w:tc>
          <w:tcPr>
            <w:tcW w:w="911"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51 857.5</w:t>
            </w:r>
          </w:p>
        </w:tc>
        <w:tc>
          <w:tcPr>
            <w:tcW w:w="1090"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076137" w:rsidRPr="00FE4FB8" w:rsidTr="00076137">
        <w:tc>
          <w:tcPr>
            <w:tcW w:w="7760" w:type="dxa"/>
            <w:gridSpan w:val="5"/>
            <w:tcBorders>
              <w:top w:val="nil"/>
              <w:left w:val="nil"/>
              <w:bottom w:val="nil"/>
              <w:right w:val="nil"/>
            </w:tcBorders>
          </w:tcPr>
          <w:p w:rsidR="00076137" w:rsidRPr="00FE4FB8" w:rsidRDefault="00076137" w:rsidP="00076137">
            <w:pPr>
              <w:pStyle w:val="Tabletext"/>
              <w:rPr>
                <w:rFonts w:eastAsiaTheme="minorEastAsia"/>
                <w:b/>
                <w:lang w:eastAsia="en-AU"/>
              </w:rPr>
            </w:pPr>
            <w:r w:rsidRPr="00FE4FB8">
              <w:rPr>
                <w:rFonts w:eastAsiaTheme="minorEastAsia"/>
                <w:b/>
                <w:bCs/>
                <w:lang w:eastAsia="en-AU"/>
              </w:rPr>
              <w:t>Equity</w:t>
            </w:r>
            <w:r w:rsidRPr="00FE4FB8">
              <w:rPr>
                <w:rFonts w:eastAsiaTheme="minorEastAsia"/>
                <w:b/>
                <w:lang w:eastAsia="en-AU"/>
              </w:rPr>
              <w:t xml:space="preserve"> </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Accumulated surplus/(deficit)</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16 965.9</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17 147.4</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Reserves</w:t>
            </w:r>
          </w:p>
        </w:tc>
        <w:tc>
          <w:tcPr>
            <w:tcW w:w="86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13 434.2</w:t>
            </w:r>
          </w:p>
        </w:tc>
        <w:tc>
          <w:tcPr>
            <w:tcW w:w="911"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17 356.4</w:t>
            </w:r>
          </w:p>
        </w:tc>
        <w:tc>
          <w:tcPr>
            <w:tcW w:w="1090"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Contributed capital</w:t>
            </w:r>
          </w:p>
        </w:tc>
        <w:tc>
          <w:tcPr>
            <w:tcW w:w="868"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16 685.6</w:t>
            </w:r>
          </w:p>
        </w:tc>
        <w:tc>
          <w:tcPr>
            <w:tcW w:w="911"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17 353.7</w:t>
            </w:r>
          </w:p>
        </w:tc>
        <w:tc>
          <w:tcPr>
            <w:tcW w:w="1090"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98"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76137">
        <w:tc>
          <w:tcPr>
            <w:tcW w:w="3993"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equity</w:t>
            </w:r>
          </w:p>
        </w:tc>
        <w:tc>
          <w:tcPr>
            <w:tcW w:w="86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47 085.7</w:t>
            </w:r>
          </w:p>
        </w:tc>
        <w:tc>
          <w:tcPr>
            <w:tcW w:w="91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51 857.5</w:t>
            </w:r>
          </w:p>
        </w:tc>
        <w:tc>
          <w:tcPr>
            <w:tcW w:w="109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98"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1D350D">
        <w:t xml:space="preserve">Sources: </w:t>
      </w:r>
      <w:r>
        <w:t>Departments of Economic Development, Jobs, Transport and Resources,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t>The 2015 budget figures have been restated to reflect the 20</w:t>
      </w:r>
      <w:r w:rsidRPr="00B21426">
        <w:t>14 actual closing balance</w:t>
      </w:r>
      <w:r>
        <w:t>s</w:t>
      </w:r>
      <w:r w:rsidRPr="00B21426">
        <w:t>.</w:t>
      </w:r>
    </w:p>
    <w:p w:rsidR="00B03921" w:rsidRDefault="00B03921" w:rsidP="00016914">
      <w:pPr>
        <w:pStyle w:val="Notes"/>
      </w:pPr>
      <w:r>
        <w:t>(b)</w:t>
      </w:r>
      <w:r>
        <w:tab/>
      </w:r>
      <w:r w:rsidRPr="00DF610E">
        <w:t>This department ceased to operate from 1 January 2015 and its functions tran</w:t>
      </w:r>
      <w:r>
        <w:t>sferred to other departments</w:t>
      </w:r>
      <w:r w:rsidRPr="00DF610E">
        <w:t>. The budget for the functions transferred to other departments is included in the revised estimates of those departments.</w:t>
      </w:r>
    </w:p>
    <w:p w:rsidR="00B03921" w:rsidRDefault="00B03921" w:rsidP="00016914">
      <w:pPr>
        <w:pStyle w:val="Notes"/>
      </w:pPr>
    </w:p>
    <w:p w:rsidR="00B03921" w:rsidRDefault="00B03921">
      <w:pPr>
        <w:spacing w:after="0"/>
        <w:rPr>
          <w:rFonts w:ascii="Calibri" w:hAnsi="Calibri"/>
          <w:b/>
        </w:rPr>
      </w:pPr>
      <w:r>
        <w:br w:type="page"/>
      </w:r>
    </w:p>
    <w:p w:rsidR="00B03921" w:rsidRDefault="00B03921" w:rsidP="00016914">
      <w:pPr>
        <w:pStyle w:val="Tableheading"/>
      </w:pPr>
      <w:r>
        <w:t>Table 3.11.3:</w:t>
      </w:r>
      <w:r>
        <w:tab/>
        <w:t>Statement of cash flows</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35"/>
        <w:gridCol w:w="975"/>
        <w:gridCol w:w="975"/>
        <w:gridCol w:w="975"/>
        <w:gridCol w:w="800"/>
      </w:tblGrid>
      <w:tr w:rsidR="00836A8A" w:rsidRPr="00FE4FB8" w:rsidTr="001037D3">
        <w:trPr>
          <w:trHeight w:val="479"/>
          <w:tblHeader/>
        </w:trPr>
        <w:tc>
          <w:tcPr>
            <w:tcW w:w="4035" w:type="dxa"/>
            <w:tcBorders>
              <w:top w:val="single" w:sz="6" w:space="0" w:color="auto"/>
              <w:left w:val="single" w:sz="6" w:space="0" w:color="auto"/>
              <w:right w:val="nil"/>
            </w:tcBorders>
            <w:shd w:val="clear" w:color="000000" w:fill="000000"/>
          </w:tcPr>
          <w:p w:rsidR="00836A8A" w:rsidRPr="00FE4FB8" w:rsidRDefault="00836A8A" w:rsidP="00016914">
            <w:pPr>
              <w:pStyle w:val="Tabletext"/>
              <w:rPr>
                <w:rFonts w:eastAsiaTheme="minorEastAsia"/>
                <w:sz w:val="19"/>
                <w:lang w:eastAsia="en-AU"/>
              </w:rPr>
            </w:pPr>
          </w:p>
        </w:tc>
        <w:tc>
          <w:tcPr>
            <w:tcW w:w="975"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sz w:val="19"/>
                <w:lang w:eastAsia="en-AU"/>
              </w:rPr>
            </w:pPr>
            <w:r w:rsidRPr="00FE4FB8">
              <w:rPr>
                <w:rFonts w:eastAsiaTheme="minorEastAsia"/>
                <w:iCs/>
                <w:color w:val="FFFFFF"/>
                <w:sz w:val="19"/>
                <w:lang w:eastAsia="en-AU"/>
              </w:rPr>
              <w:t>2013-14</w:t>
            </w:r>
            <w:r>
              <w:rPr>
                <w:rFonts w:eastAsiaTheme="minorEastAsia"/>
                <w:iCs/>
                <w:color w:val="FFFFFF"/>
                <w:sz w:val="19"/>
                <w:lang w:eastAsia="en-AU"/>
              </w:rPr>
              <w:t xml:space="preserve"> </w:t>
            </w:r>
            <w:r w:rsidRPr="00FE4FB8">
              <w:rPr>
                <w:rFonts w:eastAsiaTheme="minorEastAsia"/>
                <w:iCs/>
                <w:color w:val="FFFFFF"/>
                <w:sz w:val="19"/>
                <w:lang w:eastAsia="en-AU"/>
              </w:rPr>
              <w:t>actual</w:t>
            </w:r>
          </w:p>
        </w:tc>
        <w:tc>
          <w:tcPr>
            <w:tcW w:w="975"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budget</w:t>
            </w:r>
          </w:p>
        </w:tc>
        <w:tc>
          <w:tcPr>
            <w:tcW w:w="975"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sz w:val="19"/>
                <w:lang w:eastAsia="en-AU"/>
              </w:rPr>
            </w:pPr>
            <w:r w:rsidRPr="00FE4FB8">
              <w:rPr>
                <w:rFonts w:eastAsiaTheme="minorEastAsia"/>
                <w:iCs/>
                <w:color w:val="FFFFFF"/>
                <w:sz w:val="19"/>
                <w:lang w:eastAsia="en-AU"/>
              </w:rPr>
              <w:t>2014-15</w:t>
            </w:r>
            <w:r>
              <w:rPr>
                <w:rFonts w:eastAsiaTheme="minorEastAsia"/>
                <w:iCs/>
                <w:color w:val="FFFFFF"/>
                <w:sz w:val="19"/>
                <w:lang w:eastAsia="en-AU"/>
              </w:rPr>
              <w:t xml:space="preserve"> </w:t>
            </w:r>
            <w:r w:rsidRPr="00FE4FB8">
              <w:rPr>
                <w:rFonts w:eastAsiaTheme="minorEastAsia"/>
                <w:iCs/>
                <w:color w:val="FFFFFF"/>
                <w:sz w:val="19"/>
                <w:lang w:eastAsia="en-AU"/>
              </w:rPr>
              <w:t>revised</w:t>
            </w:r>
            <w:r w:rsidRPr="00FE4FB8">
              <w:rPr>
                <w:rFonts w:eastAsiaTheme="minorEastAsia"/>
                <w:iCs/>
                <w:color w:val="FFFFFF"/>
                <w:sz w:val="19"/>
                <w:vertAlign w:val="superscript"/>
                <w:lang w:eastAsia="en-AU"/>
              </w:rPr>
              <w:t>(a)</w:t>
            </w:r>
          </w:p>
        </w:tc>
        <w:tc>
          <w:tcPr>
            <w:tcW w:w="800" w:type="dxa"/>
            <w:tcBorders>
              <w:top w:val="single" w:sz="6" w:space="0" w:color="auto"/>
              <w:left w:val="nil"/>
              <w:right w:val="single" w:sz="6" w:space="0" w:color="auto"/>
            </w:tcBorders>
            <w:shd w:val="clear" w:color="000000" w:fill="000000"/>
          </w:tcPr>
          <w:p w:rsidR="00836A8A" w:rsidRPr="00FE4FB8" w:rsidRDefault="00836A8A" w:rsidP="00836A8A">
            <w:pPr>
              <w:pStyle w:val="Tabletextheading"/>
              <w:rPr>
                <w:rFonts w:eastAsiaTheme="minorEastAsia"/>
                <w:iCs/>
                <w:color w:val="FFFFFF"/>
                <w:sz w:val="19"/>
                <w:lang w:eastAsia="en-AU"/>
              </w:rPr>
            </w:pPr>
            <w:r w:rsidRPr="00FE4FB8">
              <w:rPr>
                <w:rFonts w:eastAsiaTheme="minorEastAsia"/>
                <w:iCs/>
                <w:color w:val="FFFFFF"/>
                <w:sz w:val="19"/>
                <w:lang w:eastAsia="en-AU"/>
              </w:rPr>
              <w:t>2015-16</w:t>
            </w:r>
            <w:r>
              <w:rPr>
                <w:rFonts w:eastAsiaTheme="minorEastAsia"/>
                <w:iCs/>
                <w:color w:val="FFFFFF"/>
                <w:sz w:val="19"/>
                <w:lang w:eastAsia="en-AU"/>
              </w:rPr>
              <w:t xml:space="preserve"> </w:t>
            </w:r>
            <w:r w:rsidRPr="00FE4FB8">
              <w:rPr>
                <w:rFonts w:eastAsiaTheme="minorEastAsia"/>
                <w:iCs/>
                <w:color w:val="FFFFFF"/>
                <w:sz w:val="19"/>
                <w:lang w:eastAsia="en-AU"/>
              </w:rPr>
              <w:t>budget</w:t>
            </w:r>
            <w:r w:rsidRPr="00FE4FB8">
              <w:rPr>
                <w:rFonts w:eastAsiaTheme="minorEastAsia"/>
                <w:iCs/>
                <w:color w:val="FFFFFF"/>
                <w:sz w:val="19"/>
                <w:vertAlign w:val="superscript"/>
                <w:lang w:eastAsia="en-AU"/>
              </w:rPr>
              <w:t>(b)</w:t>
            </w:r>
          </w:p>
        </w:tc>
      </w:tr>
      <w:tr w:rsidR="00836A8A" w:rsidRPr="00FE4FB8" w:rsidTr="001037D3">
        <w:tc>
          <w:tcPr>
            <w:tcW w:w="7760" w:type="dxa"/>
            <w:gridSpan w:val="5"/>
            <w:tcBorders>
              <w:top w:val="single" w:sz="6" w:space="0" w:color="auto"/>
              <w:left w:val="nil"/>
              <w:bottom w:val="nil"/>
              <w:right w:val="nil"/>
            </w:tcBorders>
          </w:tcPr>
          <w:p w:rsidR="00836A8A" w:rsidRPr="00FE4FB8" w:rsidRDefault="00836A8A" w:rsidP="00836A8A">
            <w:pPr>
              <w:pStyle w:val="Tabletext"/>
              <w:rPr>
                <w:rFonts w:eastAsiaTheme="minorEastAsia"/>
                <w:b/>
                <w:sz w:val="19"/>
                <w:lang w:eastAsia="en-AU"/>
              </w:rPr>
            </w:pPr>
            <w:r w:rsidRPr="00FE4FB8">
              <w:rPr>
                <w:rFonts w:eastAsiaTheme="minorEastAsia"/>
                <w:b/>
                <w:bCs/>
                <w:sz w:val="19"/>
                <w:lang w:eastAsia="en-AU"/>
              </w:rPr>
              <w:t>Cash flows from operating activities</w:t>
            </w:r>
          </w:p>
        </w:tc>
      </w:tr>
      <w:tr w:rsidR="00836A8A" w:rsidRPr="00FE4FB8" w:rsidTr="001037D3">
        <w:tc>
          <w:tcPr>
            <w:tcW w:w="7760" w:type="dxa"/>
            <w:gridSpan w:val="5"/>
            <w:tcBorders>
              <w:top w:val="nil"/>
              <w:left w:val="nil"/>
              <w:bottom w:val="nil"/>
              <w:right w:val="nil"/>
            </w:tcBorders>
          </w:tcPr>
          <w:p w:rsidR="00836A8A" w:rsidRPr="00FE4FB8" w:rsidRDefault="00836A8A" w:rsidP="00836A8A">
            <w:pPr>
              <w:pStyle w:val="Tabletext"/>
              <w:rPr>
                <w:rFonts w:eastAsiaTheme="minorEastAsia"/>
                <w:b/>
                <w:sz w:val="19"/>
                <w:lang w:eastAsia="en-AU"/>
              </w:rPr>
            </w:pPr>
            <w:r w:rsidRPr="00FE4FB8">
              <w:rPr>
                <w:rFonts w:eastAsiaTheme="minorEastAsia"/>
                <w:b/>
                <w:bCs/>
                <w:sz w:val="19"/>
                <w:lang w:eastAsia="en-AU"/>
              </w:rPr>
              <w:t>Receipts</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vertAlign w:val="superscript"/>
                <w:lang w:eastAsia="en-AU"/>
              </w:rPr>
            </w:pPr>
            <w:r w:rsidRPr="00FE4FB8">
              <w:rPr>
                <w:rFonts w:eastAsiaTheme="minorEastAsia"/>
                <w:sz w:val="19"/>
                <w:lang w:eastAsia="en-AU"/>
              </w:rPr>
              <w:t>Receipts from Government</w:t>
            </w:r>
            <w:r w:rsidRPr="00FE4FB8">
              <w:rPr>
                <w:rFonts w:eastAsiaTheme="minorEastAsia"/>
                <w:sz w:val="19"/>
                <w:vertAlign w:val="superscript"/>
                <w:lang w:eastAsia="en-AU"/>
              </w:rPr>
              <w:t>(c)</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5 310.0</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5 709.8</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2 882.4</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Receipts from other entities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962.3</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732.5</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433.4</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Interest received</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8.7</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6.5</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4.0</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single" w:sz="6" w:space="0" w:color="auto"/>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Other receipts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138.4</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83.0</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31.7</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receipts</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6 419.5</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6 531.7</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3 351.6</w:t>
            </w:r>
          </w:p>
        </w:tc>
        <w:tc>
          <w:tcPr>
            <w:tcW w:w="800"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836A8A" w:rsidRPr="00FE4FB8" w:rsidTr="001037D3">
        <w:tc>
          <w:tcPr>
            <w:tcW w:w="7760" w:type="dxa"/>
            <w:gridSpan w:val="5"/>
            <w:tcBorders>
              <w:top w:val="nil"/>
              <w:left w:val="nil"/>
              <w:bottom w:val="nil"/>
              <w:right w:val="nil"/>
            </w:tcBorders>
          </w:tcPr>
          <w:p w:rsidR="00836A8A" w:rsidRPr="00FE4FB8" w:rsidRDefault="00836A8A" w:rsidP="00836A8A">
            <w:pPr>
              <w:pStyle w:val="Tabletext"/>
              <w:rPr>
                <w:rFonts w:eastAsiaTheme="minorEastAsia"/>
                <w:b/>
                <w:sz w:val="19"/>
                <w:lang w:eastAsia="en-AU"/>
              </w:rPr>
            </w:pPr>
            <w:r>
              <w:rPr>
                <w:rFonts w:eastAsiaTheme="minorEastAsia"/>
                <w:b/>
                <w:bCs/>
                <w:sz w:val="19"/>
                <w:lang w:eastAsia="en-AU"/>
              </w:rPr>
              <w:t>Payments</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Payments of grants and other transfers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(2 315.4)</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(2 390.1)</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(1 234.9)</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Payments to suppliers and employees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(3 370.5)</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(3 046.6)</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(1 629.5)</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Capital asset charge</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(87.6)</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(88.6)</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(40.1)</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Interest and other costs of finance paid</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(133.9)</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(131.4)</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(65.7)</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Total payments</w:t>
            </w:r>
          </w:p>
        </w:tc>
        <w:tc>
          <w:tcPr>
            <w:tcW w:w="9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(5 907.4)</w:t>
            </w:r>
          </w:p>
        </w:tc>
        <w:tc>
          <w:tcPr>
            <w:tcW w:w="9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(5 656.7)</w:t>
            </w:r>
          </w:p>
        </w:tc>
        <w:tc>
          <w:tcPr>
            <w:tcW w:w="975"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(2 970.2)</w:t>
            </w:r>
          </w:p>
        </w:tc>
        <w:tc>
          <w:tcPr>
            <w:tcW w:w="80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cash flows from/(used in) operating activities</w:t>
            </w:r>
          </w:p>
        </w:tc>
        <w:tc>
          <w:tcPr>
            <w:tcW w:w="975"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512.1</w:t>
            </w:r>
          </w:p>
        </w:tc>
        <w:tc>
          <w:tcPr>
            <w:tcW w:w="975"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875.0</w:t>
            </w:r>
          </w:p>
        </w:tc>
        <w:tc>
          <w:tcPr>
            <w:tcW w:w="975"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381.4</w:t>
            </w:r>
          </w:p>
        </w:tc>
        <w:tc>
          <w:tcPr>
            <w:tcW w:w="800"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836A8A" w:rsidRPr="00FE4FB8" w:rsidTr="001037D3">
        <w:tc>
          <w:tcPr>
            <w:tcW w:w="7760" w:type="dxa"/>
            <w:gridSpan w:val="5"/>
            <w:tcBorders>
              <w:top w:val="nil"/>
              <w:left w:val="nil"/>
              <w:bottom w:val="nil"/>
              <w:right w:val="nil"/>
            </w:tcBorders>
          </w:tcPr>
          <w:p w:rsidR="00836A8A" w:rsidRPr="00FE4FB8" w:rsidRDefault="00836A8A" w:rsidP="00836A8A">
            <w:pPr>
              <w:pStyle w:val="Tabletext"/>
              <w:rPr>
                <w:rFonts w:eastAsiaTheme="minorEastAsia"/>
                <w:b/>
                <w:sz w:val="19"/>
                <w:lang w:eastAsia="en-AU"/>
              </w:rPr>
            </w:pPr>
            <w:r w:rsidRPr="00FE4FB8">
              <w:rPr>
                <w:rFonts w:eastAsiaTheme="minorEastAsia"/>
                <w:b/>
                <w:bCs/>
                <w:sz w:val="19"/>
                <w:lang w:eastAsia="en-AU"/>
              </w:rPr>
              <w:t>Cash flows from investing activities</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vertAlign w:val="superscript"/>
                <w:lang w:eastAsia="en-AU"/>
              </w:rPr>
            </w:pPr>
            <w:r w:rsidRPr="00FE4FB8">
              <w:rPr>
                <w:rFonts w:eastAsiaTheme="minorEastAsia"/>
                <w:sz w:val="19"/>
                <w:lang w:eastAsia="en-AU"/>
              </w:rPr>
              <w:t>Net investment</w:t>
            </w:r>
            <w:r w:rsidRPr="00FE4FB8">
              <w:rPr>
                <w:rFonts w:eastAsiaTheme="minorEastAsia"/>
                <w:sz w:val="19"/>
                <w:vertAlign w:val="superscript"/>
                <w:lang w:eastAsia="en-AU"/>
              </w:rPr>
              <w:t>(c)</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30.2</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75" w:type="dxa"/>
            <w:tcBorders>
              <w:top w:val="nil"/>
              <w:left w:val="nil"/>
              <w:bottom w:val="nil"/>
              <w:right w:val="nil"/>
            </w:tcBorders>
            <w:shd w:val="solid" w:color="FFFFFF" w:fill="auto"/>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(6.0)</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Payments for non-financial assets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(1 571.2)</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(2 262.2)</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(893.4)</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Proceeds from sale of non-financial assets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26.0</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10.7</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3.4</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Net loans to other parties</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(8.9)</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1.1</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1.4</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single" w:sz="6" w:space="0" w:color="auto"/>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Net (purchase)/disposal of investments – policy purposes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6.4</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(3.0)</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cash flow from/(used in) investing activities</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(1 517.6)</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(2 250.3)</w:t>
            </w:r>
          </w:p>
        </w:tc>
        <w:tc>
          <w:tcPr>
            <w:tcW w:w="975" w:type="dxa"/>
            <w:tcBorders>
              <w:top w:val="single" w:sz="6" w:space="0" w:color="auto"/>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(897.7)</w:t>
            </w:r>
          </w:p>
        </w:tc>
        <w:tc>
          <w:tcPr>
            <w:tcW w:w="800" w:type="dxa"/>
            <w:tcBorders>
              <w:top w:val="single" w:sz="6" w:space="0" w:color="auto"/>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836A8A" w:rsidRPr="00FE4FB8" w:rsidTr="001037D3">
        <w:tc>
          <w:tcPr>
            <w:tcW w:w="7760" w:type="dxa"/>
            <w:gridSpan w:val="5"/>
            <w:tcBorders>
              <w:top w:val="nil"/>
              <w:left w:val="nil"/>
              <w:bottom w:val="nil"/>
              <w:right w:val="nil"/>
            </w:tcBorders>
          </w:tcPr>
          <w:p w:rsidR="00836A8A" w:rsidRPr="00FE4FB8" w:rsidRDefault="00836A8A" w:rsidP="00836A8A">
            <w:pPr>
              <w:pStyle w:val="Tabletext"/>
              <w:rPr>
                <w:rFonts w:eastAsiaTheme="minorEastAsia"/>
                <w:b/>
                <w:sz w:val="19"/>
                <w:lang w:eastAsia="en-AU"/>
              </w:rPr>
            </w:pPr>
            <w:r w:rsidRPr="00FE4FB8">
              <w:rPr>
                <w:rFonts w:eastAsiaTheme="minorEastAsia"/>
                <w:b/>
                <w:bCs/>
                <w:sz w:val="19"/>
                <w:lang w:eastAsia="en-AU"/>
              </w:rPr>
              <w:t>Cash flows from financing activities</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Owner contributions</w:t>
            </w:r>
            <w:r>
              <w:rPr>
                <w:rFonts w:eastAsiaTheme="minorEastAsia"/>
                <w:sz w:val="19"/>
                <w:lang w:eastAsia="en-AU"/>
              </w:rPr>
              <w:t xml:space="preserve"> </w:t>
            </w:r>
            <w:r w:rsidRPr="00FE4FB8">
              <w:rPr>
                <w:rFonts w:eastAsiaTheme="minorEastAsia"/>
                <w:sz w:val="19"/>
                <w:lang w:eastAsia="en-AU"/>
              </w:rPr>
              <w:t>by State Government</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1 071.5</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1 764.1</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576.5</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Repayment of finance leases</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(30.3)</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(33.3)</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(15.1)</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Net borrowings</w:t>
            </w:r>
          </w:p>
        </w:tc>
        <w:tc>
          <w:tcPr>
            <w:tcW w:w="975"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 xml:space="preserve"> 58.9</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(0.7)</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color w:val="000000"/>
                <w:lang w:eastAsia="en-AU"/>
              </w:rPr>
            </w:pPr>
            <w:r>
              <w:rPr>
                <w:rFonts w:eastAsiaTheme="minorEastAsia"/>
                <w:sz w:val="19"/>
                <w:lang w:eastAsia="en-AU"/>
              </w:rPr>
              <w:t>(90.1)</w:t>
            </w:r>
          </w:p>
        </w:tc>
        <w:tc>
          <w:tcPr>
            <w:tcW w:w="800" w:type="dxa"/>
            <w:tcBorders>
              <w:top w:val="nil"/>
              <w:left w:val="nil"/>
              <w:bottom w:val="nil"/>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cash flows from/(used in) financing activities</w:t>
            </w:r>
          </w:p>
        </w:tc>
        <w:tc>
          <w:tcPr>
            <w:tcW w:w="975"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1 100.1</w:t>
            </w:r>
          </w:p>
        </w:tc>
        <w:tc>
          <w:tcPr>
            <w:tcW w:w="975"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1 730.0</w:t>
            </w:r>
          </w:p>
        </w:tc>
        <w:tc>
          <w:tcPr>
            <w:tcW w:w="975"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471.2</w:t>
            </w:r>
          </w:p>
        </w:tc>
        <w:tc>
          <w:tcPr>
            <w:tcW w:w="800"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B03921" w:rsidRPr="00FE4FB8" w:rsidTr="00016914">
        <w:tc>
          <w:tcPr>
            <w:tcW w:w="4035" w:type="dxa"/>
            <w:tcBorders>
              <w:top w:val="nil"/>
              <w:left w:val="nil"/>
              <w:bottom w:val="nil"/>
              <w:right w:val="nil"/>
            </w:tcBorders>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Net increase/(decrease) in cash and cash equivalents</w:t>
            </w:r>
          </w:p>
        </w:tc>
        <w:tc>
          <w:tcPr>
            <w:tcW w:w="975"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94.6</w:t>
            </w:r>
          </w:p>
        </w:tc>
        <w:tc>
          <w:tcPr>
            <w:tcW w:w="975"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 xml:space="preserve"> 354.7</w:t>
            </w:r>
          </w:p>
        </w:tc>
        <w:tc>
          <w:tcPr>
            <w:tcW w:w="975" w:type="dxa"/>
            <w:tcBorders>
              <w:top w:val="nil"/>
              <w:left w:val="nil"/>
              <w:bottom w:val="nil"/>
              <w:right w:val="nil"/>
            </w:tcBorders>
          </w:tcPr>
          <w:p w:rsidR="00B03921" w:rsidRPr="00FE4FB8" w:rsidRDefault="00B03921" w:rsidP="00016914">
            <w:pPr>
              <w:pStyle w:val="TableofFigures"/>
              <w:rPr>
                <w:rFonts w:eastAsiaTheme="minorEastAsia" w:cs="Calibri"/>
                <w:b/>
                <w:bCs/>
                <w:color w:val="000000"/>
                <w:lang w:eastAsia="en-AU"/>
              </w:rPr>
            </w:pPr>
            <w:r>
              <w:rPr>
                <w:rFonts w:eastAsiaTheme="minorEastAsia"/>
                <w:b/>
                <w:bCs/>
                <w:sz w:val="19"/>
                <w:lang w:eastAsia="en-AU"/>
              </w:rPr>
              <w:t>(45.2)</w:t>
            </w:r>
          </w:p>
        </w:tc>
        <w:tc>
          <w:tcPr>
            <w:tcW w:w="800" w:type="dxa"/>
            <w:tcBorders>
              <w:top w:val="nil"/>
              <w:left w:val="nil"/>
              <w:bottom w:val="nil"/>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r w:rsidR="00B03921" w:rsidRPr="00FE4FB8" w:rsidTr="00016914">
        <w:tc>
          <w:tcPr>
            <w:tcW w:w="4035" w:type="dxa"/>
            <w:tcBorders>
              <w:top w:val="nil"/>
              <w:left w:val="nil"/>
              <w:bottom w:val="single" w:sz="6" w:space="0" w:color="auto"/>
              <w:right w:val="nil"/>
            </w:tcBorders>
            <w:shd w:val="solid" w:color="FFFFFF" w:fill="auto"/>
          </w:tcPr>
          <w:p w:rsidR="00B03921" w:rsidRPr="00FE4FB8" w:rsidRDefault="00B03921" w:rsidP="00016914">
            <w:pPr>
              <w:pStyle w:val="Tabletext"/>
              <w:rPr>
                <w:rFonts w:eastAsiaTheme="minorEastAsia"/>
                <w:sz w:val="19"/>
                <w:lang w:eastAsia="en-AU"/>
              </w:rPr>
            </w:pPr>
            <w:r w:rsidRPr="00FE4FB8">
              <w:rPr>
                <w:rFonts w:eastAsiaTheme="minorEastAsia"/>
                <w:sz w:val="19"/>
                <w:lang w:eastAsia="en-AU"/>
              </w:rPr>
              <w:t>Cash and cash equivalents at the beginning of the financial year</w:t>
            </w:r>
          </w:p>
        </w:tc>
        <w:tc>
          <w:tcPr>
            <w:tcW w:w="975"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1 003.9</w:t>
            </w:r>
          </w:p>
        </w:tc>
        <w:tc>
          <w:tcPr>
            <w:tcW w:w="975" w:type="dxa"/>
            <w:tcBorders>
              <w:top w:val="nil"/>
              <w:left w:val="nil"/>
              <w:bottom w:val="single" w:sz="6" w:space="0" w:color="auto"/>
              <w:right w:val="nil"/>
            </w:tcBorders>
            <w:shd w:val="solid" w:color="FFFFFF" w:fill="auto"/>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1 098.5</w:t>
            </w:r>
          </w:p>
        </w:tc>
        <w:tc>
          <w:tcPr>
            <w:tcW w:w="975" w:type="dxa"/>
            <w:tcBorders>
              <w:top w:val="nil"/>
              <w:left w:val="nil"/>
              <w:bottom w:val="single" w:sz="6" w:space="0" w:color="auto"/>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1 098.5</w:t>
            </w:r>
          </w:p>
        </w:tc>
        <w:tc>
          <w:tcPr>
            <w:tcW w:w="800" w:type="dxa"/>
            <w:tcBorders>
              <w:top w:val="nil"/>
              <w:left w:val="nil"/>
              <w:bottom w:val="single" w:sz="6" w:space="0" w:color="auto"/>
              <w:right w:val="nil"/>
            </w:tcBorders>
          </w:tcPr>
          <w:p w:rsidR="00B03921" w:rsidRPr="00FE4FB8" w:rsidRDefault="00B03921" w:rsidP="00016914">
            <w:pPr>
              <w:pStyle w:val="TableofFigures"/>
              <w:rPr>
                <w:rFonts w:eastAsiaTheme="minorEastAsia"/>
                <w:sz w:val="19"/>
                <w:lang w:eastAsia="en-AU"/>
              </w:rPr>
            </w:pPr>
            <w:r w:rsidRPr="00FE4FB8">
              <w:rPr>
                <w:rFonts w:eastAsiaTheme="minorEastAsia"/>
                <w:sz w:val="19"/>
                <w:lang w:eastAsia="en-AU"/>
              </w:rPr>
              <w:t>..</w:t>
            </w:r>
          </w:p>
        </w:tc>
      </w:tr>
      <w:tr w:rsidR="00B03921" w:rsidRPr="00FE4FB8" w:rsidTr="00016914">
        <w:tc>
          <w:tcPr>
            <w:tcW w:w="4035"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text"/>
              <w:rPr>
                <w:rFonts w:eastAsiaTheme="minorEastAsia"/>
                <w:b/>
                <w:bCs/>
                <w:sz w:val="19"/>
                <w:lang w:eastAsia="en-AU"/>
              </w:rPr>
            </w:pPr>
            <w:r w:rsidRPr="00FE4FB8">
              <w:rPr>
                <w:rFonts w:eastAsiaTheme="minorEastAsia"/>
                <w:b/>
                <w:bCs/>
                <w:sz w:val="19"/>
                <w:lang w:eastAsia="en-AU"/>
              </w:rPr>
              <w:t>Cash and cash equivalents at the end of the financial year</w:t>
            </w:r>
          </w:p>
        </w:tc>
        <w:tc>
          <w:tcPr>
            <w:tcW w:w="975"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1 098.5</w:t>
            </w:r>
          </w:p>
        </w:tc>
        <w:tc>
          <w:tcPr>
            <w:tcW w:w="975" w:type="dxa"/>
            <w:tcBorders>
              <w:top w:val="single" w:sz="6" w:space="0" w:color="auto"/>
              <w:left w:val="nil"/>
              <w:bottom w:val="single" w:sz="12" w:space="0" w:color="000000"/>
              <w:right w:val="nil"/>
            </w:tcBorders>
            <w:shd w:val="solid" w:color="FFFFFF" w:fill="auto"/>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1 453.2</w:t>
            </w:r>
          </w:p>
        </w:tc>
        <w:tc>
          <w:tcPr>
            <w:tcW w:w="975"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1 053.4</w:t>
            </w:r>
          </w:p>
        </w:tc>
        <w:tc>
          <w:tcPr>
            <w:tcW w:w="800" w:type="dxa"/>
            <w:tcBorders>
              <w:top w:val="single" w:sz="6" w:space="0" w:color="auto"/>
              <w:left w:val="nil"/>
              <w:bottom w:val="single" w:sz="12" w:space="0" w:color="000000"/>
              <w:right w:val="nil"/>
            </w:tcBorders>
          </w:tcPr>
          <w:p w:rsidR="00B03921" w:rsidRPr="00FE4FB8" w:rsidRDefault="00B03921" w:rsidP="00016914">
            <w:pPr>
              <w:pStyle w:val="TableofFigures"/>
              <w:rPr>
                <w:rFonts w:eastAsiaTheme="minorEastAsia"/>
                <w:b/>
                <w:bCs/>
                <w:sz w:val="19"/>
                <w:lang w:eastAsia="en-AU"/>
              </w:rPr>
            </w:pPr>
            <w:r w:rsidRPr="00FE4FB8">
              <w:rPr>
                <w:rFonts w:eastAsiaTheme="minorEastAsia"/>
                <w:b/>
                <w:bCs/>
                <w:sz w:val="19"/>
                <w:lang w:eastAsia="en-AU"/>
              </w:rPr>
              <w:t>..</w:t>
            </w:r>
          </w:p>
        </w:tc>
      </w:tr>
    </w:tbl>
    <w:p w:rsidR="00B03921" w:rsidRDefault="00B03921" w:rsidP="00016914">
      <w:pPr>
        <w:pStyle w:val="Source"/>
      </w:pPr>
      <w:r w:rsidRPr="001D350D">
        <w:t>Source</w:t>
      </w:r>
      <w:r>
        <w:t>s</w:t>
      </w:r>
      <w:r w:rsidRPr="001D350D">
        <w:t xml:space="preserve">: </w:t>
      </w:r>
      <w:r>
        <w:t>Departments of Economic Development, Jobs, Transport and Resources,</w:t>
      </w:r>
      <w:r w:rsidRPr="001D350D">
        <w:t xml:space="preserve"> and Treasury and Finance</w:t>
      </w:r>
    </w:p>
    <w:p w:rsidR="00B03921" w:rsidRDefault="00B03921" w:rsidP="00016914">
      <w:pPr>
        <w:pStyle w:val="Notes"/>
      </w:pPr>
      <w:r w:rsidRPr="00B0679B">
        <w:t>Notes:</w:t>
      </w:r>
    </w:p>
    <w:p w:rsidR="00B03921" w:rsidRDefault="00B03921" w:rsidP="00016914">
      <w:pPr>
        <w:pStyle w:val="Notes"/>
      </w:pPr>
      <w:r w:rsidRPr="00C71C6A">
        <w:t>(a)</w:t>
      </w:r>
      <w:r w:rsidRPr="00C71C6A">
        <w:tab/>
        <w:t>Figures for the 2014-15 revised reflect actuals for the</w:t>
      </w:r>
      <w:r>
        <w:t xml:space="preserve"> Department of Transport, Planning and Local Infrastructure</w:t>
      </w:r>
      <w:r w:rsidRPr="00AE5AA5">
        <w:t xml:space="preserve"> as at 31 December 2014. This department ceased to operate from 1 January 2015 and its functions</w:t>
      </w:r>
      <w:r>
        <w:t xml:space="preserve"> were</w:t>
      </w:r>
      <w:r w:rsidRPr="00AE5AA5">
        <w:t xml:space="preserve"> tran</w:t>
      </w:r>
      <w:r>
        <w:t>sferred to other departments</w:t>
      </w:r>
      <w:r w:rsidRPr="00AE5AA5">
        <w:t>. The budget for the functions transferred to other departments is included in the revised estimates of those departments.</w:t>
      </w:r>
    </w:p>
    <w:p w:rsidR="00B03921" w:rsidRDefault="00B03921" w:rsidP="00016914">
      <w:pPr>
        <w:pStyle w:val="Notes"/>
      </w:pPr>
      <w:r w:rsidRPr="00B0679B">
        <w:t xml:space="preserve">(b) </w:t>
      </w:r>
      <w:r>
        <w:tab/>
      </w:r>
      <w:r w:rsidRPr="00DF610E">
        <w:t>No budget is available for 2015-16 as this department ceased operations from 1 January 2015 and its function</w:t>
      </w:r>
      <w:r>
        <w:t>s were transferred to other departments</w:t>
      </w:r>
      <w:r w:rsidRPr="00DF610E">
        <w:t>. The budget for the functions transferred to other departments is included in the estimates of those departments.</w:t>
      </w:r>
    </w:p>
    <w:p w:rsidR="00B03921" w:rsidRDefault="00B03921" w:rsidP="00016914">
      <w:pPr>
        <w:pStyle w:val="Notes"/>
      </w:pPr>
      <w:r>
        <w:t>(c)</w:t>
      </w:r>
      <w:r>
        <w:tab/>
        <w:t>Figures have been restated to better reflect the nature of related cash flows.</w:t>
      </w:r>
    </w:p>
    <w:p w:rsidR="00B03921" w:rsidRDefault="00B03921">
      <w:pPr>
        <w:spacing w:after="0"/>
        <w:rPr>
          <w:rFonts w:ascii="Calibri" w:hAnsi="Calibri"/>
          <w:b/>
        </w:rPr>
      </w:pPr>
      <w:r>
        <w:br w:type="page"/>
      </w:r>
    </w:p>
    <w:p w:rsidR="00B03921" w:rsidRDefault="00B03921" w:rsidP="00016914">
      <w:pPr>
        <w:pStyle w:val="Tableheading"/>
      </w:pPr>
      <w:r>
        <w:t>Table 3.11.4:</w:t>
      </w:r>
      <w:r>
        <w:tab/>
        <w:t>Statement of changes in equity</w:t>
      </w:r>
    </w:p>
    <w:p w:rsidR="00B03921" w:rsidRPr="00FE4FB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002"/>
        <w:gridCol w:w="788"/>
        <w:gridCol w:w="853"/>
        <w:gridCol w:w="1232"/>
        <w:gridCol w:w="1133"/>
        <w:gridCol w:w="812"/>
        <w:gridCol w:w="940"/>
      </w:tblGrid>
      <w:tr w:rsidR="00B03921" w:rsidRPr="00FE4FB8" w:rsidTr="00016914">
        <w:tc>
          <w:tcPr>
            <w:tcW w:w="2002" w:type="dxa"/>
            <w:tcBorders>
              <w:top w:val="single" w:sz="6" w:space="0" w:color="auto"/>
              <w:left w:val="single" w:sz="6" w:space="0" w:color="auto"/>
              <w:bottom w:val="single" w:sz="6" w:space="0" w:color="auto"/>
              <w:right w:val="nil"/>
            </w:tcBorders>
            <w:shd w:val="clear" w:color="000000" w:fill="000000"/>
          </w:tcPr>
          <w:p w:rsidR="00B03921" w:rsidRPr="00FE4FB8" w:rsidRDefault="00B03921" w:rsidP="00016914">
            <w:pPr>
              <w:pStyle w:val="Tabletext"/>
              <w:rPr>
                <w:rFonts w:eastAsiaTheme="minorEastAsia"/>
                <w:lang w:eastAsia="en-AU"/>
              </w:rPr>
            </w:pPr>
            <w:r w:rsidRPr="00FE4FB8">
              <w:rPr>
                <w:rFonts w:eastAsiaTheme="minorEastAsia"/>
                <w:lang w:eastAsia="en-AU"/>
              </w:rPr>
              <w:t xml:space="preserve"> </w:t>
            </w:r>
          </w:p>
        </w:tc>
        <w:tc>
          <w:tcPr>
            <w:tcW w:w="1641" w:type="dxa"/>
            <w:gridSpan w:val="2"/>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Accumulated surplus/(deficit)</w:t>
            </w:r>
          </w:p>
        </w:tc>
        <w:tc>
          <w:tcPr>
            <w:tcW w:w="1232"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Contributions by owner</w:t>
            </w:r>
          </w:p>
        </w:tc>
        <w:tc>
          <w:tcPr>
            <w:tcW w:w="1133"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Revaluation surplus</w:t>
            </w:r>
          </w:p>
        </w:tc>
        <w:tc>
          <w:tcPr>
            <w:tcW w:w="812" w:type="dxa"/>
            <w:tcBorders>
              <w:top w:val="single" w:sz="6" w:space="0" w:color="auto"/>
              <w:left w:val="nil"/>
              <w:bottom w:val="single" w:sz="6" w:space="0" w:color="auto"/>
              <w:right w:val="nil"/>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Other reserves</w:t>
            </w:r>
          </w:p>
        </w:tc>
        <w:tc>
          <w:tcPr>
            <w:tcW w:w="940" w:type="dxa"/>
            <w:tcBorders>
              <w:top w:val="single" w:sz="6" w:space="0" w:color="auto"/>
              <w:left w:val="nil"/>
              <w:bottom w:val="single" w:sz="6" w:space="0" w:color="auto"/>
              <w:right w:val="single" w:sz="6" w:space="0" w:color="auto"/>
            </w:tcBorders>
            <w:shd w:val="clear" w:color="000000" w:fill="000000"/>
          </w:tcPr>
          <w:p w:rsidR="00B03921" w:rsidRPr="00FE4FB8" w:rsidRDefault="00B03921" w:rsidP="00016914">
            <w:pPr>
              <w:pStyle w:val="Tabletextheading"/>
              <w:rPr>
                <w:rFonts w:eastAsiaTheme="minorEastAsia"/>
                <w:iCs/>
                <w:color w:val="FFFFFF"/>
                <w:lang w:eastAsia="en-AU"/>
              </w:rPr>
            </w:pPr>
            <w:r w:rsidRPr="00FE4FB8">
              <w:rPr>
                <w:rFonts w:eastAsiaTheme="minorEastAsia"/>
                <w:iCs/>
                <w:color w:val="FFFFFF"/>
                <w:lang w:eastAsia="en-AU"/>
              </w:rPr>
              <w:t xml:space="preserve">Total equity </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Opening balance 1 July 2013</w:t>
            </w:r>
          </w:p>
        </w:tc>
        <w:tc>
          <w:tcPr>
            <w:tcW w:w="85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16 895.8</w:t>
            </w:r>
          </w:p>
        </w:tc>
        <w:tc>
          <w:tcPr>
            <w:tcW w:w="123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16 472.3</w:t>
            </w:r>
          </w:p>
        </w:tc>
        <w:tc>
          <w:tcPr>
            <w:tcW w:w="113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13 298.4</w:t>
            </w:r>
          </w:p>
        </w:tc>
        <w:tc>
          <w:tcPr>
            <w:tcW w:w="81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46 666.4</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5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70.2</w:t>
            </w:r>
          </w:p>
        </w:tc>
        <w:tc>
          <w:tcPr>
            <w:tcW w:w="123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3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135.7</w:t>
            </w:r>
          </w:p>
        </w:tc>
        <w:tc>
          <w:tcPr>
            <w:tcW w:w="81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205.9</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5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213.3</w:t>
            </w:r>
          </w:p>
        </w:tc>
        <w:tc>
          <w:tcPr>
            <w:tcW w:w="113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213.3</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Closing balance 30 June 2014 (actual)</w:t>
            </w:r>
          </w:p>
        </w:tc>
        <w:tc>
          <w:tcPr>
            <w:tcW w:w="85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16 965.9</w:t>
            </w:r>
          </w:p>
        </w:tc>
        <w:tc>
          <w:tcPr>
            <w:tcW w:w="123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16 685.6</w:t>
            </w:r>
          </w:p>
        </w:tc>
        <w:tc>
          <w:tcPr>
            <w:tcW w:w="113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13 434.2</w:t>
            </w:r>
          </w:p>
        </w:tc>
        <w:tc>
          <w:tcPr>
            <w:tcW w:w="81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47 085.7</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5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181.5</w:t>
            </w:r>
          </w:p>
        </w:tc>
        <w:tc>
          <w:tcPr>
            <w:tcW w:w="123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3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3 922.2</w:t>
            </w:r>
          </w:p>
        </w:tc>
        <w:tc>
          <w:tcPr>
            <w:tcW w:w="81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4 103.7</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5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668.1</w:t>
            </w:r>
          </w:p>
        </w:tc>
        <w:tc>
          <w:tcPr>
            <w:tcW w:w="113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668.1</w:t>
            </w:r>
          </w:p>
        </w:tc>
      </w:tr>
      <w:tr w:rsidR="00B03921" w:rsidRPr="00FE4FB8" w:rsidTr="00016914">
        <w:tc>
          <w:tcPr>
            <w:tcW w:w="2790" w:type="dxa"/>
            <w:gridSpan w:val="2"/>
            <w:tcBorders>
              <w:top w:val="single" w:sz="6" w:space="0" w:color="auto"/>
              <w:left w:val="nil"/>
              <w:bottom w:val="nil"/>
              <w:right w:val="nil"/>
            </w:tcBorders>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30 June 2015 (budget)</w:t>
            </w:r>
            <w:r w:rsidRPr="00FE4FB8">
              <w:rPr>
                <w:rFonts w:eastAsiaTheme="minorEastAsia"/>
                <w:b/>
                <w:bCs/>
                <w:vertAlign w:val="superscript"/>
                <w:lang w:eastAsia="en-AU"/>
              </w:rPr>
              <w:t>(a)</w:t>
            </w:r>
          </w:p>
        </w:tc>
        <w:tc>
          <w:tcPr>
            <w:tcW w:w="85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17 147.4</w:t>
            </w:r>
          </w:p>
        </w:tc>
        <w:tc>
          <w:tcPr>
            <w:tcW w:w="123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17 353.7</w:t>
            </w:r>
          </w:p>
        </w:tc>
        <w:tc>
          <w:tcPr>
            <w:tcW w:w="1133"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17 356.4</w:t>
            </w:r>
          </w:p>
        </w:tc>
        <w:tc>
          <w:tcPr>
            <w:tcW w:w="812"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40" w:type="dxa"/>
            <w:tcBorders>
              <w:top w:val="single" w:sz="6" w:space="0" w:color="auto"/>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51 857.5</w:t>
            </w:r>
          </w:p>
        </w:tc>
      </w:tr>
      <w:tr w:rsidR="00B03921" w:rsidRPr="00FE4FB8" w:rsidTr="00016914">
        <w:tc>
          <w:tcPr>
            <w:tcW w:w="2790" w:type="dxa"/>
            <w:gridSpan w:val="2"/>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Comprehensive result</w:t>
            </w:r>
          </w:p>
        </w:tc>
        <w:tc>
          <w:tcPr>
            <w:tcW w:w="85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65.8</w:t>
            </w:r>
          </w:p>
        </w:tc>
        <w:tc>
          <w:tcPr>
            <w:tcW w:w="123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133"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w:t>
            </w:r>
          </w:p>
        </w:tc>
        <w:tc>
          <w:tcPr>
            <w:tcW w:w="81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nil"/>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65.8</w:t>
            </w:r>
          </w:p>
        </w:tc>
      </w:tr>
      <w:tr w:rsidR="00B03921" w:rsidRPr="00FE4FB8" w:rsidTr="00016914">
        <w:tc>
          <w:tcPr>
            <w:tcW w:w="2790" w:type="dxa"/>
            <w:gridSpan w:val="2"/>
            <w:tcBorders>
              <w:top w:val="nil"/>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Transactions with owners in their capacity as owners</w:t>
            </w:r>
          </w:p>
        </w:tc>
        <w:tc>
          <w:tcPr>
            <w:tcW w:w="853"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232"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244.7</w:t>
            </w:r>
          </w:p>
        </w:tc>
        <w:tc>
          <w:tcPr>
            <w:tcW w:w="1133"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12" w:type="dxa"/>
            <w:tcBorders>
              <w:top w:val="nil"/>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940" w:type="dxa"/>
            <w:tcBorders>
              <w:top w:val="nil"/>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244.7</w:t>
            </w:r>
          </w:p>
        </w:tc>
      </w:tr>
      <w:tr w:rsidR="00B03921" w:rsidRPr="00FE4FB8" w:rsidTr="00016914">
        <w:tc>
          <w:tcPr>
            <w:tcW w:w="279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vertAlign w:val="superscript"/>
                <w:lang w:eastAsia="en-AU"/>
              </w:rPr>
            </w:pPr>
            <w:r w:rsidRPr="00FE4FB8">
              <w:rPr>
                <w:rFonts w:eastAsiaTheme="minorEastAsia"/>
                <w:b/>
                <w:bCs/>
                <w:lang w:eastAsia="en-AU"/>
              </w:rPr>
              <w:t>Closing balance 31 December 2014 (actual)</w:t>
            </w:r>
            <w:r w:rsidRPr="00FE4FB8">
              <w:rPr>
                <w:rFonts w:eastAsiaTheme="minorEastAsia"/>
                <w:b/>
                <w:bCs/>
                <w:vertAlign w:val="superscript"/>
                <w:lang w:eastAsia="en-AU"/>
              </w:rPr>
              <w:t>(b)</w:t>
            </w:r>
          </w:p>
        </w:tc>
        <w:tc>
          <w:tcPr>
            <w:tcW w:w="853"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17 031.7</w:t>
            </w:r>
          </w:p>
        </w:tc>
        <w:tc>
          <w:tcPr>
            <w:tcW w:w="1232"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16 930.3</w:t>
            </w:r>
          </w:p>
        </w:tc>
        <w:tc>
          <w:tcPr>
            <w:tcW w:w="1133"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13 434.2</w:t>
            </w:r>
          </w:p>
        </w:tc>
        <w:tc>
          <w:tcPr>
            <w:tcW w:w="812"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47 396.2</w:t>
            </w:r>
          </w:p>
        </w:tc>
      </w:tr>
    </w:tbl>
    <w:p w:rsidR="00B03921" w:rsidRDefault="00B03921" w:rsidP="00016914">
      <w:pPr>
        <w:pStyle w:val="Source"/>
      </w:pPr>
      <w:r w:rsidRPr="001D350D">
        <w:t>Source</w:t>
      </w:r>
      <w:r>
        <w:t>s</w:t>
      </w:r>
      <w:r w:rsidRPr="001D350D">
        <w:t xml:space="preserve">: </w:t>
      </w:r>
      <w:r>
        <w:t>Departments of Economic Development, Jobs, Transport and Resources,</w:t>
      </w:r>
      <w:r w:rsidRPr="001D350D">
        <w:t xml:space="preserve"> and Treasury and Finance</w:t>
      </w:r>
    </w:p>
    <w:p w:rsidR="00B03921" w:rsidRPr="00ED1492" w:rsidRDefault="00B03921" w:rsidP="00016914">
      <w:pPr>
        <w:pStyle w:val="Notes"/>
      </w:pPr>
      <w:r w:rsidRPr="00ED1492">
        <w:t>Note</w:t>
      </w:r>
      <w:r>
        <w:t>s</w:t>
      </w:r>
      <w:r w:rsidRPr="00ED1492">
        <w:t>:</w:t>
      </w:r>
    </w:p>
    <w:p w:rsidR="00B03921" w:rsidRDefault="00B03921" w:rsidP="00016914">
      <w:pPr>
        <w:pStyle w:val="Notes"/>
      </w:pPr>
      <w:r w:rsidRPr="00ED1492">
        <w:t>(a)</w:t>
      </w:r>
      <w:r w:rsidRPr="00ED1492">
        <w:tab/>
      </w:r>
      <w:r>
        <w:t xml:space="preserve">The 2014-15 budget figures have been restated to reflect </w:t>
      </w:r>
      <w:r w:rsidRPr="00B21426">
        <w:t>the 2013-14 actual closing balance</w:t>
      </w:r>
      <w:r>
        <w:t>s</w:t>
      </w:r>
      <w:r w:rsidRPr="00B21426">
        <w:t>.</w:t>
      </w:r>
    </w:p>
    <w:p w:rsidR="00B03921" w:rsidRDefault="00B03921" w:rsidP="00016914">
      <w:pPr>
        <w:pStyle w:val="Notes"/>
      </w:pPr>
      <w:r>
        <w:t>(b)</w:t>
      </w:r>
      <w:r>
        <w:tab/>
      </w:r>
      <w:r w:rsidRPr="00ED1492">
        <w:t>The Department of Transport, Planning and Local Infrastructure ceased to operate from 1 January 2015 and its f</w:t>
      </w:r>
      <w:r>
        <w:t>unctions were transferred to other departments.</w:t>
      </w:r>
    </w:p>
    <w:p w:rsidR="00B03921" w:rsidRDefault="00B03921" w:rsidP="00016914">
      <w:pPr>
        <w:pStyle w:val="million"/>
      </w:pPr>
    </w:p>
    <w:p w:rsidR="00B03921" w:rsidRDefault="00B03921" w:rsidP="00016914">
      <w:pPr>
        <w:pStyle w:val="million"/>
      </w:pP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3.11.5:</w:t>
      </w:r>
      <w:r>
        <w:tab/>
        <w:t>Administered items statement</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091"/>
        <w:gridCol w:w="140"/>
        <w:gridCol w:w="770"/>
        <w:gridCol w:w="923"/>
        <w:gridCol w:w="952"/>
        <w:gridCol w:w="884"/>
      </w:tblGrid>
      <w:tr w:rsidR="00836A8A" w:rsidRPr="00FE4FB8" w:rsidTr="001037D3">
        <w:trPr>
          <w:cantSplit/>
          <w:trHeight w:val="503"/>
          <w:tblHeader/>
        </w:trPr>
        <w:tc>
          <w:tcPr>
            <w:tcW w:w="4091" w:type="dxa"/>
            <w:tcBorders>
              <w:top w:val="single" w:sz="6" w:space="0" w:color="auto"/>
              <w:left w:val="single" w:sz="6" w:space="0" w:color="auto"/>
              <w:right w:val="nil"/>
            </w:tcBorders>
            <w:shd w:val="clear" w:color="000000" w:fill="000000"/>
          </w:tcPr>
          <w:p w:rsidR="00836A8A" w:rsidRPr="00FE4FB8" w:rsidRDefault="00836A8A" w:rsidP="00016914">
            <w:pPr>
              <w:pStyle w:val="Tabletext"/>
              <w:rPr>
                <w:rFonts w:eastAsiaTheme="minorEastAsia"/>
                <w:lang w:eastAsia="en-AU"/>
              </w:rPr>
            </w:pPr>
          </w:p>
        </w:tc>
        <w:tc>
          <w:tcPr>
            <w:tcW w:w="910" w:type="dxa"/>
            <w:gridSpan w:val="2"/>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lang w:eastAsia="en-AU"/>
              </w:rPr>
            </w:pPr>
            <w:r w:rsidRPr="00FE4FB8">
              <w:rPr>
                <w:rFonts w:eastAsiaTheme="minorEastAsia"/>
                <w:iCs/>
                <w:color w:val="FFFFFF"/>
                <w:lang w:eastAsia="en-AU"/>
              </w:rPr>
              <w:t>2013-14</w:t>
            </w:r>
            <w:r>
              <w:rPr>
                <w:rFonts w:eastAsiaTheme="minorEastAsia"/>
                <w:iCs/>
                <w:color w:val="FFFFFF"/>
                <w:lang w:eastAsia="en-AU"/>
              </w:rPr>
              <w:t xml:space="preserve"> </w:t>
            </w:r>
            <w:r w:rsidRPr="00FE4FB8">
              <w:rPr>
                <w:rFonts w:eastAsiaTheme="minorEastAsia"/>
                <w:iCs/>
                <w:color w:val="FFFFFF"/>
                <w:lang w:eastAsia="en-AU"/>
              </w:rPr>
              <w:t>actual</w:t>
            </w:r>
          </w:p>
        </w:tc>
        <w:tc>
          <w:tcPr>
            <w:tcW w:w="923"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(a)</w:t>
            </w:r>
          </w:p>
        </w:tc>
        <w:tc>
          <w:tcPr>
            <w:tcW w:w="952"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iCs/>
                <w:color w:val="FFFFFF"/>
                <w:lang w:eastAsia="en-AU"/>
              </w:rPr>
            </w:pPr>
            <w:r w:rsidRPr="00FE4FB8">
              <w:rPr>
                <w:rFonts w:eastAsiaTheme="minorEastAsia"/>
                <w:iCs/>
                <w:color w:val="FFFFFF"/>
                <w:lang w:eastAsia="en-AU"/>
              </w:rPr>
              <w:t>2014-15</w:t>
            </w:r>
            <w:r>
              <w:rPr>
                <w:rFonts w:eastAsiaTheme="minorEastAsia"/>
                <w:iCs/>
                <w:color w:val="FFFFFF"/>
                <w:lang w:eastAsia="en-AU"/>
              </w:rPr>
              <w:t xml:space="preserve"> </w:t>
            </w:r>
            <w:r w:rsidRPr="00FE4FB8">
              <w:rPr>
                <w:rFonts w:eastAsiaTheme="minorEastAsia"/>
                <w:iCs/>
                <w:color w:val="FFFFFF"/>
                <w:lang w:eastAsia="en-AU"/>
              </w:rPr>
              <w:t>revised</w:t>
            </w:r>
            <w:r w:rsidRPr="00FE4FB8">
              <w:rPr>
                <w:rFonts w:eastAsiaTheme="minorEastAsia"/>
                <w:iCs/>
                <w:color w:val="FFFFFF"/>
                <w:vertAlign w:val="superscript"/>
                <w:lang w:eastAsia="en-AU"/>
              </w:rPr>
              <w:t>(b)</w:t>
            </w:r>
          </w:p>
        </w:tc>
        <w:tc>
          <w:tcPr>
            <w:tcW w:w="884" w:type="dxa"/>
            <w:tcBorders>
              <w:top w:val="single" w:sz="6" w:space="0" w:color="auto"/>
              <w:left w:val="nil"/>
              <w:right w:val="single" w:sz="6" w:space="0" w:color="auto"/>
            </w:tcBorders>
            <w:shd w:val="clear" w:color="000000" w:fill="000000"/>
          </w:tcPr>
          <w:p w:rsidR="00836A8A" w:rsidRPr="00FE4FB8" w:rsidRDefault="00836A8A" w:rsidP="00836A8A">
            <w:pPr>
              <w:pStyle w:val="Tabletextheading"/>
              <w:rPr>
                <w:rFonts w:eastAsiaTheme="minorEastAsia"/>
                <w:iCs/>
                <w:color w:val="FFFFFF"/>
                <w:lang w:eastAsia="en-AU"/>
              </w:rPr>
            </w:pPr>
            <w:r w:rsidRPr="00FE4FB8">
              <w:rPr>
                <w:rFonts w:eastAsiaTheme="minorEastAsia"/>
                <w:iCs/>
                <w:color w:val="FFFFFF"/>
                <w:lang w:eastAsia="en-AU"/>
              </w:rPr>
              <w:t>2015-16</w:t>
            </w:r>
            <w:r>
              <w:rPr>
                <w:rFonts w:eastAsiaTheme="minorEastAsia"/>
                <w:iCs/>
                <w:color w:val="FFFFFF"/>
                <w:lang w:eastAsia="en-AU"/>
              </w:rPr>
              <w:t xml:space="preserve"> </w:t>
            </w:r>
            <w:r w:rsidRPr="00FE4FB8">
              <w:rPr>
                <w:rFonts w:eastAsiaTheme="minorEastAsia"/>
                <w:iCs/>
                <w:color w:val="FFFFFF"/>
                <w:lang w:eastAsia="en-AU"/>
              </w:rPr>
              <w:t>budget</w:t>
            </w:r>
            <w:r w:rsidRPr="00FE4FB8">
              <w:rPr>
                <w:rFonts w:eastAsiaTheme="minorEastAsia"/>
                <w:iCs/>
                <w:color w:val="FFFFFF"/>
                <w:vertAlign w:val="superscript"/>
                <w:lang w:eastAsia="en-AU"/>
              </w:rPr>
              <w:t>(c)</w:t>
            </w:r>
          </w:p>
        </w:tc>
      </w:tr>
      <w:tr w:rsidR="00836A8A" w:rsidRPr="00FE4FB8" w:rsidTr="001037D3">
        <w:trPr>
          <w:cantSplit/>
        </w:trPr>
        <w:tc>
          <w:tcPr>
            <w:tcW w:w="7760" w:type="dxa"/>
            <w:gridSpan w:val="6"/>
            <w:tcBorders>
              <w:top w:val="single" w:sz="6" w:space="0" w:color="auto"/>
              <w:left w:val="nil"/>
              <w:bottom w:val="nil"/>
              <w:right w:val="nil"/>
            </w:tcBorders>
          </w:tcPr>
          <w:p w:rsidR="00836A8A" w:rsidRPr="00FE4FB8" w:rsidRDefault="00836A8A" w:rsidP="00836A8A">
            <w:pPr>
              <w:pStyle w:val="Tabletext"/>
              <w:rPr>
                <w:rFonts w:eastAsiaTheme="minorEastAsia"/>
                <w:b/>
                <w:lang w:eastAsia="en-AU"/>
              </w:rPr>
            </w:pPr>
            <w:r w:rsidRPr="00FE4FB8">
              <w:rPr>
                <w:rFonts w:eastAsiaTheme="minorEastAsia"/>
                <w:b/>
                <w:bCs/>
                <w:lang w:eastAsia="en-AU"/>
              </w:rPr>
              <w:t>Administered income</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Appropriations – payments made on behalf of the State</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0.2</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Sale of goods and services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460.2</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438.6</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244.9</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300.2</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570.4</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271.3</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income</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2 077.2</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2 269.7</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1 150.1</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income</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2 837.7</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3 279.6</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1 666.3</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836A8A" w:rsidRPr="00FE4FB8" w:rsidTr="001037D3">
        <w:trPr>
          <w:cantSplit/>
          <w:trHeight w:hRule="exact" w:val="120"/>
        </w:trPr>
        <w:tc>
          <w:tcPr>
            <w:tcW w:w="7760" w:type="dxa"/>
            <w:gridSpan w:val="6"/>
            <w:tcBorders>
              <w:top w:val="nil"/>
              <w:left w:val="nil"/>
              <w:bottom w:val="nil"/>
              <w:right w:val="nil"/>
            </w:tcBorders>
          </w:tcPr>
          <w:p w:rsidR="00836A8A" w:rsidRPr="00FE4FB8" w:rsidRDefault="00836A8A" w:rsidP="00836A8A">
            <w:pPr>
              <w:pStyle w:val="Tabletext"/>
              <w:rPr>
                <w:rFonts w:eastAsiaTheme="minorEastAsia"/>
                <w:lang w:eastAsia="en-AU"/>
              </w:rPr>
            </w:pPr>
          </w:p>
        </w:tc>
      </w:tr>
      <w:tr w:rsidR="00836A8A" w:rsidRPr="00FE4FB8" w:rsidTr="001037D3">
        <w:trPr>
          <w:cantSplit/>
        </w:trPr>
        <w:tc>
          <w:tcPr>
            <w:tcW w:w="7760" w:type="dxa"/>
            <w:gridSpan w:val="6"/>
            <w:tcBorders>
              <w:top w:val="nil"/>
              <w:left w:val="nil"/>
              <w:bottom w:val="nil"/>
              <w:right w:val="nil"/>
            </w:tcBorders>
          </w:tcPr>
          <w:p w:rsidR="00836A8A" w:rsidRPr="00FE4FB8" w:rsidRDefault="00836A8A" w:rsidP="00836A8A">
            <w:pPr>
              <w:pStyle w:val="Tabletext"/>
              <w:rPr>
                <w:rFonts w:eastAsiaTheme="minorEastAsia"/>
                <w:b/>
                <w:lang w:eastAsia="en-AU"/>
              </w:rPr>
            </w:pPr>
            <w:r w:rsidRPr="00FE4FB8">
              <w:rPr>
                <w:rFonts w:eastAsiaTheme="minorEastAsia"/>
                <w:b/>
                <w:bCs/>
                <w:lang w:eastAsia="en-AU"/>
              </w:rPr>
              <w:t>Administered expenses</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Expenses on behalf of the State</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32.1</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49.9</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16.2</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Grants and other transfers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300.2</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571.3</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271.5</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Payments into the Consolidated Fund</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2 484.5</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2 662.5</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1 466.7</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expenses</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2 816.9</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3 283.7</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1 754.5</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Income less expenses</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20.8</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(4.1)</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(88.2)</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836A8A" w:rsidRPr="00FE4FB8" w:rsidTr="001037D3">
        <w:trPr>
          <w:cantSplit/>
        </w:trPr>
        <w:tc>
          <w:tcPr>
            <w:tcW w:w="7760" w:type="dxa"/>
            <w:gridSpan w:val="6"/>
            <w:tcBorders>
              <w:top w:val="nil"/>
              <w:left w:val="nil"/>
              <w:bottom w:val="nil"/>
              <w:right w:val="nil"/>
            </w:tcBorders>
          </w:tcPr>
          <w:p w:rsidR="00836A8A" w:rsidRPr="00FE4FB8" w:rsidRDefault="00836A8A" w:rsidP="00836A8A">
            <w:pPr>
              <w:pStyle w:val="Tabletext"/>
              <w:rPr>
                <w:rFonts w:eastAsiaTheme="minorEastAsia"/>
                <w:b/>
                <w:bCs/>
                <w:lang w:eastAsia="en-AU"/>
              </w:rPr>
            </w:pPr>
            <w:r w:rsidRPr="00FE4FB8">
              <w:rPr>
                <w:rFonts w:eastAsiaTheme="minorEastAsia"/>
                <w:b/>
                <w:bCs/>
                <w:lang w:eastAsia="en-AU"/>
              </w:rPr>
              <w:t>Other economic flows included in net result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Other gains/(losses) from other economic flows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(15.0)</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(14.2)</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Pr>
                <w:rFonts w:eastAsiaTheme="minorEastAsia"/>
                <w:lang w:eastAsia="en-AU"/>
              </w:rPr>
              <w:t>(7.7)</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231" w:type="dxa"/>
            <w:gridSpan w:val="2"/>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included in net result</w:t>
            </w:r>
          </w:p>
        </w:tc>
        <w:tc>
          <w:tcPr>
            <w:tcW w:w="77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(15.0)</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(14.2)</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(7.7)</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cantSplit/>
        </w:trPr>
        <w:tc>
          <w:tcPr>
            <w:tcW w:w="4091" w:type="dxa"/>
            <w:tcBorders>
              <w:top w:val="single" w:sz="6" w:space="0" w:color="auto"/>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result</w:t>
            </w:r>
          </w:p>
        </w:tc>
        <w:tc>
          <w:tcPr>
            <w:tcW w:w="910" w:type="dxa"/>
            <w:gridSpan w:val="2"/>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5.9</w:t>
            </w:r>
          </w:p>
        </w:tc>
        <w:tc>
          <w:tcPr>
            <w:tcW w:w="923"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(18.3)</w:t>
            </w:r>
          </w:p>
        </w:tc>
        <w:tc>
          <w:tcPr>
            <w:tcW w:w="952"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(95.8)</w:t>
            </w:r>
          </w:p>
        </w:tc>
        <w:tc>
          <w:tcPr>
            <w:tcW w:w="884" w:type="dxa"/>
            <w:tcBorders>
              <w:top w:val="single" w:sz="6" w:space="0" w:color="auto"/>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other economic flows – other comprehensive income</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84.2</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110.9</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cantSplit/>
        </w:trPr>
        <w:tc>
          <w:tcPr>
            <w:tcW w:w="4091" w:type="dxa"/>
            <w:tcBorders>
              <w:top w:val="nil"/>
              <w:left w:val="nil"/>
              <w:bottom w:val="single" w:sz="12"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Comprehensive result</w:t>
            </w:r>
          </w:p>
        </w:tc>
        <w:tc>
          <w:tcPr>
            <w:tcW w:w="910" w:type="dxa"/>
            <w:gridSpan w:val="2"/>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90.1</w:t>
            </w:r>
          </w:p>
        </w:tc>
        <w:tc>
          <w:tcPr>
            <w:tcW w:w="923"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Pr>
                <w:rFonts w:eastAsiaTheme="minorEastAsia"/>
                <w:b/>
                <w:bCs/>
                <w:lang w:eastAsia="en-AU"/>
              </w:rPr>
              <w:t>(18.3)</w:t>
            </w:r>
          </w:p>
        </w:tc>
        <w:tc>
          <w:tcPr>
            <w:tcW w:w="952"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15.1</w:t>
            </w:r>
          </w:p>
        </w:tc>
        <w:tc>
          <w:tcPr>
            <w:tcW w:w="884" w:type="dxa"/>
            <w:tcBorders>
              <w:top w:val="nil"/>
              <w:left w:val="nil"/>
              <w:bottom w:val="single" w:sz="12"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836A8A" w:rsidRPr="00FE4FB8" w:rsidTr="001037D3">
        <w:trPr>
          <w:cantSplit/>
          <w:trHeight w:hRule="exact" w:val="120"/>
        </w:trPr>
        <w:tc>
          <w:tcPr>
            <w:tcW w:w="7760" w:type="dxa"/>
            <w:gridSpan w:val="6"/>
            <w:tcBorders>
              <w:top w:val="nil"/>
              <w:left w:val="nil"/>
              <w:bottom w:val="nil"/>
              <w:right w:val="nil"/>
            </w:tcBorders>
          </w:tcPr>
          <w:p w:rsidR="00836A8A" w:rsidRPr="00FE4FB8" w:rsidRDefault="00836A8A" w:rsidP="00016914">
            <w:pPr>
              <w:pStyle w:val="TableofFigures"/>
              <w:rPr>
                <w:rFonts w:eastAsiaTheme="minorEastAsia"/>
                <w:b/>
                <w:bCs/>
                <w:lang w:eastAsia="en-AU"/>
              </w:rPr>
            </w:pPr>
            <w:r w:rsidRPr="00FE4FB8">
              <w:rPr>
                <w:rFonts w:eastAsiaTheme="minorEastAsia"/>
                <w:b/>
                <w:bCs/>
                <w:lang w:eastAsia="en-AU"/>
              </w:rPr>
              <w:t xml:space="preserve"> </w:t>
            </w:r>
          </w:p>
        </w:tc>
      </w:tr>
      <w:tr w:rsidR="00836A8A" w:rsidRPr="00FE4FB8" w:rsidTr="001037D3">
        <w:trPr>
          <w:cantSplit/>
        </w:trPr>
        <w:tc>
          <w:tcPr>
            <w:tcW w:w="7760" w:type="dxa"/>
            <w:gridSpan w:val="6"/>
            <w:tcBorders>
              <w:top w:val="nil"/>
              <w:left w:val="nil"/>
              <w:bottom w:val="nil"/>
              <w:right w:val="nil"/>
            </w:tcBorders>
          </w:tcPr>
          <w:p w:rsidR="00836A8A" w:rsidRPr="00FE4FB8" w:rsidRDefault="00836A8A" w:rsidP="00836A8A">
            <w:pPr>
              <w:pStyle w:val="Tabletext"/>
              <w:rPr>
                <w:rFonts w:eastAsiaTheme="minorEastAsia"/>
                <w:b/>
                <w:lang w:eastAsia="en-AU"/>
              </w:rPr>
            </w:pPr>
            <w:r w:rsidRPr="00FE4FB8">
              <w:rPr>
                <w:rFonts w:eastAsiaTheme="minorEastAsia"/>
                <w:b/>
                <w:bCs/>
                <w:lang w:eastAsia="en-AU"/>
              </w:rPr>
              <w:t>Administered assets</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Cash and deposits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9.5</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9.5</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Receivables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66.3</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66.3</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assets</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75.7</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75.7</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836A8A" w:rsidRPr="00FE4FB8" w:rsidTr="001037D3">
        <w:trPr>
          <w:cantSplit/>
          <w:trHeight w:hRule="exact" w:val="120"/>
        </w:trPr>
        <w:tc>
          <w:tcPr>
            <w:tcW w:w="7760" w:type="dxa"/>
            <w:gridSpan w:val="6"/>
            <w:tcBorders>
              <w:top w:val="nil"/>
              <w:left w:val="nil"/>
              <w:bottom w:val="nil"/>
              <w:right w:val="nil"/>
            </w:tcBorders>
          </w:tcPr>
          <w:p w:rsidR="00836A8A" w:rsidRPr="00FE4FB8" w:rsidRDefault="00836A8A" w:rsidP="00016914">
            <w:pPr>
              <w:pStyle w:val="TableofFigures"/>
              <w:rPr>
                <w:rFonts w:eastAsiaTheme="minorEastAsia"/>
                <w:lang w:eastAsia="en-AU"/>
              </w:rPr>
            </w:pPr>
          </w:p>
        </w:tc>
      </w:tr>
      <w:tr w:rsidR="00836A8A" w:rsidRPr="00FE4FB8" w:rsidTr="001037D3">
        <w:trPr>
          <w:cantSplit/>
        </w:trPr>
        <w:tc>
          <w:tcPr>
            <w:tcW w:w="7760" w:type="dxa"/>
            <w:gridSpan w:val="6"/>
            <w:tcBorders>
              <w:top w:val="nil"/>
              <w:left w:val="nil"/>
              <w:bottom w:val="nil"/>
              <w:right w:val="nil"/>
            </w:tcBorders>
          </w:tcPr>
          <w:p w:rsidR="00836A8A" w:rsidRPr="00FE4FB8" w:rsidRDefault="00836A8A" w:rsidP="00836A8A">
            <w:pPr>
              <w:pStyle w:val="Tabletext"/>
              <w:rPr>
                <w:rFonts w:eastAsiaTheme="minorEastAsia"/>
                <w:b/>
                <w:lang w:eastAsia="en-AU"/>
              </w:rPr>
            </w:pPr>
            <w:r w:rsidRPr="00FE4FB8">
              <w:rPr>
                <w:rFonts w:eastAsiaTheme="minorEastAsia"/>
                <w:b/>
                <w:bCs/>
                <w:lang w:eastAsia="en-AU"/>
              </w:rPr>
              <w:t>Administered liabilities</w:t>
            </w:r>
          </w:p>
        </w:tc>
      </w:tr>
      <w:tr w:rsidR="00B03921" w:rsidRPr="00FE4FB8" w:rsidTr="00016914">
        <w:trPr>
          <w:cantSplit/>
        </w:trPr>
        <w:tc>
          <w:tcPr>
            <w:tcW w:w="4091" w:type="dxa"/>
            <w:tcBorders>
              <w:top w:val="nil"/>
              <w:left w:val="nil"/>
              <w:bottom w:val="nil"/>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Payables</w:t>
            </w:r>
          </w:p>
        </w:tc>
        <w:tc>
          <w:tcPr>
            <w:tcW w:w="910" w:type="dxa"/>
            <w:gridSpan w:val="2"/>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352.6</w:t>
            </w:r>
          </w:p>
        </w:tc>
        <w:tc>
          <w:tcPr>
            <w:tcW w:w="923"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351.9</w:t>
            </w:r>
          </w:p>
        </w:tc>
        <w:tc>
          <w:tcPr>
            <w:tcW w:w="952"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884" w:type="dxa"/>
            <w:tcBorders>
              <w:top w:val="nil"/>
              <w:left w:val="nil"/>
              <w:bottom w:val="nil"/>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rPr>
          <w:cantSplit/>
        </w:trPr>
        <w:tc>
          <w:tcPr>
            <w:tcW w:w="4091"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 administered liabilities</w:t>
            </w:r>
          </w:p>
        </w:tc>
        <w:tc>
          <w:tcPr>
            <w:tcW w:w="910" w:type="dxa"/>
            <w:gridSpan w:val="2"/>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352.6</w:t>
            </w:r>
          </w:p>
        </w:tc>
        <w:tc>
          <w:tcPr>
            <w:tcW w:w="923"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351.9</w:t>
            </w:r>
          </w:p>
        </w:tc>
        <w:tc>
          <w:tcPr>
            <w:tcW w:w="952"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4"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r w:rsidR="00B03921" w:rsidRPr="00FE4FB8" w:rsidTr="00016914">
        <w:trPr>
          <w:cantSplit/>
        </w:trPr>
        <w:tc>
          <w:tcPr>
            <w:tcW w:w="4091"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Net assets</w:t>
            </w:r>
          </w:p>
        </w:tc>
        <w:tc>
          <w:tcPr>
            <w:tcW w:w="910" w:type="dxa"/>
            <w:gridSpan w:val="2"/>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Pr>
                <w:rFonts w:eastAsiaTheme="minorEastAsia"/>
                <w:b/>
                <w:bCs/>
                <w:lang w:eastAsia="en-AU"/>
              </w:rPr>
              <w:t>(276.8)</w:t>
            </w:r>
          </w:p>
        </w:tc>
        <w:tc>
          <w:tcPr>
            <w:tcW w:w="923"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Pr>
                <w:rFonts w:eastAsiaTheme="minorEastAsia"/>
                <w:b/>
                <w:bCs/>
                <w:lang w:eastAsia="en-AU"/>
              </w:rPr>
              <w:t>(276.1)</w:t>
            </w:r>
          </w:p>
        </w:tc>
        <w:tc>
          <w:tcPr>
            <w:tcW w:w="952"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884"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4F7ADD">
        <w:t xml:space="preserve">Sources: </w:t>
      </w:r>
      <w:r>
        <w:t>Departments of Economic Development, Jobs, Transport and Resources,</w:t>
      </w:r>
      <w:r w:rsidRPr="004F7ADD">
        <w:t xml:space="preserve"> and Treasury and Finance</w:t>
      </w:r>
    </w:p>
    <w:p w:rsidR="00B03921" w:rsidRDefault="00B03921" w:rsidP="00016914">
      <w:pPr>
        <w:pStyle w:val="Notes"/>
      </w:pPr>
      <w:r w:rsidRPr="00B0679B">
        <w:t>Notes:</w:t>
      </w:r>
    </w:p>
    <w:p w:rsidR="00B03921" w:rsidRPr="006F4D96" w:rsidRDefault="00B03921" w:rsidP="00016914">
      <w:pPr>
        <w:pStyle w:val="Notes"/>
      </w:pPr>
      <w:r w:rsidRPr="00B0679B">
        <w:t>(a)</w:t>
      </w:r>
      <w:r>
        <w:tab/>
        <w:t xml:space="preserve">The 2014-15 budget figures have been restated to reflect </w:t>
      </w:r>
      <w:r w:rsidRPr="00B21426">
        <w:t>the 2013-14 actual closing balance</w:t>
      </w:r>
      <w:r>
        <w:t>s</w:t>
      </w:r>
      <w:r w:rsidRPr="00B21426">
        <w:t>.</w:t>
      </w:r>
    </w:p>
    <w:p w:rsidR="00B03921" w:rsidRDefault="00B03921" w:rsidP="00016914">
      <w:pPr>
        <w:pStyle w:val="Notes"/>
      </w:pPr>
      <w:r>
        <w:t>(b)</w:t>
      </w:r>
      <w:r>
        <w:tab/>
      </w:r>
      <w:r w:rsidRPr="00AE5AA5">
        <w:t>Figures for the 2</w:t>
      </w:r>
      <w:r>
        <w:t>014-15 revised reflect actuals</w:t>
      </w:r>
      <w:r w:rsidRPr="00AE5AA5">
        <w:t xml:space="preserve"> for</w:t>
      </w:r>
      <w:r>
        <w:t xml:space="preserve"> the Department of Transport, Planning and Local Infrastructure</w:t>
      </w:r>
      <w:r w:rsidRPr="00AE5AA5">
        <w:t xml:space="preserve"> as at 31 December 2014</w:t>
      </w:r>
      <w:r>
        <w:t xml:space="preserve"> for operating statement items</w:t>
      </w:r>
      <w:r w:rsidRPr="00AE5AA5">
        <w:t>. This department ceased to operate from 1 January 2015 and its functions</w:t>
      </w:r>
      <w:r>
        <w:t xml:space="preserve"> were</w:t>
      </w:r>
      <w:r w:rsidRPr="00AE5AA5">
        <w:t xml:space="preserve"> tran</w:t>
      </w:r>
      <w:r>
        <w:t>sferred to other departments</w:t>
      </w:r>
      <w:r w:rsidRPr="00AE5AA5">
        <w:t>. The budget for the functions transferred to other departments is included in the revised estimates of those departments.</w:t>
      </w:r>
    </w:p>
    <w:p w:rsidR="00B03921" w:rsidRDefault="00B03921" w:rsidP="00016914">
      <w:pPr>
        <w:pStyle w:val="Notes"/>
      </w:pPr>
      <w:r>
        <w:t>(c</w:t>
      </w:r>
      <w:r w:rsidRPr="00B0679B">
        <w:t xml:space="preserve">) </w:t>
      </w:r>
      <w:r>
        <w:tab/>
      </w:r>
      <w:r w:rsidRPr="00DF610E">
        <w:t>No budget is available for 2015-16 as this department ceased operations from 1 January 2015 and its function</w:t>
      </w:r>
      <w:r>
        <w:t>s were transferred to other departments</w:t>
      </w:r>
      <w:r w:rsidRPr="00DF610E">
        <w:t>. The budget for the functions transferred to other departments is included in the estimates of those departments.</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3.11.6:</w:t>
      </w:r>
      <w:r>
        <w:tab/>
        <w:t>Payments made on behalf of the State</w:t>
      </w:r>
    </w:p>
    <w:p w:rsidR="00B03921" w:rsidRPr="00FE4FB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836A8A" w:rsidRPr="00FE4FB8" w:rsidTr="001037D3">
        <w:trPr>
          <w:trHeight w:val="503"/>
          <w:tblHeader/>
        </w:trPr>
        <w:tc>
          <w:tcPr>
            <w:tcW w:w="4640" w:type="dxa"/>
            <w:tcBorders>
              <w:top w:val="single" w:sz="6" w:space="0" w:color="auto"/>
              <w:left w:val="single" w:sz="6" w:space="0" w:color="auto"/>
              <w:right w:val="nil"/>
            </w:tcBorders>
            <w:shd w:val="clear" w:color="000000" w:fill="000000"/>
          </w:tcPr>
          <w:p w:rsidR="00836A8A" w:rsidRDefault="00836A8A" w:rsidP="00016914">
            <w:pPr>
              <w:pStyle w:val="Tabletextheadingleft"/>
              <w:rPr>
                <w:rFonts w:eastAsiaTheme="minorEastAsia"/>
                <w:lang w:eastAsia="en-AU"/>
              </w:rPr>
            </w:pPr>
          </w:p>
          <w:p w:rsidR="00836A8A" w:rsidRPr="00FE4FB8" w:rsidRDefault="00836A8A" w:rsidP="00016914">
            <w:pPr>
              <w:pStyle w:val="Tabletextheadingleft"/>
              <w:rPr>
                <w:rFonts w:eastAsiaTheme="minorEastAsia"/>
                <w:lang w:eastAsia="en-AU"/>
              </w:rPr>
            </w:pPr>
            <w:r w:rsidRPr="00FE4FB8">
              <w:rPr>
                <w:rFonts w:eastAsiaTheme="minorEastAsia"/>
                <w:lang w:eastAsia="en-AU"/>
              </w:rPr>
              <w:t>Accounts</w:t>
            </w:r>
          </w:p>
        </w:tc>
        <w:tc>
          <w:tcPr>
            <w:tcW w:w="1040"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budget</w:t>
            </w:r>
          </w:p>
        </w:tc>
        <w:tc>
          <w:tcPr>
            <w:tcW w:w="1040" w:type="dxa"/>
            <w:tcBorders>
              <w:top w:val="single" w:sz="6" w:space="0" w:color="auto"/>
              <w:left w:val="nil"/>
              <w:right w:val="nil"/>
            </w:tcBorders>
            <w:shd w:val="clear" w:color="000000" w:fill="000000"/>
          </w:tcPr>
          <w:p w:rsidR="00836A8A" w:rsidRPr="00FE4FB8" w:rsidRDefault="00836A8A" w:rsidP="00836A8A">
            <w:pPr>
              <w:pStyle w:val="Tabletextheading"/>
              <w:rPr>
                <w:rFonts w:eastAsiaTheme="minorEastAsia"/>
                <w:color w:val="FFFFFF"/>
                <w:lang w:eastAsia="en-AU"/>
              </w:rPr>
            </w:pPr>
            <w:r w:rsidRPr="00FE4FB8">
              <w:rPr>
                <w:rFonts w:eastAsiaTheme="minorEastAsia"/>
                <w:color w:val="FFFFFF"/>
                <w:lang w:eastAsia="en-AU"/>
              </w:rPr>
              <w:t>2014-15</w:t>
            </w:r>
            <w:r>
              <w:rPr>
                <w:rFonts w:eastAsiaTheme="minorEastAsia"/>
                <w:color w:val="FFFFFF"/>
                <w:lang w:eastAsia="en-AU"/>
              </w:rPr>
              <w:t xml:space="preserve"> </w:t>
            </w:r>
            <w:r w:rsidRPr="00FE4FB8">
              <w:rPr>
                <w:rFonts w:eastAsiaTheme="minorEastAsia"/>
                <w:color w:val="FFFFFF"/>
                <w:lang w:eastAsia="en-AU"/>
              </w:rPr>
              <w:t>revised</w:t>
            </w:r>
            <w:r w:rsidRPr="00FE4FB8">
              <w:rPr>
                <w:rFonts w:eastAsiaTheme="minorEastAsia"/>
                <w:color w:val="FFFFFF"/>
                <w:vertAlign w:val="superscript"/>
                <w:lang w:eastAsia="en-AU"/>
              </w:rPr>
              <w:t>(a)</w:t>
            </w:r>
          </w:p>
        </w:tc>
        <w:tc>
          <w:tcPr>
            <w:tcW w:w="1040" w:type="dxa"/>
            <w:tcBorders>
              <w:top w:val="single" w:sz="6" w:space="0" w:color="auto"/>
              <w:left w:val="nil"/>
              <w:right w:val="single" w:sz="6" w:space="0" w:color="auto"/>
            </w:tcBorders>
            <w:shd w:val="clear" w:color="000000" w:fill="000000"/>
          </w:tcPr>
          <w:p w:rsidR="00836A8A" w:rsidRPr="00FE4FB8" w:rsidRDefault="00836A8A" w:rsidP="00836A8A">
            <w:pPr>
              <w:pStyle w:val="Tabletextheading"/>
              <w:rPr>
                <w:rFonts w:eastAsiaTheme="minorEastAsia"/>
                <w:color w:val="FFFFFF"/>
                <w:lang w:eastAsia="en-AU"/>
              </w:rPr>
            </w:pPr>
            <w:r w:rsidRPr="00FE4FB8">
              <w:rPr>
                <w:rFonts w:eastAsiaTheme="minorEastAsia"/>
                <w:color w:val="FFFFFF"/>
                <w:lang w:eastAsia="en-AU"/>
              </w:rPr>
              <w:t>2015-16</w:t>
            </w:r>
            <w:r>
              <w:rPr>
                <w:rFonts w:eastAsiaTheme="minorEastAsia"/>
                <w:color w:val="FFFFFF"/>
                <w:lang w:eastAsia="en-AU"/>
              </w:rPr>
              <w:t xml:space="preserve"> </w:t>
            </w:r>
            <w:r w:rsidRPr="00FE4FB8">
              <w:rPr>
                <w:rFonts w:eastAsiaTheme="minorEastAsia"/>
                <w:color w:val="FFFFFF"/>
                <w:lang w:eastAsia="en-AU"/>
              </w:rPr>
              <w:t>budget</w:t>
            </w:r>
            <w:r w:rsidRPr="00FE4FB8">
              <w:rPr>
                <w:rFonts w:eastAsiaTheme="minorEastAsia"/>
                <w:color w:val="FFFFFF"/>
                <w:vertAlign w:val="superscript"/>
                <w:lang w:eastAsia="en-AU"/>
              </w:rPr>
              <w:t>(b)</w:t>
            </w:r>
          </w:p>
        </w:tc>
      </w:tr>
      <w:tr w:rsidR="00B03921" w:rsidRPr="00FE4FB8" w:rsidTr="00016914">
        <w:tc>
          <w:tcPr>
            <w:tcW w:w="4640" w:type="dxa"/>
            <w:tcBorders>
              <w:top w:val="single" w:sz="6" w:space="0" w:color="auto"/>
              <w:left w:val="nil"/>
              <w:bottom w:val="single" w:sz="6" w:space="0" w:color="auto"/>
              <w:right w:val="nil"/>
            </w:tcBorders>
          </w:tcPr>
          <w:p w:rsidR="00B03921" w:rsidRPr="00FE4FB8" w:rsidRDefault="00B03921" w:rsidP="00016914">
            <w:pPr>
              <w:pStyle w:val="Tabletext"/>
              <w:rPr>
                <w:rFonts w:eastAsiaTheme="minorEastAsia"/>
                <w:lang w:eastAsia="en-AU"/>
              </w:rPr>
            </w:pPr>
            <w:r w:rsidRPr="00FE4FB8">
              <w:rPr>
                <w:rFonts w:eastAsiaTheme="minorEastAsia"/>
                <w:lang w:eastAsia="en-AU"/>
              </w:rPr>
              <w:t>Anzac Day administered trust</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 xml:space="preserve"> 0.9</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c>
          <w:tcPr>
            <w:tcW w:w="1040" w:type="dxa"/>
            <w:tcBorders>
              <w:top w:val="single" w:sz="6" w:space="0" w:color="auto"/>
              <w:left w:val="nil"/>
              <w:bottom w:val="single" w:sz="6" w:space="0" w:color="auto"/>
              <w:right w:val="nil"/>
            </w:tcBorders>
          </w:tcPr>
          <w:p w:rsidR="00B03921" w:rsidRPr="00FE4FB8" w:rsidRDefault="00B03921" w:rsidP="00016914">
            <w:pPr>
              <w:pStyle w:val="TableofFigures"/>
              <w:rPr>
                <w:rFonts w:eastAsiaTheme="minorEastAsia"/>
                <w:lang w:eastAsia="en-AU"/>
              </w:rPr>
            </w:pPr>
            <w:r w:rsidRPr="00FE4FB8">
              <w:rPr>
                <w:rFonts w:eastAsiaTheme="minorEastAsia"/>
                <w:lang w:eastAsia="en-AU"/>
              </w:rPr>
              <w:t>..</w:t>
            </w:r>
          </w:p>
        </w:tc>
      </w:tr>
      <w:tr w:rsidR="00B03921" w:rsidRPr="00FE4FB8" w:rsidTr="00016914">
        <w:tc>
          <w:tcPr>
            <w:tcW w:w="46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text"/>
              <w:rPr>
                <w:rFonts w:eastAsiaTheme="minorEastAsia"/>
                <w:b/>
                <w:bCs/>
                <w:lang w:eastAsia="en-AU"/>
              </w:rPr>
            </w:pPr>
            <w:r w:rsidRPr="00FE4FB8">
              <w:rPr>
                <w:rFonts w:eastAsiaTheme="minorEastAsia"/>
                <w:b/>
                <w:bCs/>
                <w:lang w:eastAsia="en-AU"/>
              </w:rPr>
              <w:t>Total</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 xml:space="preserve"> 0.9</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c>
          <w:tcPr>
            <w:tcW w:w="1040" w:type="dxa"/>
            <w:tcBorders>
              <w:top w:val="single" w:sz="6" w:space="0" w:color="auto"/>
              <w:left w:val="nil"/>
              <w:bottom w:val="single" w:sz="12" w:space="0" w:color="000000"/>
              <w:right w:val="nil"/>
            </w:tcBorders>
            <w:shd w:val="clear" w:color="auto" w:fill="auto"/>
          </w:tcPr>
          <w:p w:rsidR="00B03921" w:rsidRPr="00FE4FB8" w:rsidRDefault="00B03921" w:rsidP="00016914">
            <w:pPr>
              <w:pStyle w:val="TableofFigures"/>
              <w:rPr>
                <w:rFonts w:eastAsiaTheme="minorEastAsia"/>
                <w:b/>
                <w:bCs/>
                <w:lang w:eastAsia="en-AU"/>
              </w:rPr>
            </w:pPr>
            <w:r w:rsidRPr="00FE4FB8">
              <w:rPr>
                <w:rFonts w:eastAsiaTheme="minorEastAsia"/>
                <w:b/>
                <w:bCs/>
                <w:lang w:eastAsia="en-AU"/>
              </w:rPr>
              <w:t>..</w:t>
            </w:r>
          </w:p>
        </w:tc>
      </w:tr>
    </w:tbl>
    <w:p w:rsidR="00B03921" w:rsidRDefault="00B03921" w:rsidP="00016914">
      <w:pPr>
        <w:pStyle w:val="Source"/>
      </w:pPr>
      <w:r w:rsidRPr="004F7ADD">
        <w:t xml:space="preserve">Sources: </w:t>
      </w:r>
      <w:r>
        <w:t>Departments of Economic Development, Jobs, Transport and Resources,</w:t>
      </w:r>
      <w:r w:rsidRPr="004F7ADD">
        <w:t xml:space="preserve"> and Treasury and Finance</w:t>
      </w:r>
    </w:p>
    <w:p w:rsidR="00B03921" w:rsidRDefault="00B03921" w:rsidP="00016914">
      <w:pPr>
        <w:pStyle w:val="Notes"/>
      </w:pPr>
      <w:r w:rsidRPr="00B0679B">
        <w:t>Notes:</w:t>
      </w:r>
    </w:p>
    <w:p w:rsidR="00B03921" w:rsidRDefault="00B03921" w:rsidP="00016914">
      <w:pPr>
        <w:pStyle w:val="Notes"/>
      </w:pPr>
      <w:r w:rsidRPr="00B0679B">
        <w:t>(a)</w:t>
      </w:r>
      <w:r>
        <w:tab/>
      </w:r>
      <w:r w:rsidRPr="00DF610E">
        <w:t>This department ceased to operate from 1 January 2015 and its functions tran</w:t>
      </w:r>
      <w:r>
        <w:t>sferred to other departments</w:t>
      </w:r>
      <w:r w:rsidRPr="00DF610E">
        <w:t>. The budget for the functions</w:t>
      </w:r>
      <w:r>
        <w:t xml:space="preserve"> </w:t>
      </w:r>
      <w:r w:rsidRPr="00DF610E">
        <w:t>transferred to other departments is included in the revised estimates of those departments.</w:t>
      </w:r>
    </w:p>
    <w:p w:rsidR="00B03921" w:rsidRDefault="00B03921" w:rsidP="00016914">
      <w:pPr>
        <w:pStyle w:val="Notes"/>
      </w:pPr>
      <w:r w:rsidRPr="00B0679B">
        <w:t xml:space="preserve">(b) </w:t>
      </w:r>
      <w:r>
        <w:tab/>
      </w:r>
      <w:r w:rsidRPr="00DF610E">
        <w:t xml:space="preserve">No budget is available for 2015-16 as this department ceased operations from 1 January 2015 and its functions </w:t>
      </w:r>
      <w:r>
        <w:t xml:space="preserve">were </w:t>
      </w:r>
      <w:r w:rsidRPr="00DF610E">
        <w:t xml:space="preserve">transferred to </w:t>
      </w:r>
      <w:r>
        <w:t>o</w:t>
      </w:r>
      <w:r w:rsidRPr="00DF610E">
        <w:t>the</w:t>
      </w:r>
      <w:r>
        <w:t>r departments</w:t>
      </w:r>
      <w:r w:rsidRPr="00DF610E">
        <w:t>. The budget for the functions transferred to other departments is included in the</w:t>
      </w:r>
      <w:r>
        <w:t xml:space="preserve"> estimates of those departments.</w:t>
      </w:r>
    </w:p>
    <w:p w:rsidR="00B03921" w:rsidRDefault="00B03921" w:rsidP="00016914"/>
    <w:p w:rsidR="00B03921" w:rsidRDefault="00B03921" w:rsidP="00016914"/>
    <w:p w:rsidR="00B03921" w:rsidRDefault="00B03921" w:rsidP="00D22EC9">
      <w:pPr>
        <w:sectPr w:rsidR="00B03921" w:rsidSect="00557C0E">
          <w:footerReference w:type="even" r:id="rId67"/>
          <w:footerReference w:type="default" r:id="rId68"/>
          <w:type w:val="continuous"/>
          <w:pgSz w:w="9979" w:h="14181" w:code="138"/>
          <w:pgMar w:top="1138" w:right="1138" w:bottom="1138" w:left="1138" w:header="720" w:footer="432" w:gutter="0"/>
          <w:cols w:space="708"/>
          <w:docGrid w:linePitch="360"/>
        </w:sectPr>
      </w:pPr>
    </w:p>
    <w:p w:rsidR="00B03921" w:rsidRPr="00987AB1" w:rsidRDefault="00B03921" w:rsidP="00016914">
      <w:pPr>
        <w:pStyle w:val="ChapterHeading"/>
        <w:spacing w:after="280"/>
      </w:pPr>
      <w:bookmarkStart w:id="128" w:name="_Toc418274768"/>
      <w:r w:rsidRPr="00987AB1">
        <w:t>Chapter 4 – State revenue</w:t>
      </w:r>
      <w:bookmarkEnd w:id="128"/>
    </w:p>
    <w:p w:rsidR="00B03921" w:rsidRDefault="00B03921" w:rsidP="00016914">
      <w:pPr>
        <w:pStyle w:val="BodyText"/>
        <w:spacing w:after="100"/>
      </w:pPr>
      <w:r>
        <w:t>This chapter outlines expected movements in the major categories of general government revenue between 2014</w:t>
      </w:r>
      <w:r>
        <w:noBreakHyphen/>
        <w:t>15 and 2018</w:t>
      </w:r>
      <w:r>
        <w:noBreakHyphen/>
        <w:t xml:space="preserve">19. The revenue forecasts are closely linked to growth in key macroeconomic variables outlined in </w:t>
      </w:r>
      <w:r w:rsidRPr="00A75DD2">
        <w:t>Budget Paper No. 2, Chapter 2</w:t>
      </w:r>
      <w:r>
        <w:t xml:space="preserve"> </w:t>
      </w:r>
      <w:r w:rsidRPr="00A75DD2">
        <w:rPr>
          <w:i/>
        </w:rPr>
        <w:t>Economic Context</w:t>
      </w:r>
      <w:r>
        <w:t xml:space="preserve"> and to the general economic environment envisaged in the outlook.</w:t>
      </w:r>
    </w:p>
    <w:p w:rsidR="00B03921" w:rsidRPr="00426894" w:rsidRDefault="00B03921" w:rsidP="00016914">
      <w:pPr>
        <w:pStyle w:val="Tableheading"/>
        <w:spacing w:before="140" w:after="80"/>
      </w:pPr>
      <w:r w:rsidRPr="00426894">
        <w:t>Table 4.1:</w:t>
      </w:r>
      <w:r w:rsidRPr="00426894">
        <w:tab/>
        <w:t>Ge</w:t>
      </w:r>
      <w:r>
        <w:t>neral government sector revenue</w:t>
      </w:r>
    </w:p>
    <w:p w:rsidR="00B03921" w:rsidRPr="00DC2D28" w:rsidRDefault="00B03921" w:rsidP="00016914">
      <w:pPr>
        <w:pStyle w:val="million"/>
        <w:rPr>
          <w:rFonts w:ascii="Times New Roman" w:hAnsi="Times New Roman"/>
          <w:b/>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004219" w:rsidRPr="00DC2D28" w:rsidTr="001037D3">
        <w:trPr>
          <w:trHeight w:val="503"/>
          <w:tblHeader/>
        </w:trPr>
        <w:tc>
          <w:tcPr>
            <w:tcW w:w="2790" w:type="dxa"/>
            <w:tcBorders>
              <w:top w:val="single" w:sz="6" w:space="0" w:color="auto"/>
              <w:left w:val="single" w:sz="6" w:space="0" w:color="auto"/>
              <w:right w:val="nil"/>
            </w:tcBorders>
            <w:shd w:val="clear" w:color="000000" w:fill="000000"/>
          </w:tcPr>
          <w:p w:rsidR="00004219" w:rsidRPr="00DC2D28" w:rsidRDefault="00004219" w:rsidP="00016914">
            <w:pPr>
              <w:pStyle w:val="Tabletext"/>
              <w:rPr>
                <w:rFonts w:eastAsiaTheme="minorEastAsia"/>
                <w:lang w:eastAsia="en-AU"/>
              </w:rPr>
            </w:pPr>
            <w:r w:rsidRPr="00DC2D28">
              <w:rPr>
                <w:rFonts w:eastAsiaTheme="minorEastAsia"/>
                <w:lang w:eastAsia="en-AU"/>
              </w:rPr>
              <w:t xml:space="preserve"> </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lang w:eastAsia="en-AU"/>
              </w:rPr>
            </w:pPr>
            <w:r w:rsidRPr="00DC2D28">
              <w:rPr>
                <w:rFonts w:eastAsiaTheme="minorEastAsia"/>
                <w:iCs/>
                <w:color w:val="FFFFFF"/>
                <w:lang w:eastAsia="en-AU"/>
              </w:rPr>
              <w:t>2014-15</w:t>
            </w:r>
            <w:r>
              <w:rPr>
                <w:rFonts w:eastAsiaTheme="minorEastAsia"/>
                <w:iCs/>
                <w:color w:val="FFFFFF"/>
                <w:lang w:eastAsia="en-AU"/>
              </w:rPr>
              <w:t xml:space="preserve"> </w:t>
            </w:r>
            <w:r w:rsidRPr="00DC2D28">
              <w:rPr>
                <w:rFonts w:eastAsiaTheme="minorEastAsia"/>
                <w:color w:val="FFFFFF"/>
                <w:lang w:eastAsia="en-AU"/>
              </w:rPr>
              <w:t>revised</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lang w:eastAsia="en-AU"/>
              </w:rPr>
            </w:pPr>
            <w:r w:rsidRPr="00DC2D28">
              <w:rPr>
                <w:rFonts w:eastAsiaTheme="minorEastAsia"/>
                <w:iCs/>
                <w:color w:val="FFFFFF"/>
                <w:lang w:eastAsia="en-AU"/>
              </w:rPr>
              <w:t>2015-16</w:t>
            </w:r>
            <w:r>
              <w:rPr>
                <w:rFonts w:eastAsiaTheme="minorEastAsia"/>
                <w:iCs/>
                <w:color w:val="FFFFFF"/>
                <w:lang w:eastAsia="en-AU"/>
              </w:rPr>
              <w:t xml:space="preserve"> </w:t>
            </w:r>
            <w:r w:rsidRPr="00DC2D28">
              <w:rPr>
                <w:rFonts w:eastAsiaTheme="minorEastAsia"/>
                <w:iCs/>
                <w:color w:val="FFFFFF"/>
                <w:lang w:eastAsia="en-AU"/>
              </w:rPr>
              <w:t>budget</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lang w:eastAsia="en-AU"/>
              </w:rPr>
            </w:pPr>
            <w:r w:rsidRPr="00DC2D28">
              <w:rPr>
                <w:rFonts w:eastAsiaTheme="minorEastAsia"/>
                <w:iCs/>
                <w:color w:val="FFFFFF"/>
                <w:lang w:eastAsia="en-AU"/>
              </w:rPr>
              <w:t>2016-17</w:t>
            </w:r>
            <w:r>
              <w:rPr>
                <w:rFonts w:eastAsiaTheme="minorEastAsia"/>
                <w:iCs/>
                <w:color w:val="FFFFFF"/>
                <w:lang w:eastAsia="en-AU"/>
              </w:rPr>
              <w:t xml:space="preserve"> </w:t>
            </w:r>
            <w:r w:rsidRPr="00DC2D28">
              <w:rPr>
                <w:rFonts w:eastAsiaTheme="minorEastAsia"/>
                <w:iCs/>
                <w:color w:val="FFFFFF"/>
                <w:lang w:eastAsia="en-AU"/>
              </w:rPr>
              <w:t>estimate</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lang w:eastAsia="en-AU"/>
              </w:rPr>
            </w:pPr>
            <w:r w:rsidRPr="00DC2D28">
              <w:rPr>
                <w:rFonts w:eastAsiaTheme="minorEastAsia"/>
                <w:iCs/>
                <w:color w:val="FFFFFF"/>
                <w:lang w:eastAsia="en-AU"/>
              </w:rPr>
              <w:t>2017-18</w:t>
            </w:r>
            <w:r>
              <w:rPr>
                <w:rFonts w:eastAsiaTheme="minorEastAsia"/>
                <w:iCs/>
                <w:color w:val="FFFFFF"/>
                <w:lang w:eastAsia="en-AU"/>
              </w:rPr>
              <w:t xml:space="preserve"> </w:t>
            </w:r>
            <w:r w:rsidRPr="00DC2D28">
              <w:rPr>
                <w:rFonts w:eastAsiaTheme="minorEastAsia"/>
                <w:iCs/>
                <w:color w:val="FFFFFF"/>
                <w:lang w:eastAsia="en-AU"/>
              </w:rPr>
              <w:t>estimate</w:t>
            </w:r>
          </w:p>
        </w:tc>
        <w:tc>
          <w:tcPr>
            <w:tcW w:w="994" w:type="dxa"/>
            <w:tcBorders>
              <w:top w:val="single" w:sz="6" w:space="0" w:color="auto"/>
              <w:left w:val="nil"/>
              <w:right w:val="single" w:sz="6" w:space="0" w:color="auto"/>
            </w:tcBorders>
            <w:shd w:val="clear" w:color="000000" w:fill="000000"/>
          </w:tcPr>
          <w:p w:rsidR="00004219" w:rsidRPr="00DC2D28" w:rsidRDefault="00004219" w:rsidP="00004219">
            <w:pPr>
              <w:pStyle w:val="Tabletextheading"/>
              <w:rPr>
                <w:rFonts w:eastAsiaTheme="minorEastAsia"/>
                <w:iCs/>
                <w:color w:val="FFFFFF"/>
                <w:lang w:eastAsia="en-AU"/>
              </w:rPr>
            </w:pPr>
            <w:r w:rsidRPr="00DC2D28">
              <w:rPr>
                <w:rFonts w:eastAsiaTheme="minorEastAsia"/>
                <w:iCs/>
                <w:color w:val="FFFFFF"/>
                <w:lang w:eastAsia="en-AU"/>
              </w:rPr>
              <w:t>2018-19</w:t>
            </w:r>
            <w:r>
              <w:rPr>
                <w:rFonts w:eastAsiaTheme="minorEastAsia"/>
                <w:iCs/>
                <w:color w:val="FFFFFF"/>
                <w:lang w:eastAsia="en-AU"/>
              </w:rPr>
              <w:t xml:space="preserve"> </w:t>
            </w:r>
            <w:r w:rsidRPr="00DC2D28">
              <w:rPr>
                <w:rFonts w:eastAsiaTheme="minorEastAsia"/>
                <w:iCs/>
                <w:color w:val="FFFFFF"/>
                <w:lang w:eastAsia="en-AU"/>
              </w:rPr>
              <w:t>estimate</w:t>
            </w:r>
          </w:p>
        </w:tc>
      </w:tr>
      <w:tr w:rsidR="00B03921" w:rsidRPr="00DC2D28" w:rsidTr="00016914">
        <w:tc>
          <w:tcPr>
            <w:tcW w:w="2790" w:type="dxa"/>
            <w:tcBorders>
              <w:top w:val="single" w:sz="6" w:space="0" w:color="auto"/>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Taxation revenue</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18 273.9</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19 024.5</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19 804.5</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20 402.8</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21 339.6</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Grants</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sz w:val="19"/>
                <w:szCs w:val="19"/>
                <w:lang w:eastAsia="en-AU"/>
              </w:rPr>
            </w:pPr>
            <w:r w:rsidRPr="00DC2D28">
              <w:rPr>
                <w:rFonts w:eastAsiaTheme="minorEastAsia"/>
                <w:sz w:val="19"/>
                <w:szCs w:val="19"/>
                <w:lang w:eastAsia="en-AU"/>
              </w:rPr>
              <w:t>24 584.3</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sz w:val="19"/>
                <w:szCs w:val="19"/>
                <w:lang w:eastAsia="en-AU"/>
              </w:rPr>
            </w:pPr>
            <w:r w:rsidRPr="00DC2D28">
              <w:rPr>
                <w:rFonts w:eastAsiaTheme="minorEastAsia"/>
                <w:sz w:val="19"/>
                <w:szCs w:val="19"/>
                <w:lang w:eastAsia="en-AU"/>
              </w:rPr>
              <w:t>25 579.5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sz w:val="19"/>
                <w:szCs w:val="19"/>
                <w:lang w:eastAsia="en-AU"/>
              </w:rPr>
            </w:pPr>
            <w:r w:rsidRPr="00DC2D28">
              <w:rPr>
                <w:rFonts w:eastAsiaTheme="minorEastAsia"/>
                <w:sz w:val="19"/>
                <w:szCs w:val="19"/>
                <w:lang w:eastAsia="en-AU"/>
              </w:rPr>
              <w:t>26 089.6</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sz w:val="19"/>
                <w:szCs w:val="19"/>
                <w:lang w:eastAsia="en-AU"/>
              </w:rPr>
            </w:pPr>
            <w:r w:rsidRPr="00DC2D28">
              <w:rPr>
                <w:rFonts w:eastAsiaTheme="minorEastAsia"/>
                <w:sz w:val="19"/>
                <w:szCs w:val="19"/>
                <w:lang w:eastAsia="en-AU"/>
              </w:rPr>
              <w:t>27 507.6</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sz w:val="19"/>
                <w:szCs w:val="19"/>
                <w:lang w:eastAsia="en-AU"/>
              </w:rPr>
            </w:pPr>
            <w:r w:rsidRPr="00DC2D28">
              <w:rPr>
                <w:rFonts w:eastAsiaTheme="minorEastAsia"/>
                <w:sz w:val="19"/>
                <w:szCs w:val="19"/>
                <w:lang w:eastAsia="en-AU"/>
              </w:rPr>
              <w:t>28 605.4</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Sales of goods and services</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6 525.5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6 779.1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6 908.9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7 016.3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7 025.7</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cs="Calibri"/>
                <w:color w:val="000000"/>
                <w:lang w:eastAsia="en-AU"/>
              </w:rPr>
            </w:pPr>
            <w:r w:rsidRPr="00DC2D28">
              <w:rPr>
                <w:rFonts w:eastAsiaTheme="minorEastAsia"/>
                <w:lang w:eastAsia="en-AU"/>
              </w:rPr>
              <w:t>Dividends, income tax equivalent and</w:t>
            </w:r>
            <w:r w:rsidRPr="00DC2D28">
              <w:rPr>
                <w:rFonts w:eastAsiaTheme="minorEastAsia" w:cs="Calibri"/>
                <w:color w:val="000000"/>
                <w:lang w:eastAsia="en-AU"/>
              </w:rPr>
              <w:t xml:space="preserve"> rate equivalent revenue</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1 025.5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1 144.3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988.8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1 011.8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1 052.4</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cs="Calibri"/>
                <w:color w:val="000000"/>
                <w:lang w:eastAsia="en-AU"/>
              </w:rPr>
            </w:pPr>
            <w:r w:rsidRPr="00DC2D28">
              <w:rPr>
                <w:rFonts w:eastAsiaTheme="minorEastAsia"/>
                <w:lang w:eastAsia="en-AU"/>
              </w:rPr>
              <w:t xml:space="preserve">Interest </w:t>
            </w:r>
            <w:r w:rsidRPr="00DC2D28">
              <w:rPr>
                <w:rFonts w:eastAsiaTheme="minorEastAsia" w:cs="Calibri"/>
                <w:color w:val="000000"/>
                <w:lang w:eastAsia="en-AU"/>
              </w:rPr>
              <w:t>revenue</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824.6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830.8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852.6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862.6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 xml:space="preserve"> 866.8</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revenue</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2 308.7</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2 170.6</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2 249.4</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2 235.4</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szCs w:val="19"/>
                <w:lang w:eastAsia="en-AU"/>
              </w:rPr>
            </w:pPr>
            <w:r w:rsidRPr="00DC2D28">
              <w:rPr>
                <w:rFonts w:eastAsiaTheme="minorEastAsia"/>
                <w:sz w:val="19"/>
                <w:szCs w:val="19"/>
                <w:lang w:eastAsia="en-AU"/>
              </w:rPr>
              <w:t>2 289.1</w:t>
            </w:r>
          </w:p>
        </w:tc>
      </w:tr>
      <w:tr w:rsidR="00B03921" w:rsidRPr="00DC2D28" w:rsidTr="00016914">
        <w:tc>
          <w:tcPr>
            <w:tcW w:w="279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revenue from transactions</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53 542.4</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55 528.7</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56 893.9</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59 036.6</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61 179.1</w:t>
            </w:r>
          </w:p>
        </w:tc>
      </w:tr>
    </w:tbl>
    <w:p w:rsidR="00B03921" w:rsidRPr="000D4D62" w:rsidRDefault="00B03921" w:rsidP="00016914">
      <w:pPr>
        <w:pStyle w:val="Source"/>
      </w:pPr>
      <w:r w:rsidRPr="000D4D62">
        <w:t>Source: Department of Treasury and Finance</w:t>
      </w:r>
    </w:p>
    <w:p w:rsidR="00B03921" w:rsidRDefault="00B03921" w:rsidP="00016914">
      <w:pPr>
        <w:pStyle w:val="BodyText"/>
        <w:spacing w:after="100"/>
      </w:pPr>
      <w:r>
        <w:t xml:space="preserve">Total revenue from transactions is expected to grow by 3.7 per cent to </w:t>
      </w:r>
      <w:r w:rsidRPr="005D6517">
        <w:t>$</w:t>
      </w:r>
      <w:r>
        <w:t>55.5 billion</w:t>
      </w:r>
      <w:r w:rsidRPr="005D6517">
        <w:t xml:space="preserve"> in 2015</w:t>
      </w:r>
      <w:r>
        <w:noBreakHyphen/>
        <w:t xml:space="preserve">16, and is expected to grow moderately by an average of 3.3 per cent a year over the forward estimates. Weaker demand in the economy and low price growth has driven revenue growth down from an average of 6.3 per cent over the last 10 years. </w:t>
      </w:r>
    </w:p>
    <w:p w:rsidR="00B03921" w:rsidRDefault="00B03921" w:rsidP="00016914">
      <w:pPr>
        <w:pStyle w:val="BodyText"/>
        <w:spacing w:after="100"/>
      </w:pPr>
      <w:r>
        <w:t>Total state taxes are expected to increase by 4.1 per cent to $19.0 billion in 2015-16 and grow by an average of 3.9 per cent a year over the forward estimates. The strong property market is driving land transfer duty and land tax higher in 2014</w:t>
      </w:r>
      <w:r>
        <w:noBreakHyphen/>
        <w:t>15 and 2015</w:t>
      </w:r>
      <w:r>
        <w:noBreakHyphen/>
        <w:t xml:space="preserve">16. This is partially offset by weaker revenue growth in gambling taxes due to relatively soft growth in nominal income. As the economy picks up over the forward estimates, income and demand growth is expected to recover. </w:t>
      </w:r>
    </w:p>
    <w:p w:rsidR="00B03921" w:rsidRDefault="00B03921" w:rsidP="00016914">
      <w:pPr>
        <w:pStyle w:val="BodyText"/>
        <w:spacing w:after="100"/>
      </w:pPr>
      <w:r>
        <w:t>GST revenue, which makes up about 50 per cent of Victoria</w:t>
      </w:r>
      <w:r w:rsidR="00BA5A16">
        <w:t>’</w:t>
      </w:r>
      <w:r>
        <w:t xml:space="preserve">s grants revenue, </w:t>
      </w:r>
      <w:r w:rsidRPr="00847617">
        <w:t>is forecast to be $</w:t>
      </w:r>
      <w:r>
        <w:t>12.8 billion</w:t>
      </w:r>
      <w:r w:rsidRPr="00847617">
        <w:t xml:space="preserve"> </w:t>
      </w:r>
      <w:r>
        <w:t>in 2015</w:t>
      </w:r>
      <w:r>
        <w:noBreakHyphen/>
        <w:t>16, up 6.3 per cent from 2014</w:t>
      </w:r>
      <w:r>
        <w:noBreakHyphen/>
        <w:t>15, driven by</w:t>
      </w:r>
      <w:r w:rsidRPr="00847617">
        <w:t xml:space="preserve"> </w:t>
      </w:r>
      <w:r>
        <w:t xml:space="preserve">growth in the national GST pool and </w:t>
      </w:r>
      <w:r w:rsidRPr="00847617">
        <w:t xml:space="preserve">an increase in </w:t>
      </w:r>
      <w:r>
        <w:t>Victoria</w:t>
      </w:r>
      <w:r w:rsidR="00BA5A16">
        <w:t>’</w:t>
      </w:r>
      <w:r>
        <w:t>s expected share of</w:t>
      </w:r>
      <w:r w:rsidRPr="00847617">
        <w:t xml:space="preserve"> </w:t>
      </w:r>
      <w:r>
        <w:t xml:space="preserve">total </w:t>
      </w:r>
      <w:r w:rsidRPr="00847617">
        <w:t xml:space="preserve">GST </w:t>
      </w:r>
      <w:r>
        <w:t>collections.</w:t>
      </w:r>
    </w:p>
    <w:p w:rsidR="00B03921" w:rsidRDefault="00B03921" w:rsidP="00016914">
      <w:pPr>
        <w:spacing w:after="0"/>
      </w:pPr>
      <w:r w:rsidRPr="00907612">
        <w:t>Commonwealth grants for specific purposes</w:t>
      </w:r>
      <w:r>
        <w:t xml:space="preserve"> are</w:t>
      </w:r>
      <w:r w:rsidRPr="00907612">
        <w:t xml:space="preserve"> projected to</w:t>
      </w:r>
      <w:r>
        <w:t xml:space="preserve"> increase by 1.7 per cent to $12.7 billion in 2015-16. Grant revenue is expected to fall in </w:t>
      </w:r>
      <w:r w:rsidRPr="00907612">
        <w:t>2016</w:t>
      </w:r>
      <w:r>
        <w:noBreakHyphen/>
      </w:r>
      <w:r w:rsidRPr="00907612">
        <w:t xml:space="preserve">17 primarily due to the </w:t>
      </w:r>
      <w:r>
        <w:t xml:space="preserve">agreed </w:t>
      </w:r>
      <w:r w:rsidRPr="00907612">
        <w:t>transfer of responsibilities under the Home and Community Care National Partnership from Victoria to the Commonwealth</w:t>
      </w:r>
      <w:r>
        <w:t>. Growth is expected to slow</w:t>
      </w:r>
      <w:r w:rsidRPr="00907612">
        <w:t xml:space="preserve"> from 2017</w:t>
      </w:r>
      <w:r>
        <w:noBreakHyphen/>
      </w:r>
      <w:r w:rsidRPr="00907612">
        <w:t>18 onwards due to the Commonwealth</w:t>
      </w:r>
      <w:r w:rsidR="00BA5A16">
        <w:t>’</w:t>
      </w:r>
      <w:r w:rsidRPr="00907612">
        <w:t xml:space="preserve">s decision to reduce funding </w:t>
      </w:r>
      <w:r>
        <w:t>growth for</w:t>
      </w:r>
      <w:r w:rsidRPr="00907612">
        <w:t xml:space="preserve"> the Health Reform an</w:t>
      </w:r>
      <w:r>
        <w:t xml:space="preserve">d Schools funding agreements. </w:t>
      </w:r>
    </w:p>
    <w:p w:rsidR="00B03921" w:rsidRPr="001574DC" w:rsidRDefault="00B03921" w:rsidP="00016914">
      <w:pPr>
        <w:pStyle w:val="Heading1"/>
      </w:pPr>
      <w:bookmarkStart w:id="129" w:name="_Toc418274769"/>
      <w:r w:rsidRPr="001574DC">
        <w:t>Taxation</w:t>
      </w:r>
      <w:bookmarkEnd w:id="129"/>
    </w:p>
    <w:p w:rsidR="00B03921" w:rsidRDefault="00B03921" w:rsidP="00016914">
      <w:pPr>
        <w:pStyle w:val="BodyText"/>
      </w:pPr>
      <w:r>
        <w:t>Tax revenue is forecast to be $19.0 billion in 2015</w:t>
      </w:r>
      <w:r>
        <w:noBreakHyphen/>
        <w:t>16 and is expected to grow by an average of 4.0 per cent a year over the budget and the forward estimates. This growth rate is below the average of 5.3 per cent in the past decade.</w:t>
      </w:r>
    </w:p>
    <w:p w:rsidR="00B03921" w:rsidRDefault="00B03921" w:rsidP="00016914">
      <w:pPr>
        <w:pStyle w:val="BodyText"/>
      </w:pPr>
      <w:r>
        <w:t>Land transfer duty is expected to be stronger in 2015</w:t>
      </w:r>
      <w:r>
        <w:noBreakHyphen/>
        <w:t>16 than previously forecast, driven by historically low interest rates and significant investor and commercial activity in the property market pushing up demand and the number of transactions. However, stronger land transfer duty and land tax is currently masking weakness in other sources of taxation revenue.</w:t>
      </w:r>
    </w:p>
    <w:p w:rsidR="00B03921" w:rsidRDefault="00B03921" w:rsidP="00016914">
      <w:pPr>
        <w:pStyle w:val="BodyText"/>
      </w:pPr>
      <w:r>
        <w:t>Continued geopolitical uncertainty in Europe and the Middle East, volatility in financial markets and slowing growth in China are weighing on the domestic economic environment. The prices of Australian commodity exports have fallen on the back of slowing Chinese industrial demand and, in the case of iron ore, significant increases in global supply. Australia</w:t>
      </w:r>
      <w:r w:rsidR="00BA5A16">
        <w:t>’</w:t>
      </w:r>
      <w:r>
        <w:t>s terms of trade has fallen as a result. These global forces have cut domestic income and are weighing on investment and consumption. Wage and price growth are also subdued. This combination of weak real and nominal income growth is currently limiting growth in Victoria</w:t>
      </w:r>
      <w:r w:rsidR="00BA5A16">
        <w:t>’</w:t>
      </w:r>
      <w:r>
        <w:t>s income and consumption tax bases.</w:t>
      </w:r>
    </w:p>
    <w:p w:rsidR="00B03921" w:rsidRDefault="00B03921" w:rsidP="00016914">
      <w:pPr>
        <w:pStyle w:val="BodyText"/>
      </w:pPr>
      <w:r>
        <w:t>Responding to the weak global and domestic environment, the Reserve Bank of Australia cut interest rates in February 2015, the first change since August 2013. This may fuel further growth in Victoria</w:t>
      </w:r>
      <w:r w:rsidR="00BA5A16">
        <w:t>’</w:t>
      </w:r>
      <w:r>
        <w:t xml:space="preserve">s property market, presenting upside risk to land transfer duty in the short term. Over the forward estimates, property tax revenue growth is expected to be more subdued as the property cycle matures. </w:t>
      </w:r>
    </w:p>
    <w:p w:rsidR="00B03921" w:rsidRDefault="00B03921" w:rsidP="00016914">
      <w:pPr>
        <w:pStyle w:val="BodyText"/>
      </w:pPr>
      <w:r w:rsidRPr="00171E28">
        <w:t>The recent depreciation in the Australian dollar and lower interest rates, combined with improvements in asset prices and household wealth, will aid Australia</w:t>
      </w:r>
      <w:r w:rsidR="00BA5A16">
        <w:t>’</w:t>
      </w:r>
      <w:r w:rsidRPr="00171E28">
        <w:t>s and Victoria</w:t>
      </w:r>
      <w:r w:rsidR="00BA5A16">
        <w:t>’</w:t>
      </w:r>
      <w:r w:rsidRPr="00171E28">
        <w:t xml:space="preserve">s transition to </w:t>
      </w:r>
      <w:r>
        <w:t xml:space="preserve">stronger and </w:t>
      </w:r>
      <w:r w:rsidRPr="00171E28">
        <w:t>more balanced growth</w:t>
      </w:r>
      <w:r>
        <w:t>. This will support</w:t>
      </w:r>
      <w:r w:rsidRPr="00171E28">
        <w:t xml:space="preserve"> </w:t>
      </w:r>
      <w:r>
        <w:t xml:space="preserve">revenue collected from </w:t>
      </w:r>
      <w:r w:rsidRPr="00171E28">
        <w:t>income and consumption-based taxes.</w:t>
      </w:r>
      <w:r>
        <w:t xml:space="preserve"> </w:t>
      </w:r>
    </w:p>
    <w:p w:rsidR="00B03921" w:rsidRDefault="00B03921">
      <w:pPr>
        <w:spacing w:after="0"/>
        <w:rPr>
          <w:rFonts w:ascii="Calibri" w:hAnsi="Calibri"/>
          <w:b/>
        </w:rPr>
      </w:pPr>
      <w:r>
        <w:br w:type="page"/>
      </w:r>
    </w:p>
    <w:p w:rsidR="00B03921" w:rsidRDefault="00B03921" w:rsidP="00016914">
      <w:pPr>
        <w:pStyle w:val="Tableheading"/>
      </w:pPr>
      <w:r>
        <w:t>Table 4.2:</w:t>
      </w:r>
      <w:r>
        <w:tab/>
        <w:t>Taxation estimates</w:t>
      </w:r>
    </w:p>
    <w:p w:rsidR="00B03921" w:rsidRPr="00DC2D28" w:rsidRDefault="00B03921" w:rsidP="00016914">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223"/>
        <w:gridCol w:w="771"/>
        <w:gridCol w:w="994"/>
        <w:gridCol w:w="994"/>
        <w:gridCol w:w="994"/>
        <w:gridCol w:w="994"/>
      </w:tblGrid>
      <w:tr w:rsidR="00004219" w:rsidRPr="00DC2D28" w:rsidTr="001037D3">
        <w:trPr>
          <w:trHeight w:val="479"/>
          <w:tblHeader/>
        </w:trPr>
        <w:tc>
          <w:tcPr>
            <w:tcW w:w="2790" w:type="dxa"/>
            <w:tcBorders>
              <w:top w:val="single" w:sz="6" w:space="0" w:color="auto"/>
              <w:left w:val="single" w:sz="6" w:space="0" w:color="auto"/>
              <w:right w:val="nil"/>
            </w:tcBorders>
            <w:shd w:val="clear" w:color="000000" w:fill="000000"/>
          </w:tcPr>
          <w:p w:rsidR="00004219" w:rsidRPr="00DC2D28" w:rsidRDefault="00004219" w:rsidP="00016914">
            <w:pPr>
              <w:pStyle w:val="Tabletext"/>
              <w:rPr>
                <w:rFonts w:eastAsiaTheme="minorEastAsia"/>
                <w:sz w:val="19"/>
                <w:lang w:eastAsia="en-AU"/>
              </w:rPr>
            </w:pPr>
          </w:p>
        </w:tc>
        <w:tc>
          <w:tcPr>
            <w:tcW w:w="994" w:type="dxa"/>
            <w:gridSpan w:val="2"/>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sz w:val="19"/>
                <w:lang w:eastAsia="en-AU"/>
              </w:rPr>
            </w:pPr>
            <w:r w:rsidRPr="00DC2D28">
              <w:rPr>
                <w:rFonts w:eastAsiaTheme="minorEastAsia"/>
                <w:iCs/>
                <w:color w:val="FFFFFF"/>
                <w:sz w:val="19"/>
                <w:lang w:eastAsia="en-AU"/>
              </w:rPr>
              <w:t>2014-15</w:t>
            </w:r>
            <w:r>
              <w:rPr>
                <w:rFonts w:eastAsiaTheme="minorEastAsia"/>
                <w:iCs/>
                <w:color w:val="FFFFFF"/>
                <w:sz w:val="19"/>
                <w:lang w:eastAsia="en-AU"/>
              </w:rPr>
              <w:t xml:space="preserve"> </w:t>
            </w:r>
            <w:r w:rsidRPr="00DC2D28">
              <w:rPr>
                <w:rFonts w:eastAsiaTheme="minorEastAsia"/>
                <w:iCs/>
                <w:color w:val="FFFFFF"/>
                <w:sz w:val="19"/>
                <w:lang w:eastAsia="en-AU"/>
              </w:rPr>
              <w:t>revised</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sz w:val="19"/>
                <w:lang w:eastAsia="en-AU"/>
              </w:rPr>
            </w:pPr>
            <w:r w:rsidRPr="00DC2D28">
              <w:rPr>
                <w:rFonts w:eastAsiaTheme="minorEastAsia"/>
                <w:iCs/>
                <w:color w:val="FFFFFF"/>
                <w:sz w:val="19"/>
                <w:lang w:eastAsia="en-AU"/>
              </w:rPr>
              <w:t>2015-16</w:t>
            </w:r>
            <w:r>
              <w:rPr>
                <w:rFonts w:eastAsiaTheme="minorEastAsia"/>
                <w:iCs/>
                <w:color w:val="FFFFFF"/>
                <w:sz w:val="19"/>
                <w:lang w:eastAsia="en-AU"/>
              </w:rPr>
              <w:t xml:space="preserve"> </w:t>
            </w:r>
            <w:r w:rsidRPr="00DC2D28">
              <w:rPr>
                <w:rFonts w:eastAsiaTheme="minorEastAsia"/>
                <w:iCs/>
                <w:color w:val="FFFFFF"/>
                <w:sz w:val="19"/>
                <w:lang w:eastAsia="en-AU"/>
              </w:rPr>
              <w:t>budget</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sz w:val="19"/>
                <w:lang w:eastAsia="en-AU"/>
              </w:rPr>
            </w:pPr>
            <w:r w:rsidRPr="00DC2D28">
              <w:rPr>
                <w:rFonts w:eastAsiaTheme="minorEastAsia"/>
                <w:iCs/>
                <w:color w:val="FFFFFF"/>
                <w:sz w:val="19"/>
                <w:lang w:eastAsia="en-AU"/>
              </w:rPr>
              <w:t>2016-17</w:t>
            </w:r>
            <w:r>
              <w:rPr>
                <w:rFonts w:eastAsiaTheme="minorEastAsia"/>
                <w:iCs/>
                <w:color w:val="FFFFFF"/>
                <w:sz w:val="19"/>
                <w:lang w:eastAsia="en-AU"/>
              </w:rPr>
              <w:t xml:space="preserve"> </w:t>
            </w:r>
            <w:r w:rsidRPr="00DC2D28">
              <w:rPr>
                <w:rFonts w:eastAsiaTheme="minorEastAsia"/>
                <w:iCs/>
                <w:color w:val="FFFFFF"/>
                <w:sz w:val="19"/>
                <w:lang w:eastAsia="en-AU"/>
              </w:rPr>
              <w:t>estimate</w:t>
            </w:r>
          </w:p>
        </w:tc>
        <w:tc>
          <w:tcPr>
            <w:tcW w:w="994" w:type="dxa"/>
            <w:tcBorders>
              <w:top w:val="single" w:sz="6" w:space="0" w:color="auto"/>
              <w:left w:val="nil"/>
              <w:right w:val="nil"/>
            </w:tcBorders>
            <w:shd w:val="clear" w:color="000000" w:fill="000000"/>
          </w:tcPr>
          <w:p w:rsidR="00004219" w:rsidRPr="00DC2D28" w:rsidRDefault="00004219" w:rsidP="00004219">
            <w:pPr>
              <w:pStyle w:val="Tabletextheading"/>
              <w:rPr>
                <w:rFonts w:eastAsiaTheme="minorEastAsia"/>
                <w:iCs/>
                <w:color w:val="FFFFFF"/>
                <w:sz w:val="19"/>
                <w:lang w:eastAsia="en-AU"/>
              </w:rPr>
            </w:pPr>
            <w:r w:rsidRPr="00DC2D28">
              <w:rPr>
                <w:rFonts w:eastAsiaTheme="minorEastAsia"/>
                <w:iCs/>
                <w:color w:val="FFFFFF"/>
                <w:sz w:val="19"/>
                <w:lang w:eastAsia="en-AU"/>
              </w:rPr>
              <w:t>2017-18</w:t>
            </w:r>
            <w:r>
              <w:rPr>
                <w:rFonts w:eastAsiaTheme="minorEastAsia"/>
                <w:iCs/>
                <w:color w:val="FFFFFF"/>
                <w:sz w:val="19"/>
                <w:lang w:eastAsia="en-AU"/>
              </w:rPr>
              <w:t xml:space="preserve"> </w:t>
            </w:r>
            <w:r w:rsidRPr="00DC2D28">
              <w:rPr>
                <w:rFonts w:eastAsiaTheme="minorEastAsia"/>
                <w:iCs/>
                <w:color w:val="FFFFFF"/>
                <w:sz w:val="19"/>
                <w:lang w:eastAsia="en-AU"/>
              </w:rPr>
              <w:t>estimate</w:t>
            </w:r>
          </w:p>
        </w:tc>
        <w:tc>
          <w:tcPr>
            <w:tcW w:w="994" w:type="dxa"/>
            <w:tcBorders>
              <w:top w:val="single" w:sz="6" w:space="0" w:color="auto"/>
              <w:left w:val="nil"/>
              <w:right w:val="single" w:sz="6" w:space="0" w:color="auto"/>
            </w:tcBorders>
            <w:shd w:val="clear" w:color="000000" w:fill="000000"/>
          </w:tcPr>
          <w:p w:rsidR="00004219" w:rsidRPr="00DC2D28" w:rsidRDefault="00004219" w:rsidP="00004219">
            <w:pPr>
              <w:pStyle w:val="Tabletextheading"/>
              <w:rPr>
                <w:rFonts w:eastAsiaTheme="minorEastAsia"/>
                <w:iCs/>
                <w:color w:val="FFFFFF"/>
                <w:sz w:val="19"/>
                <w:lang w:eastAsia="en-AU"/>
              </w:rPr>
            </w:pPr>
            <w:r w:rsidRPr="00DC2D28">
              <w:rPr>
                <w:rFonts w:eastAsiaTheme="minorEastAsia"/>
                <w:iCs/>
                <w:color w:val="FFFFFF"/>
                <w:sz w:val="19"/>
                <w:lang w:eastAsia="en-AU"/>
              </w:rPr>
              <w:t>2018-19</w:t>
            </w:r>
            <w:r>
              <w:rPr>
                <w:rFonts w:eastAsiaTheme="minorEastAsia"/>
                <w:iCs/>
                <w:color w:val="FFFFFF"/>
                <w:sz w:val="19"/>
                <w:lang w:eastAsia="en-AU"/>
              </w:rPr>
              <w:t xml:space="preserve"> </w:t>
            </w:r>
            <w:r w:rsidRPr="00DC2D28">
              <w:rPr>
                <w:rFonts w:eastAsiaTheme="minorEastAsia"/>
                <w:iCs/>
                <w:color w:val="FFFFFF"/>
                <w:sz w:val="19"/>
                <w:lang w:eastAsia="en-AU"/>
              </w:rPr>
              <w:t>estimate</w:t>
            </w:r>
          </w:p>
        </w:tc>
      </w:tr>
      <w:tr w:rsidR="00B03921" w:rsidRPr="00DC2D28" w:rsidTr="00016914">
        <w:tc>
          <w:tcPr>
            <w:tcW w:w="2790" w:type="dxa"/>
            <w:tcBorders>
              <w:top w:val="single" w:sz="6" w:space="0" w:color="auto"/>
              <w:left w:val="nil"/>
              <w:bottom w:val="nil"/>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Taxes on employers</w:t>
            </w:r>
            <w:r w:rsidR="00BA5A16">
              <w:rPr>
                <w:rFonts w:eastAsiaTheme="minorEastAsia"/>
                <w:b/>
                <w:bCs/>
                <w:sz w:val="19"/>
                <w:lang w:eastAsia="en-AU"/>
              </w:rPr>
              <w:t>’</w:t>
            </w:r>
            <w:r w:rsidRPr="00DC2D28">
              <w:rPr>
                <w:rFonts w:eastAsiaTheme="minorEastAsia"/>
                <w:b/>
                <w:bCs/>
                <w:sz w:val="19"/>
                <w:lang w:eastAsia="en-AU"/>
              </w:rPr>
              <w:t xml:space="preserve"> payroll and labour force</w:t>
            </w:r>
          </w:p>
        </w:tc>
        <w:tc>
          <w:tcPr>
            <w:tcW w:w="994" w:type="dxa"/>
            <w:gridSpan w:val="2"/>
            <w:tcBorders>
              <w:top w:val="single" w:sz="6" w:space="0" w:color="auto"/>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5 091.7</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5 407.5</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5 758.0</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6 085.9</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6 426.7</w:t>
            </w:r>
          </w:p>
        </w:tc>
      </w:tr>
      <w:tr w:rsidR="00004219" w:rsidRPr="00DC2D28" w:rsidTr="001037D3">
        <w:tc>
          <w:tcPr>
            <w:tcW w:w="7760" w:type="dxa"/>
            <w:gridSpan w:val="7"/>
            <w:tcBorders>
              <w:top w:val="nil"/>
              <w:left w:val="nil"/>
              <w:bottom w:val="nil"/>
              <w:right w:val="nil"/>
            </w:tcBorders>
          </w:tcPr>
          <w:p w:rsidR="00004219" w:rsidRPr="00DC2D28" w:rsidRDefault="00004219" w:rsidP="00004219">
            <w:pPr>
              <w:pStyle w:val="TableofFigures"/>
              <w:jc w:val="left"/>
              <w:rPr>
                <w:rFonts w:eastAsiaTheme="minorEastAsia"/>
                <w:b/>
                <w:bCs/>
                <w:sz w:val="19"/>
                <w:lang w:eastAsia="en-AU"/>
              </w:rPr>
            </w:pPr>
            <w:r w:rsidRPr="00DC2D28">
              <w:rPr>
                <w:rFonts w:eastAsiaTheme="minorEastAsia"/>
                <w:b/>
                <w:bCs/>
                <w:sz w:val="19"/>
                <w:lang w:eastAsia="en-AU"/>
              </w:rPr>
              <w:t>Taxes on property</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Land tax</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1 795.7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1 769.7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2 006.4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1 958.4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2 219.6</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Congestion levy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121.6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120.2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123.4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126.5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129.8</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Land transfer duty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4 886.2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5 028.1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5 128.8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5 194.4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5 259.6</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Other property duties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2.0</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2.3</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Metropolitan improvement levy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145.7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150.8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157.4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158.0</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158.0</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Metropolitan planning levy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17.1</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vertAlign w:val="superscript"/>
                <w:lang w:eastAsia="en-AU"/>
              </w:rPr>
            </w:pPr>
            <w:r w:rsidRPr="00DC2D28">
              <w:rPr>
                <w:rFonts w:eastAsiaTheme="minorEastAsia"/>
                <w:sz w:val="19"/>
                <w:lang w:eastAsia="en-AU"/>
              </w:rPr>
              <w:t xml:space="preserve">  Fire Services Property Levy</w:t>
            </w:r>
            <w:r w:rsidRPr="00DC2D28">
              <w:rPr>
                <w:rFonts w:eastAsiaTheme="minorEastAsia"/>
                <w:sz w:val="19"/>
                <w:vertAlign w:val="superscript"/>
                <w:lang w:eastAsia="en-AU"/>
              </w:rPr>
              <w:t>(a)</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585.8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627.9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631.8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644.7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662.3</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Financial accommodation levy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129.4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151.4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156.5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171.8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191.1</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Growth areas infrastructure contribution</w:t>
            </w:r>
          </w:p>
        </w:tc>
        <w:tc>
          <w:tcPr>
            <w:tcW w:w="994" w:type="dxa"/>
            <w:gridSpan w:val="2"/>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102.6</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108.3</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114.2</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120.5</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127.2</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 xml:space="preserve"> </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7 768.8</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7 975.4</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8 337.7</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8 393.6</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8 767.0</w:t>
            </w:r>
          </w:p>
        </w:tc>
      </w:tr>
      <w:tr w:rsidR="00004219" w:rsidRPr="00DC2D28" w:rsidTr="001037D3">
        <w:tc>
          <w:tcPr>
            <w:tcW w:w="7760" w:type="dxa"/>
            <w:gridSpan w:val="7"/>
            <w:tcBorders>
              <w:top w:val="nil"/>
              <w:left w:val="nil"/>
              <w:bottom w:val="nil"/>
              <w:right w:val="nil"/>
            </w:tcBorders>
          </w:tcPr>
          <w:p w:rsidR="00004219" w:rsidRPr="00DC2D28" w:rsidRDefault="00004219" w:rsidP="00004219">
            <w:pPr>
              <w:pStyle w:val="TableofFigures"/>
              <w:jc w:val="left"/>
              <w:rPr>
                <w:rFonts w:eastAsiaTheme="minorEastAsia"/>
                <w:b/>
                <w:bCs/>
                <w:sz w:val="19"/>
                <w:lang w:eastAsia="en-AU"/>
              </w:rPr>
            </w:pPr>
            <w:r w:rsidRPr="00DC2D28">
              <w:rPr>
                <w:rFonts w:eastAsiaTheme="minorEastAsia"/>
                <w:b/>
                <w:bCs/>
                <w:sz w:val="19"/>
                <w:lang w:eastAsia="en-AU"/>
              </w:rPr>
              <w:t>Gambling taxes</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Public lotteries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407.9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420.7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438.3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457.5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478.1</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Electronic gaming machines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1 067.2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1 087.7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1 112.1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1 139.8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1 144.4</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Casino</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210.6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240.3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246.5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254.5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262.9</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Racing</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82.3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82.8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82.0</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82.6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81.8</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Other</w:t>
            </w:r>
          </w:p>
        </w:tc>
        <w:tc>
          <w:tcPr>
            <w:tcW w:w="994" w:type="dxa"/>
            <w:gridSpan w:val="2"/>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23.1</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29.9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38.1</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48.6</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61.8</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 xml:space="preserve"> </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1 791.1</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1 861.3</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1 917.0</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1 983.0</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2 029.1</w:t>
            </w:r>
          </w:p>
        </w:tc>
      </w:tr>
      <w:tr w:rsidR="00B03921" w:rsidRPr="00DC2D28" w:rsidTr="00016914">
        <w:tc>
          <w:tcPr>
            <w:tcW w:w="3013" w:type="dxa"/>
            <w:gridSpan w:val="2"/>
            <w:tcBorders>
              <w:top w:val="nil"/>
              <w:left w:val="nil"/>
              <w:bottom w:val="nil"/>
              <w:right w:val="nil"/>
            </w:tcBorders>
          </w:tcPr>
          <w:p w:rsidR="00B03921" w:rsidRPr="00DC2D28" w:rsidRDefault="00B03921" w:rsidP="00016914">
            <w:pPr>
              <w:pStyle w:val="Tabletext"/>
              <w:rPr>
                <w:rFonts w:eastAsiaTheme="minorEastAsia"/>
                <w:sz w:val="19"/>
                <w:vertAlign w:val="superscript"/>
                <w:lang w:eastAsia="en-AU"/>
              </w:rPr>
            </w:pPr>
            <w:r w:rsidRPr="00DC2D28">
              <w:rPr>
                <w:rFonts w:eastAsiaTheme="minorEastAsia"/>
                <w:b/>
                <w:bCs/>
                <w:sz w:val="19"/>
                <w:lang w:eastAsia="en-AU"/>
              </w:rPr>
              <w:t>L</w:t>
            </w:r>
            <w:r>
              <w:rPr>
                <w:rFonts w:eastAsiaTheme="minorEastAsia"/>
                <w:b/>
                <w:bCs/>
                <w:sz w:val="19"/>
                <w:lang w:eastAsia="en-AU"/>
              </w:rPr>
              <w:t>evies on statutory corporations</w:t>
            </w:r>
          </w:p>
        </w:tc>
        <w:tc>
          <w:tcPr>
            <w:tcW w:w="771"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112.0</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112.0</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w:t>
            </w:r>
          </w:p>
        </w:tc>
      </w:tr>
      <w:tr w:rsidR="00004219" w:rsidRPr="00DC2D28" w:rsidTr="001037D3">
        <w:tc>
          <w:tcPr>
            <w:tcW w:w="7760" w:type="dxa"/>
            <w:gridSpan w:val="7"/>
            <w:tcBorders>
              <w:top w:val="nil"/>
              <w:left w:val="nil"/>
              <w:bottom w:val="nil"/>
              <w:right w:val="nil"/>
            </w:tcBorders>
          </w:tcPr>
          <w:p w:rsidR="00004219" w:rsidRPr="00DC2D28" w:rsidRDefault="00004219" w:rsidP="00004219">
            <w:pPr>
              <w:pStyle w:val="TableofFigures"/>
              <w:jc w:val="left"/>
              <w:rPr>
                <w:rFonts w:eastAsiaTheme="minorEastAsia"/>
                <w:b/>
                <w:bCs/>
                <w:sz w:val="19"/>
                <w:lang w:eastAsia="en-AU"/>
              </w:rPr>
            </w:pPr>
            <w:r w:rsidRPr="00DC2D28">
              <w:rPr>
                <w:rFonts w:eastAsiaTheme="minorEastAsia"/>
                <w:b/>
                <w:bCs/>
                <w:sz w:val="19"/>
                <w:lang w:eastAsia="en-AU"/>
              </w:rPr>
              <w:t>Taxes on insurance</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Non-life insurance</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919.5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972.1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1 042.1</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1 116.8</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1 198.2</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Life insurance</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0.3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Pr>
                <w:rFonts w:eastAsiaTheme="minorEastAsia"/>
                <w:sz w:val="19"/>
                <w:lang w:eastAsia="en-AU"/>
              </w:rPr>
              <w:t>..</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Duty on compulsory third party premiums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175.2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184.2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192.5</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201.4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210.7</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vertAlign w:val="superscript"/>
                <w:lang w:eastAsia="en-AU"/>
              </w:rPr>
            </w:pPr>
            <w:r w:rsidRPr="00DC2D28">
              <w:rPr>
                <w:rFonts w:eastAsiaTheme="minorEastAsia"/>
                <w:sz w:val="19"/>
                <w:lang w:eastAsia="en-AU"/>
              </w:rPr>
              <w:t xml:space="preserve">  Insurance contributions to fire brigades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2.0</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 xml:space="preserve"> </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1 096.9</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1 156.2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1 234.6</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1 318.1</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1 408.9</w:t>
            </w:r>
          </w:p>
        </w:tc>
      </w:tr>
      <w:tr w:rsidR="00004219" w:rsidRPr="00DC2D28" w:rsidTr="001037D3">
        <w:tc>
          <w:tcPr>
            <w:tcW w:w="7760" w:type="dxa"/>
            <w:gridSpan w:val="7"/>
            <w:tcBorders>
              <w:top w:val="nil"/>
              <w:left w:val="nil"/>
              <w:bottom w:val="nil"/>
              <w:right w:val="nil"/>
            </w:tcBorders>
          </w:tcPr>
          <w:p w:rsidR="00004219" w:rsidRPr="00DC2D28" w:rsidRDefault="00004219" w:rsidP="00004219">
            <w:pPr>
              <w:pStyle w:val="TableofFigures"/>
              <w:jc w:val="left"/>
              <w:rPr>
                <w:rFonts w:eastAsiaTheme="minorEastAsia"/>
                <w:b/>
                <w:bCs/>
                <w:sz w:val="19"/>
                <w:lang w:eastAsia="en-AU"/>
              </w:rPr>
            </w:pPr>
            <w:r w:rsidRPr="00DC2D28">
              <w:rPr>
                <w:rFonts w:eastAsiaTheme="minorEastAsia"/>
                <w:b/>
                <w:bCs/>
                <w:sz w:val="19"/>
                <w:lang w:eastAsia="en-AU"/>
              </w:rPr>
              <w:t>Motor vehicle taxes</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Vehicle registration fees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1 393.3</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1 458.9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1 558.2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1 616.4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1 677.8</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Duty on vehicle registrations and transfers</w:t>
            </w:r>
          </w:p>
        </w:tc>
        <w:tc>
          <w:tcPr>
            <w:tcW w:w="994" w:type="dxa"/>
            <w:gridSpan w:val="2"/>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714.9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743.3</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765.7</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788.8</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812.4</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 xml:space="preserve"> </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2 108.2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2 202.2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2 324.0</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2 405.2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2 490.3</w:t>
            </w:r>
          </w:p>
        </w:tc>
      </w:tr>
      <w:tr w:rsidR="00004219" w:rsidRPr="00DC2D28" w:rsidTr="001037D3">
        <w:tc>
          <w:tcPr>
            <w:tcW w:w="7760" w:type="dxa"/>
            <w:gridSpan w:val="7"/>
            <w:tcBorders>
              <w:top w:val="nil"/>
              <w:left w:val="nil"/>
              <w:bottom w:val="nil"/>
              <w:right w:val="nil"/>
            </w:tcBorders>
          </w:tcPr>
          <w:p w:rsidR="00004219" w:rsidRPr="00DC2D28" w:rsidRDefault="00004219" w:rsidP="00004219">
            <w:pPr>
              <w:pStyle w:val="TableofFigures"/>
              <w:jc w:val="left"/>
              <w:rPr>
                <w:rFonts w:eastAsiaTheme="minorEastAsia"/>
                <w:b/>
                <w:bCs/>
                <w:sz w:val="19"/>
                <w:lang w:eastAsia="en-AU"/>
              </w:rPr>
            </w:pPr>
            <w:r w:rsidRPr="00DC2D28">
              <w:rPr>
                <w:rFonts w:eastAsiaTheme="minorEastAsia"/>
                <w:b/>
                <w:bCs/>
                <w:sz w:val="19"/>
                <w:lang w:eastAsia="en-AU"/>
              </w:rPr>
              <w:t>Other taxes</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Liquor licence fees</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22.6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21.9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22.6</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23.2</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23.9</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Landfill levy</w:t>
            </w:r>
          </w:p>
        </w:tc>
        <w:tc>
          <w:tcPr>
            <w:tcW w:w="994" w:type="dxa"/>
            <w:gridSpan w:val="2"/>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172.7</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174.4</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175.9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158.9</w:t>
            </w:r>
          </w:p>
        </w:tc>
        <w:tc>
          <w:tcPr>
            <w:tcW w:w="994" w:type="dxa"/>
            <w:tcBorders>
              <w:top w:val="nil"/>
              <w:left w:val="nil"/>
              <w:bottom w:val="nil"/>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158.9</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sz w:val="19"/>
                <w:lang w:eastAsia="en-AU"/>
              </w:rPr>
            </w:pPr>
            <w:r w:rsidRPr="00DC2D28">
              <w:rPr>
                <w:rFonts w:eastAsiaTheme="minorEastAsia"/>
                <w:sz w:val="19"/>
                <w:lang w:eastAsia="en-AU"/>
              </w:rPr>
              <w:t xml:space="preserve">  Transport fees</w:t>
            </w:r>
          </w:p>
        </w:tc>
        <w:tc>
          <w:tcPr>
            <w:tcW w:w="994" w:type="dxa"/>
            <w:gridSpan w:val="2"/>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109.9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113.5</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34.9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34.9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sz w:val="19"/>
                <w:lang w:eastAsia="en-AU"/>
              </w:rPr>
            </w:pPr>
            <w:r w:rsidRPr="00DC2D28">
              <w:rPr>
                <w:rFonts w:eastAsiaTheme="minorEastAsia"/>
                <w:sz w:val="19"/>
                <w:lang w:eastAsia="en-AU"/>
              </w:rPr>
              <w:t xml:space="preserve"> 34.9</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 xml:space="preserve"> </w:t>
            </w:r>
          </w:p>
        </w:tc>
        <w:tc>
          <w:tcPr>
            <w:tcW w:w="994" w:type="dxa"/>
            <w:gridSpan w:val="2"/>
            <w:tcBorders>
              <w:top w:val="nil"/>
              <w:left w:val="nil"/>
              <w:bottom w:val="single" w:sz="6" w:space="0" w:color="auto"/>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305.2</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309.9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233.4</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217.0</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 xml:space="preserve"> 217.6</w:t>
            </w:r>
          </w:p>
        </w:tc>
      </w:tr>
      <w:tr w:rsidR="00B03921" w:rsidRPr="00DC2D28" w:rsidTr="00016914">
        <w:tc>
          <w:tcPr>
            <w:tcW w:w="279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sz w:val="19"/>
                <w:lang w:eastAsia="en-AU"/>
              </w:rPr>
            </w:pPr>
            <w:r w:rsidRPr="00DC2D28">
              <w:rPr>
                <w:rFonts w:eastAsiaTheme="minorEastAsia"/>
                <w:b/>
                <w:bCs/>
                <w:sz w:val="19"/>
                <w:lang w:eastAsia="en-AU"/>
              </w:rPr>
              <w:t>Total taxation</w:t>
            </w:r>
          </w:p>
        </w:tc>
        <w:tc>
          <w:tcPr>
            <w:tcW w:w="994" w:type="dxa"/>
            <w:gridSpan w:val="2"/>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18 273.9</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19 024.5</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19 804.5</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20 402.8</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sz w:val="19"/>
                <w:lang w:eastAsia="en-AU"/>
              </w:rPr>
            </w:pPr>
            <w:r w:rsidRPr="00DC2D28">
              <w:rPr>
                <w:rFonts w:eastAsiaTheme="minorEastAsia"/>
                <w:b/>
                <w:bCs/>
                <w:sz w:val="19"/>
                <w:lang w:eastAsia="en-AU"/>
              </w:rPr>
              <w:t>21 339.6</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0C5AE4" w:rsidRDefault="00B03921" w:rsidP="00016914">
      <w:pPr>
        <w:pStyle w:val="Notes"/>
      </w:pPr>
      <w:r>
        <w:t>(a)</w:t>
      </w:r>
      <w:r>
        <w:tab/>
        <w:t>The Fire Services Property Levy funds the recurrent budgets of the MFB and CFA. E</w:t>
      </w:r>
      <w:r w:rsidRPr="000C5AE4">
        <w:t>lection commitments in the L</w:t>
      </w:r>
      <w:r>
        <w:t xml:space="preserve">abor Financial Statement 2014  and </w:t>
      </w:r>
      <w:r w:rsidRPr="000C5AE4">
        <w:t xml:space="preserve"> training provided to firefig</w:t>
      </w:r>
      <w:r>
        <w:t>hters to battle coal mine fires are funded from general revenue.</w:t>
      </w:r>
    </w:p>
    <w:p w:rsidR="00B03921" w:rsidRDefault="00B03921" w:rsidP="00016914">
      <w:pPr>
        <w:pStyle w:val="Heading2"/>
      </w:pPr>
      <w:r>
        <w:t>Land transfer duty</w:t>
      </w:r>
    </w:p>
    <w:p w:rsidR="00B03921" w:rsidRDefault="00B03921" w:rsidP="00016914">
      <w:r>
        <w:t>Land transfer duty revenue is expected to be around $5.0 billion in 2015</w:t>
      </w:r>
      <w:r>
        <w:noBreakHyphen/>
        <w:t>16. Recent strength in the property market continued in the first quarter of 2015, with revenue expected to grow by 17 per cent in 2014</w:t>
      </w:r>
      <w:r>
        <w:noBreakHyphen/>
        <w:t>15, following 27 per cent growth in 2013</w:t>
      </w:r>
      <w:r>
        <w:noBreakHyphen/>
        <w:t>14. The current upswing, which started in mid</w:t>
      </w:r>
      <w:r>
        <w:noBreakHyphen/>
        <w:t>2013, reflects strong demand from owner</w:t>
      </w:r>
      <w:r>
        <w:noBreakHyphen/>
        <w:t xml:space="preserve">occupiers and investors in both residential and commercial markets, supported by historically low interest rates. </w:t>
      </w:r>
    </w:p>
    <w:p w:rsidR="00B03921" w:rsidRDefault="00B03921" w:rsidP="00016914">
      <w:pPr>
        <w:pStyle w:val="BodyText"/>
      </w:pPr>
      <w:r>
        <w:t>A</w:t>
      </w:r>
      <w:r w:rsidRPr="006505D9">
        <w:t xml:space="preserve">s </w:t>
      </w:r>
      <w:r>
        <w:t xml:space="preserve">upward </w:t>
      </w:r>
      <w:r w:rsidRPr="006505D9">
        <w:t xml:space="preserve">momentum of the </w:t>
      </w:r>
      <w:r>
        <w:t xml:space="preserve">current </w:t>
      </w:r>
      <w:r w:rsidRPr="006505D9">
        <w:t>cycle builds, so</w:t>
      </w:r>
      <w:r>
        <w:t xml:space="preserve"> </w:t>
      </w:r>
      <w:r w:rsidRPr="006505D9">
        <w:t>does the likelihood of a correction, as has been the case in past</w:t>
      </w:r>
      <w:r>
        <w:t xml:space="preserve"> property cycles. For example, </w:t>
      </w:r>
      <w:r w:rsidRPr="006505D9">
        <w:t xml:space="preserve">the early 2000s cycle saw </w:t>
      </w:r>
      <w:r>
        <w:t xml:space="preserve">quarterly </w:t>
      </w:r>
      <w:r w:rsidRPr="006505D9">
        <w:t>revenue increase by 92</w:t>
      </w:r>
      <w:r>
        <w:t xml:space="preserve"> per cent from early 2001 to late 2003, </w:t>
      </w:r>
      <w:r w:rsidRPr="006505D9">
        <w:t>followed by a decline of 5</w:t>
      </w:r>
      <w:r>
        <w:t> per cent over the next</w:t>
      </w:r>
      <w:r w:rsidRPr="006505D9">
        <w:t xml:space="preserve"> five quarters. </w:t>
      </w:r>
      <w:r>
        <w:t xml:space="preserve">Between mid-2005 and early 2008, quarterly land transfer duty revenue grew by 67 per cent, but was followed by a </w:t>
      </w:r>
      <w:r w:rsidRPr="006505D9">
        <w:t>26</w:t>
      </w:r>
      <w:r>
        <w:t> per cent drop in revenue over nine months, as the immediate effects of the global financial crisis began to impact Australia.</w:t>
      </w:r>
    </w:p>
    <w:p w:rsidR="00B03921" w:rsidRDefault="00B03921" w:rsidP="00016914">
      <w:pPr>
        <w:pStyle w:val="BodyText"/>
      </w:pPr>
      <w:r>
        <w:t xml:space="preserve">Importantly, land transfer duty follows the property market cycle and is characterised by large increases in revenue during periods of strong growth, reflecting increases in property prices and transactions, followed by periods of negative or flat growth in revenue. </w:t>
      </w:r>
    </w:p>
    <w:p w:rsidR="00B03921" w:rsidRDefault="00B03921" w:rsidP="00016914">
      <w:pPr>
        <w:pStyle w:val="BodyText"/>
      </w:pPr>
      <w:r>
        <w:t>These forecasts incorporate the risk of a period of flatter revenue growth, by adopting sub-trend revenue growth from 2015</w:t>
      </w:r>
      <w:r>
        <w:noBreakHyphen/>
        <w:t>16 onwards. Box 4.1 outlines this approach in the context of past property market cycles.</w:t>
      </w:r>
    </w:p>
    <w:p w:rsidR="00B03921" w:rsidRDefault="00B03921" w:rsidP="00016914">
      <w:pPr>
        <w:pStyle w:val="BodyText"/>
      </w:pPr>
      <w:r>
        <w:br w:type="page"/>
      </w:r>
    </w:p>
    <w:p w:rsidR="00B03921" w:rsidRPr="001574DC" w:rsidRDefault="00B03921" w:rsidP="00016914">
      <w:pPr>
        <w:pStyle w:val="HighlightBoxBullet"/>
        <w:numPr>
          <w:ilvl w:val="0"/>
          <w:numId w:val="0"/>
        </w:numPr>
        <w:tabs>
          <w:tab w:val="left" w:pos="1134"/>
        </w:tabs>
        <w:ind w:left="90"/>
        <w:rPr>
          <w:rFonts w:asciiTheme="minorHAnsi" w:hAnsiTheme="minorHAnsi" w:cstheme="minorHAnsi"/>
          <w:b/>
        </w:rPr>
      </w:pPr>
      <w:r>
        <w:rPr>
          <w:rFonts w:asciiTheme="minorHAnsi" w:hAnsiTheme="minorHAnsi" w:cstheme="minorHAnsi"/>
          <w:b/>
        </w:rPr>
        <w:t>Box 4.1:</w:t>
      </w:r>
      <w:r>
        <w:rPr>
          <w:rFonts w:asciiTheme="minorHAnsi" w:hAnsiTheme="minorHAnsi" w:cstheme="minorHAnsi"/>
          <w:b/>
        </w:rPr>
        <w:tab/>
      </w:r>
      <w:r w:rsidRPr="001574DC">
        <w:rPr>
          <w:rFonts w:asciiTheme="minorHAnsi" w:hAnsiTheme="minorHAnsi" w:cstheme="minorHAnsi"/>
          <w:b/>
        </w:rPr>
        <w:t>Land transfer duty forecasts in the context of past property cycles</w:t>
      </w:r>
    </w:p>
    <w:p w:rsidR="00B03921" w:rsidRDefault="00B03921" w:rsidP="00016914">
      <w:pPr>
        <w:pStyle w:val="HighlightBoxBullet"/>
        <w:numPr>
          <w:ilvl w:val="0"/>
          <w:numId w:val="0"/>
        </w:numPr>
        <w:ind w:left="90"/>
        <w:rPr>
          <w:rFonts w:asciiTheme="minorHAnsi" w:hAnsiTheme="minorHAnsi" w:cstheme="minorHAnsi"/>
          <w:b/>
          <w:szCs w:val="22"/>
        </w:rPr>
      </w:pPr>
      <w:r w:rsidRPr="009539DC">
        <w:t>Victoria</w:t>
      </w:r>
      <w:r w:rsidR="00BA5A16">
        <w:t>’</w:t>
      </w:r>
      <w:r w:rsidRPr="009539DC">
        <w:t xml:space="preserve">s property market has experienced up to six cycles in the past </w:t>
      </w:r>
      <w:r>
        <w:t>25</w:t>
      </w:r>
      <w:r w:rsidRPr="009539DC">
        <w:t xml:space="preserve"> years. These range from strong periods of growth in the late 1980s followed by the downturn of the 1990</w:t>
      </w:r>
      <w:r>
        <w:t>s</w:t>
      </w:r>
      <w:r w:rsidRPr="009539DC">
        <w:t xml:space="preserve"> recession, to the rise and fall of housing activity around the </w:t>
      </w:r>
      <w:r>
        <w:t>time of the global financial crisis</w:t>
      </w:r>
      <w:r w:rsidRPr="009539DC">
        <w:t>. These have all served to create significant volatility in land transfer duty collections, one of the State</w:t>
      </w:r>
      <w:r w:rsidR="00BA5A16">
        <w:t>’</w:t>
      </w:r>
      <w:r w:rsidRPr="009539DC">
        <w:t xml:space="preserve">s largest sources of revenue. The shaded areas in Chart 4.1 show past property market cycles creating peaks and troughs in </w:t>
      </w:r>
      <w:r>
        <w:t xml:space="preserve">land transfer </w:t>
      </w:r>
      <w:r w:rsidRPr="009539DC">
        <w:t>duty revenue.</w:t>
      </w:r>
      <w:r>
        <w:t xml:space="preserve"> </w:t>
      </w:r>
    </w:p>
    <w:p w:rsidR="00B03921" w:rsidRPr="00653B52" w:rsidRDefault="00B03921" w:rsidP="00016914">
      <w:pPr>
        <w:pStyle w:val="HighlightBoxBullet"/>
        <w:numPr>
          <w:ilvl w:val="0"/>
          <w:numId w:val="0"/>
        </w:numPr>
        <w:ind w:left="1418" w:hanging="1328"/>
        <w:rPr>
          <w:rFonts w:asciiTheme="minorHAnsi" w:hAnsiTheme="minorHAnsi" w:cstheme="minorHAnsi"/>
          <w:szCs w:val="22"/>
        </w:rPr>
      </w:pPr>
      <w:r w:rsidRPr="00653B52">
        <w:rPr>
          <w:rFonts w:asciiTheme="minorHAnsi" w:hAnsiTheme="minorHAnsi" w:cstheme="minorHAnsi"/>
          <w:b/>
          <w:szCs w:val="22"/>
        </w:rPr>
        <w:t>Chart 4.1:</w:t>
      </w:r>
      <w:r>
        <w:rPr>
          <w:rFonts w:asciiTheme="minorHAnsi" w:hAnsiTheme="minorHAnsi" w:cstheme="minorHAnsi"/>
          <w:b/>
          <w:szCs w:val="22"/>
        </w:rPr>
        <w:t xml:space="preserve"> L</w:t>
      </w:r>
      <w:r w:rsidRPr="00653B52">
        <w:rPr>
          <w:rFonts w:asciiTheme="minorHAnsi" w:hAnsiTheme="minorHAnsi" w:cstheme="minorHAnsi"/>
          <w:b/>
          <w:szCs w:val="22"/>
        </w:rPr>
        <w:t xml:space="preserve">and transfer duty </w:t>
      </w:r>
      <w:r>
        <w:rPr>
          <w:rFonts w:asciiTheme="minorHAnsi" w:hAnsiTheme="minorHAnsi" w:cstheme="minorHAnsi"/>
          <w:b/>
          <w:szCs w:val="22"/>
        </w:rPr>
        <w:t>over recent</w:t>
      </w:r>
      <w:r w:rsidRPr="00653B52">
        <w:rPr>
          <w:rFonts w:asciiTheme="minorHAnsi" w:hAnsiTheme="minorHAnsi" w:cstheme="minorHAnsi"/>
          <w:b/>
          <w:szCs w:val="22"/>
        </w:rPr>
        <w:t xml:space="preserve"> property market cycle</w:t>
      </w:r>
      <w:r>
        <w:rPr>
          <w:rFonts w:asciiTheme="minorHAnsi" w:hAnsiTheme="minorHAnsi" w:cstheme="minorHAnsi"/>
          <w:b/>
          <w:szCs w:val="22"/>
        </w:rPr>
        <w:t>s</w:t>
      </w:r>
    </w:p>
    <w:p w:rsidR="00B03921" w:rsidRPr="002575CE" w:rsidRDefault="001C18AD" w:rsidP="00016914">
      <w:pPr>
        <w:pStyle w:val="HighlightBoxBullet"/>
        <w:numPr>
          <w:ilvl w:val="0"/>
          <w:numId w:val="0"/>
        </w:numPr>
        <w:ind w:left="90"/>
        <w:jc w:val="cen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9pt;height:220.3pt">
            <v:imagedata r:id="rId69" o:title="" cropleft="1425f"/>
          </v:shape>
        </w:pict>
      </w:r>
    </w:p>
    <w:p w:rsidR="00B03921" w:rsidRPr="00653B52" w:rsidRDefault="00B03921" w:rsidP="00016914">
      <w:pPr>
        <w:pStyle w:val="HighlightBoxBullet"/>
        <w:numPr>
          <w:ilvl w:val="0"/>
          <w:numId w:val="0"/>
        </w:numPr>
        <w:ind w:left="90"/>
        <w:rPr>
          <w:rFonts w:asciiTheme="minorHAnsi" w:hAnsiTheme="minorHAnsi" w:cstheme="minorHAnsi"/>
          <w:i/>
          <w:sz w:val="15"/>
          <w:szCs w:val="15"/>
        </w:rPr>
      </w:pPr>
      <w:r w:rsidRPr="00653B52">
        <w:rPr>
          <w:rFonts w:asciiTheme="minorHAnsi" w:hAnsiTheme="minorHAnsi" w:cstheme="minorHAnsi"/>
          <w:i/>
          <w:sz w:val="15"/>
          <w:szCs w:val="15"/>
        </w:rPr>
        <w:t>Source: Department of Treasury and Finance</w:t>
      </w:r>
    </w:p>
    <w:p w:rsidR="00B03921" w:rsidRDefault="00B03921" w:rsidP="00016914">
      <w:pPr>
        <w:pStyle w:val="HighlightBoxBullet"/>
        <w:numPr>
          <w:ilvl w:val="0"/>
          <w:numId w:val="0"/>
        </w:numPr>
        <w:ind w:left="90"/>
      </w:pPr>
      <w:r>
        <w:t xml:space="preserve">While past property market cycles differ in their underlying economic drivers, there is a consistent pattern that periods of strong growth have generally been followed by shorter periods of flat or negative growth, causing land transfer duty revenue to fluctuate around its long-run upward trend. </w:t>
      </w:r>
    </w:p>
    <w:p w:rsidR="00B03921" w:rsidRDefault="00B03921" w:rsidP="00016914">
      <w:pPr>
        <w:pStyle w:val="HighlightBoxBullet"/>
        <w:numPr>
          <w:ilvl w:val="0"/>
          <w:numId w:val="0"/>
        </w:numPr>
        <w:ind w:left="90"/>
      </w:pPr>
      <w:r>
        <w:t>From mid</w:t>
      </w:r>
      <w:r>
        <w:noBreakHyphen/>
        <w:t xml:space="preserve">2013, revenue has been growing strongly. </w:t>
      </w:r>
      <w:r w:rsidRPr="00905B61">
        <w:t>With low interest rates and Victoria</w:t>
      </w:r>
      <w:r w:rsidR="00BA5A16">
        <w:t>’</w:t>
      </w:r>
      <w:r w:rsidRPr="00905B61">
        <w:t xml:space="preserve">s population </w:t>
      </w:r>
      <w:r>
        <w:t>growing robustly</w:t>
      </w:r>
      <w:r w:rsidRPr="00905B61">
        <w:t xml:space="preserve">, there is no obvious trigger that would cause an immediate </w:t>
      </w:r>
      <w:r>
        <w:t>property market correction</w:t>
      </w:r>
      <w:r w:rsidRPr="00905B61">
        <w:t xml:space="preserve">. </w:t>
      </w:r>
      <w:r>
        <w:t>Property prices and transactions continue to grow solidly, although the rate of growth in some forward indicators slowed in late 2014.</w:t>
      </w:r>
    </w:p>
    <w:p w:rsidR="00B03921" w:rsidRDefault="00B03921" w:rsidP="00016914">
      <w:pPr>
        <w:pStyle w:val="HighlightBoxBullet"/>
        <w:numPr>
          <w:ilvl w:val="0"/>
          <w:numId w:val="0"/>
        </w:numPr>
        <w:ind w:left="90"/>
      </w:pPr>
      <w:r w:rsidRPr="009B57B1">
        <w:t>Importantly, the longer the current upswing in the property market lasts the greater is the likelihood a slowdown will emerge.</w:t>
      </w:r>
    </w:p>
    <w:p w:rsidR="00B03921" w:rsidRDefault="00B03921" w:rsidP="00016914">
      <w:pPr>
        <w:pStyle w:val="HighlightBoxBullet"/>
        <w:numPr>
          <w:ilvl w:val="0"/>
          <w:numId w:val="0"/>
        </w:numPr>
        <w:ind w:left="90"/>
      </w:pPr>
      <w:r>
        <w:t>Chart 4.1 shows a flatter period of revenue growth is forecast from 2015</w:t>
      </w:r>
      <w:r>
        <w:noBreakHyphen/>
        <w:t xml:space="preserve">16 onwards to account for the risks of a slowdown, as has followed past periods of accelerated growth. </w:t>
      </w:r>
      <w:r w:rsidRPr="00905B61">
        <w:t>This approach appropriately balances risks and is</w:t>
      </w:r>
      <w:r>
        <w:t xml:space="preserve"> prudent in the context of the four</w:t>
      </w:r>
      <w:r w:rsidRPr="00905B61">
        <w:t>-year</w:t>
      </w:r>
      <w:r>
        <w:t xml:space="preserve"> government budgeting process.</w:t>
      </w:r>
    </w:p>
    <w:p w:rsidR="00B03921" w:rsidRDefault="00B03921" w:rsidP="00016914">
      <w:pPr>
        <w:pStyle w:val="HighlightBoxBullet"/>
        <w:numPr>
          <w:ilvl w:val="0"/>
          <w:numId w:val="0"/>
        </w:numPr>
        <w:ind w:left="90"/>
      </w:pPr>
      <w:r>
        <w:t xml:space="preserve">On the upside, Australian financial conditions remain very accommodative, and Victoria is well placed to benefit from a transition towards broader drivers of growth in the national economy, underpinning further growth in the property market. </w:t>
      </w:r>
    </w:p>
    <w:p w:rsidR="00B03921" w:rsidRDefault="00B03921" w:rsidP="00016914">
      <w:pPr>
        <w:pStyle w:val="HighlightBoxBullet"/>
        <w:numPr>
          <w:ilvl w:val="0"/>
          <w:numId w:val="0"/>
        </w:numPr>
        <w:ind w:left="90"/>
      </w:pPr>
      <w:r>
        <w:t xml:space="preserve">On the downside, house prices have already risen considerably at a time when income growth has been slowing, pushing up household leverage. This could limit the potential for further growth in the property market, noting that investors have been an important driver of growth. </w:t>
      </w:r>
    </w:p>
    <w:p w:rsidR="00B03921" w:rsidRPr="00791991" w:rsidRDefault="00B03921" w:rsidP="00016914">
      <w:pPr>
        <w:pStyle w:val="HighlightBoxBullet"/>
        <w:numPr>
          <w:ilvl w:val="0"/>
          <w:numId w:val="0"/>
        </w:numPr>
        <w:ind w:left="90"/>
      </w:pPr>
      <w:r>
        <w:t>Subdued global growth prospects are leading to lower worldwide spending and growth, and could see further cuts to Australian growth. Global macroeconomic risks have decreased slightly since 2014, as the likelihood of a recession in the euro area has decreased, and along with it, the risk of deflation. But financial and geopolitical risks have increased. If large relative price changes and exchange rate movements continue, this could create further financial risks. For Australia, an exacerbation of these risks could trigger a global confidence shock or a hard landing in China. While low- probability, this would be a high impact event, quickly translating into lower asset prices in Australia.</w:t>
      </w:r>
    </w:p>
    <w:p w:rsidR="00B03921" w:rsidRDefault="00B03921" w:rsidP="00016914">
      <w:pPr>
        <w:pStyle w:val="Heading2"/>
      </w:pPr>
      <w:r>
        <w:t>Land tax</w:t>
      </w:r>
    </w:p>
    <w:p w:rsidR="00B03921" w:rsidRDefault="00B03921" w:rsidP="00016914">
      <w:r>
        <w:t>Land tax revenue in 2015</w:t>
      </w:r>
      <w:r>
        <w:noBreakHyphen/>
        <w:t>16 is forecast to be around $1.8 billion. The s</w:t>
      </w:r>
      <w:r w:rsidRPr="001D6FEB">
        <w:t xml:space="preserve">trong </w:t>
      </w:r>
      <w:r>
        <w:t>property market</w:t>
      </w:r>
      <w:r w:rsidRPr="001D6FEB">
        <w:t xml:space="preserve"> </w:t>
      </w:r>
      <w:r>
        <w:t>is expected to drive solid land tax revenue growth, as increased investor and business holdings of property mean that a larger portion of Victoria</w:t>
      </w:r>
      <w:r w:rsidR="00BA5A16">
        <w:t>’</w:t>
      </w:r>
      <w:r>
        <w:t xml:space="preserve">s stock of </w:t>
      </w:r>
      <w:r w:rsidRPr="001D6FEB">
        <w:t xml:space="preserve">land </w:t>
      </w:r>
      <w:r>
        <w:t xml:space="preserve">is </w:t>
      </w:r>
      <w:r w:rsidRPr="001D6FEB">
        <w:t>now subject to land tax</w:t>
      </w:r>
      <w:r>
        <w:t xml:space="preserve"> (as principal places of residence are exempt from land tax)</w:t>
      </w:r>
      <w:r w:rsidRPr="001D6FEB">
        <w:t xml:space="preserve">. </w:t>
      </w:r>
    </w:p>
    <w:p w:rsidR="00B03921" w:rsidRDefault="00B03921" w:rsidP="00016914">
      <w:pPr>
        <w:pStyle w:val="BodyText"/>
      </w:pPr>
      <w:r w:rsidRPr="001D6FEB">
        <w:t>Greater compliance activity by the State Revenue Office to ensure only genuine owner-occupiers receive the land tax primary place of residence</w:t>
      </w:r>
      <w:r>
        <w:t xml:space="preserve"> exemption is also contributing </w:t>
      </w:r>
      <w:r>
        <w:br/>
        <w:t>to increased revenue.</w:t>
      </w:r>
    </w:p>
    <w:p w:rsidR="00B03921" w:rsidRDefault="00B03921" w:rsidP="00016914">
      <w:r>
        <w:t>From 2016</w:t>
      </w:r>
      <w:r>
        <w:noBreakHyphen/>
        <w:t xml:space="preserve">17 onwards, land value growth is expected to slow to a rate that aligns more closely with nominal economic growth. This is consistent with more subdued property market activity across the forward estimates. </w:t>
      </w:r>
    </w:p>
    <w:p w:rsidR="00B03921" w:rsidRDefault="00B03921" w:rsidP="00016914">
      <w:pPr>
        <w:pStyle w:val="Heading2"/>
      </w:pPr>
      <w:r>
        <w:t>Growth Areas Infrastructure Contribution</w:t>
      </w:r>
    </w:p>
    <w:p w:rsidR="00B03921" w:rsidRPr="00EB31A6" w:rsidRDefault="00B03921" w:rsidP="00016914">
      <w:r>
        <w:t>Revenue from the Growth Areas Infrastructure Contribution</w:t>
      </w:r>
      <w:r w:rsidRPr="00EB31A6">
        <w:t xml:space="preserve"> is </w:t>
      </w:r>
      <w:r>
        <w:t>expected to be around $108 million in 2015</w:t>
      </w:r>
      <w:r>
        <w:noBreakHyphen/>
        <w:t>16, and is assumed to grow by an average of 5.5 per cent over the forward estimates, broadly in line with projected nominal economic growth. D</w:t>
      </w:r>
      <w:r w:rsidRPr="00EB31A6">
        <w:t xml:space="preserve">evelopment in the urban growth areas </w:t>
      </w:r>
      <w:r>
        <w:t>has gathered pace. In part, this reflects property prices increasing in Melbourne</w:t>
      </w:r>
      <w:r w:rsidR="00BA5A16">
        <w:t>’</w:t>
      </w:r>
      <w:r>
        <w:t>s inner areas, with buyers turning towards more affordable housing in the growth areas. Development activity is expected to be strong</w:t>
      </w:r>
      <w:r w:rsidRPr="00EB31A6">
        <w:t xml:space="preserve"> as more precinct structure plans</w:t>
      </w:r>
      <w:r>
        <w:t xml:space="preserve"> for the urban growth areas</w:t>
      </w:r>
      <w:r w:rsidRPr="00EB31A6">
        <w:t xml:space="preserve"> are completed.</w:t>
      </w:r>
    </w:p>
    <w:p w:rsidR="00B03921" w:rsidRDefault="00B03921">
      <w:pPr>
        <w:spacing w:after="0"/>
        <w:rPr>
          <w:rFonts w:ascii="Calibri" w:hAnsi="Calibri"/>
          <w:b/>
          <w:sz w:val="26"/>
          <w:szCs w:val="22"/>
        </w:rPr>
      </w:pPr>
      <w:r>
        <w:br w:type="page"/>
      </w:r>
    </w:p>
    <w:p w:rsidR="00B03921" w:rsidRDefault="00B03921" w:rsidP="00016914">
      <w:pPr>
        <w:pStyle w:val="Heading2"/>
      </w:pPr>
      <w:r>
        <w:t>Payroll tax</w:t>
      </w:r>
    </w:p>
    <w:p w:rsidR="00B03921" w:rsidRDefault="00B03921" w:rsidP="00016914">
      <w:r>
        <w:t>Payroll tax revenue is expected to be $5.4 billion in 2015</w:t>
      </w:r>
      <w:r>
        <w:noBreakHyphen/>
        <w:t xml:space="preserve">16. </w:t>
      </w:r>
      <w:r w:rsidRPr="0010329A">
        <w:t xml:space="preserve">While employment </w:t>
      </w:r>
      <w:r>
        <w:t xml:space="preserve">growth </w:t>
      </w:r>
      <w:r w:rsidRPr="0010329A">
        <w:t>has strengthened since mid</w:t>
      </w:r>
      <w:r>
        <w:noBreakHyphen/>
      </w:r>
      <w:r w:rsidRPr="0010329A">
        <w:t xml:space="preserve">2014, much of this has been concentrated in part-time jobs. Aggregate hours worked, </w:t>
      </w:r>
      <w:r>
        <w:t xml:space="preserve">which aligns closely with </w:t>
      </w:r>
      <w:r w:rsidRPr="0010329A">
        <w:t xml:space="preserve">payroll tax revenue, </w:t>
      </w:r>
      <w:r>
        <w:t>experienced little growth, as detailed in Box 4.2</w:t>
      </w:r>
      <w:r w:rsidRPr="0010329A">
        <w:t xml:space="preserve">. </w:t>
      </w:r>
    </w:p>
    <w:p w:rsidR="00B03921" w:rsidRDefault="00B03921" w:rsidP="00016914">
      <w:r>
        <w:t>Payroll tax c</w:t>
      </w:r>
      <w:r w:rsidRPr="0010329A">
        <w:t xml:space="preserve">ollections to date suggest that </w:t>
      </w:r>
      <w:r>
        <w:t>in the near term, a recovery</w:t>
      </w:r>
      <w:r w:rsidRPr="0010329A">
        <w:t xml:space="preserve"> in hours</w:t>
      </w:r>
      <w:r>
        <w:t xml:space="preserve"> worked</w:t>
      </w:r>
      <w:r w:rsidRPr="0010329A">
        <w:t xml:space="preserve"> </w:t>
      </w:r>
      <w:r>
        <w:t>will be</w:t>
      </w:r>
      <w:r w:rsidRPr="0010329A">
        <w:t xml:space="preserve"> delayed. </w:t>
      </w:r>
      <w:r>
        <w:t>Nevertheless, o</w:t>
      </w:r>
      <w:r w:rsidRPr="0010329A">
        <w:t xml:space="preserve">ver the forward estimates, full-time employment and hours worked are expected to </w:t>
      </w:r>
      <w:r>
        <w:t>increase</w:t>
      </w:r>
      <w:r w:rsidRPr="0010329A">
        <w:t xml:space="preserve"> as the economy returns to trend growth.</w:t>
      </w:r>
    </w:p>
    <w:p w:rsidR="00B03921" w:rsidRPr="00653B52" w:rsidRDefault="00B03921" w:rsidP="00016914">
      <w:pPr>
        <w:pStyle w:val="HighlightBoxBullet"/>
        <w:numPr>
          <w:ilvl w:val="0"/>
          <w:numId w:val="0"/>
        </w:numPr>
        <w:tabs>
          <w:tab w:val="left" w:pos="1134"/>
        </w:tabs>
        <w:ind w:left="90"/>
        <w:rPr>
          <w:rFonts w:asciiTheme="minorHAnsi" w:hAnsiTheme="minorHAnsi" w:cstheme="minorHAnsi"/>
          <w:b/>
        </w:rPr>
      </w:pPr>
      <w:r w:rsidRPr="00653B52">
        <w:rPr>
          <w:rFonts w:asciiTheme="minorHAnsi" w:hAnsiTheme="minorHAnsi" w:cstheme="minorHAnsi"/>
          <w:b/>
        </w:rPr>
        <w:t>Box 4.2:</w:t>
      </w:r>
      <w:r w:rsidRPr="00653B52">
        <w:rPr>
          <w:rFonts w:asciiTheme="minorHAnsi" w:hAnsiTheme="minorHAnsi" w:cstheme="minorHAnsi"/>
          <w:b/>
        </w:rPr>
        <w:tab/>
        <w:t>Divergence between employment and aggregate hours worked</w:t>
      </w:r>
    </w:p>
    <w:p w:rsidR="00B03921" w:rsidRDefault="00B03921" w:rsidP="00016914">
      <w:pPr>
        <w:pStyle w:val="HighlightBoxBullet"/>
        <w:numPr>
          <w:ilvl w:val="0"/>
          <w:numId w:val="0"/>
        </w:numPr>
        <w:ind w:left="90"/>
      </w:pPr>
      <w:r>
        <w:t>I</w:t>
      </w:r>
      <w:r w:rsidRPr="00EB31A6">
        <w:t xml:space="preserve">n the years since the </w:t>
      </w:r>
      <w:r>
        <w:t xml:space="preserve">global financial crisis </w:t>
      </w:r>
      <w:r w:rsidRPr="00EB31A6">
        <w:t>of 2008</w:t>
      </w:r>
      <w:r>
        <w:noBreakHyphen/>
      </w:r>
      <w:r w:rsidRPr="00EB31A6">
        <w:t xml:space="preserve">09, the long-run relationship between total employment and payroll tax revenue has </w:t>
      </w:r>
      <w:r>
        <w:t>diverged</w:t>
      </w:r>
      <w:r w:rsidRPr="00EB31A6">
        <w:t xml:space="preserve">. </w:t>
      </w:r>
      <w:r>
        <w:t xml:space="preserve">While </w:t>
      </w:r>
      <w:r w:rsidRPr="00EB31A6">
        <w:t xml:space="preserve">Victoria has seen a strong upswing in </w:t>
      </w:r>
      <w:r>
        <w:t>total employment since mid</w:t>
      </w:r>
      <w:r>
        <w:noBreakHyphen/>
        <w:t xml:space="preserve">2014, there has not been an equivalent rise in </w:t>
      </w:r>
      <w:r w:rsidRPr="00EB31A6">
        <w:t>payroll tax revenue.</w:t>
      </w:r>
    </w:p>
    <w:p w:rsidR="00B03921" w:rsidRDefault="00B03921" w:rsidP="00016914">
      <w:pPr>
        <w:pStyle w:val="HighlightBoxBullet"/>
        <w:numPr>
          <w:ilvl w:val="0"/>
          <w:numId w:val="0"/>
        </w:numPr>
        <w:ind w:left="90"/>
      </w:pPr>
      <w:r>
        <w:t xml:space="preserve">Contributing to the divergence between employment and payroll tax growth </w:t>
      </w:r>
      <w:r w:rsidRPr="00EB31A6">
        <w:t>is th</w:t>
      </w:r>
      <w:r>
        <w:t xml:space="preserve">e recent concentration of </w:t>
      </w:r>
      <w:r w:rsidRPr="00EB31A6">
        <w:t xml:space="preserve">employment growth in part-time jobs. </w:t>
      </w:r>
      <w:r>
        <w:t xml:space="preserve">Since </w:t>
      </w:r>
      <w:r w:rsidRPr="00EB31A6">
        <w:t xml:space="preserve">the </w:t>
      </w:r>
      <w:r>
        <w:t xml:space="preserve">global financial crisis, part-time growth has outpaced growth in full-time hours, </w:t>
      </w:r>
      <w:r w:rsidRPr="00EB31A6">
        <w:t>contributing to below</w:t>
      </w:r>
      <w:r>
        <w:noBreakHyphen/>
      </w:r>
      <w:r w:rsidRPr="00EB31A6">
        <w:t xml:space="preserve">trend growth in payroll </w:t>
      </w:r>
      <w:r>
        <w:t xml:space="preserve">tax </w:t>
      </w:r>
      <w:r w:rsidRPr="00EB31A6">
        <w:t>since 2011</w:t>
      </w:r>
      <w:r>
        <w:noBreakHyphen/>
      </w:r>
      <w:r w:rsidRPr="00EB31A6">
        <w:t>12</w:t>
      </w:r>
      <w:r>
        <w:t xml:space="preserve"> (Chart 4.2)</w:t>
      </w:r>
      <w:r w:rsidRPr="00EB31A6">
        <w:t>.</w:t>
      </w:r>
    </w:p>
    <w:p w:rsidR="00B03921" w:rsidRDefault="00B03921" w:rsidP="00016914">
      <w:pPr>
        <w:pStyle w:val="HighlightBoxBullet"/>
        <w:numPr>
          <w:ilvl w:val="0"/>
          <w:numId w:val="0"/>
        </w:numPr>
        <w:ind w:left="1418" w:hanging="1328"/>
        <w:rPr>
          <w:b/>
          <w:sz w:val="18"/>
        </w:rPr>
      </w:pPr>
      <w:r w:rsidRPr="00653B52">
        <w:rPr>
          <w:rFonts w:asciiTheme="minorHAnsi" w:hAnsiTheme="minorHAnsi" w:cstheme="minorHAnsi"/>
          <w:b/>
        </w:rPr>
        <w:t>Chart 4.2:</w:t>
      </w:r>
      <w:r>
        <w:rPr>
          <w:rFonts w:asciiTheme="minorHAnsi" w:hAnsiTheme="minorHAnsi" w:cstheme="minorHAnsi"/>
          <w:b/>
        </w:rPr>
        <w:tab/>
        <w:t>Indexed g</w:t>
      </w:r>
      <w:r w:rsidRPr="00653B52">
        <w:rPr>
          <w:rFonts w:asciiTheme="minorHAnsi" w:hAnsiTheme="minorHAnsi" w:cstheme="minorHAnsi"/>
          <w:b/>
        </w:rPr>
        <w:t xml:space="preserve">rowth in </w:t>
      </w:r>
      <w:r>
        <w:rPr>
          <w:rFonts w:asciiTheme="minorHAnsi" w:hAnsiTheme="minorHAnsi" w:cstheme="minorHAnsi"/>
          <w:b/>
        </w:rPr>
        <w:t>employment and hours worked, Victoria</w:t>
      </w:r>
    </w:p>
    <w:p w:rsidR="00B03921" w:rsidRDefault="001C18AD" w:rsidP="00016914">
      <w:pPr>
        <w:pStyle w:val="HighlightBoxBullet"/>
        <w:numPr>
          <w:ilvl w:val="0"/>
          <w:numId w:val="0"/>
        </w:numPr>
        <w:ind w:left="90"/>
        <w:jc w:val="center"/>
        <w:rPr>
          <w:b/>
          <w:sz w:val="18"/>
        </w:rPr>
      </w:pPr>
      <w:r>
        <w:rPr>
          <w:noProof/>
          <w:lang w:eastAsia="en-AU"/>
        </w:rPr>
        <w:pict>
          <v:shape id="_x0000_i1026" type="#_x0000_t75" style="width:369.15pt;height:210.1pt">
            <v:imagedata r:id="rId70" o:title=""/>
          </v:shape>
        </w:pict>
      </w:r>
    </w:p>
    <w:p w:rsidR="00B03921" w:rsidRPr="00653B52" w:rsidRDefault="00B03921" w:rsidP="00016914">
      <w:pPr>
        <w:pStyle w:val="HighlightBoxBullet"/>
        <w:numPr>
          <w:ilvl w:val="0"/>
          <w:numId w:val="0"/>
        </w:numPr>
        <w:ind w:left="90"/>
        <w:rPr>
          <w:rFonts w:asciiTheme="minorHAnsi" w:hAnsiTheme="minorHAnsi" w:cstheme="minorHAnsi"/>
          <w:i/>
          <w:sz w:val="15"/>
          <w:szCs w:val="15"/>
        </w:rPr>
      </w:pPr>
      <w:r w:rsidRPr="00653B52">
        <w:rPr>
          <w:rFonts w:asciiTheme="minorHAnsi" w:hAnsiTheme="minorHAnsi" w:cstheme="minorHAnsi"/>
          <w:i/>
          <w:sz w:val="15"/>
          <w:szCs w:val="15"/>
        </w:rPr>
        <w:t>Source: Department of Treasury and Finance</w:t>
      </w:r>
    </w:p>
    <w:p w:rsidR="00B03921" w:rsidRDefault="00B03921" w:rsidP="00016914">
      <w:pPr>
        <w:pStyle w:val="HighlightBoxBullet"/>
        <w:numPr>
          <w:ilvl w:val="0"/>
          <w:numId w:val="0"/>
        </w:numPr>
        <w:ind w:left="90"/>
      </w:pPr>
      <w:r>
        <w:t xml:space="preserve">As </w:t>
      </w:r>
      <w:r w:rsidRPr="00F7540F">
        <w:t>Budget Paper No. 2, Chapter 3</w:t>
      </w:r>
      <w:r>
        <w:t xml:space="preserve"> </w:t>
      </w:r>
      <w:r>
        <w:rPr>
          <w:i/>
        </w:rPr>
        <w:t>The Jobs Challenge</w:t>
      </w:r>
      <w:r w:rsidRPr="00F7540F">
        <w:rPr>
          <w:i/>
        </w:rPr>
        <w:t xml:space="preserve"> </w:t>
      </w:r>
      <w:r>
        <w:t>discusses, the period following the global financial crisis has seen weakness in Victoria</w:t>
      </w:r>
      <w:r w:rsidR="00BA5A16">
        <w:t>’</w:t>
      </w:r>
      <w:r>
        <w:t>s labour market. This has been characterised by growing spare capacity and relatively high levels of unemployment. Victoria</w:t>
      </w:r>
      <w:r w:rsidR="00BA5A16">
        <w:t>’</w:t>
      </w:r>
      <w:r>
        <w:t xml:space="preserve">s trend underemployment rate increased to 9.6 per cent in February 2015, the highest rate recorded in the history of the series, which began in 1978. </w:t>
      </w:r>
    </w:p>
    <w:p w:rsidR="00B03921" w:rsidRDefault="00B03921">
      <w:pPr>
        <w:spacing w:after="0"/>
      </w:pPr>
      <w:r>
        <w:br w:type="page"/>
      </w:r>
    </w:p>
    <w:p w:rsidR="00B03921" w:rsidRDefault="00B03921" w:rsidP="00016914">
      <w:pPr>
        <w:pStyle w:val="HighlightBoxBullet"/>
        <w:numPr>
          <w:ilvl w:val="0"/>
          <w:numId w:val="0"/>
        </w:numPr>
        <w:ind w:left="90"/>
      </w:pPr>
      <w:r>
        <w:t xml:space="preserve">Further illustrating the emergence of spare capacity in the labour market, aggregate hours worked in Victoria have been effectively flat over the past four years despite strong population growth. As a result, average hours worked per Victorian aged 15 </w:t>
      </w:r>
      <w:r w:rsidR="0072051B">
        <w:t> </w:t>
      </w:r>
      <w:r>
        <w:t xml:space="preserve">years and over has fallen sharply, towards levels not seen since the recessions </w:t>
      </w:r>
      <w:r w:rsidR="0072051B">
        <w:br/>
      </w:r>
      <w:r>
        <w:t>of the early 1980s and 1990s.</w:t>
      </w:r>
    </w:p>
    <w:p w:rsidR="00B03921" w:rsidRDefault="00B03921" w:rsidP="00016914">
      <w:pPr>
        <w:pStyle w:val="HighlightBoxBullet"/>
        <w:numPr>
          <w:ilvl w:val="0"/>
          <w:numId w:val="0"/>
        </w:numPr>
        <w:ind w:left="90"/>
      </w:pPr>
      <w:r>
        <w:t xml:space="preserve">Structural changes in hiring practices and industry composition may also have contributed to the current disconnect between employment growth and payroll tax revenue. This reflects that most employment growth in recent years has been in industries which are generally exempt from payroll tax, such as health and education. Meanwhile, growth in previously strong sectors which are not exempt, such as manufacturing and construction, has slowed. This is exacerbated as exempt industries are generally less sensitive to the weak income and consumption growth seen since the global financial crisis. For example, demand for education and health services will grow broadly in line with population and is less vulnerable to cyclical fluctuations. </w:t>
      </w:r>
    </w:p>
    <w:p w:rsidR="00B03921" w:rsidRDefault="00B03921" w:rsidP="00016914">
      <w:pPr>
        <w:pStyle w:val="Heading2"/>
      </w:pPr>
      <w:r>
        <w:t>Gambling taxes</w:t>
      </w:r>
    </w:p>
    <w:p w:rsidR="00B03921" w:rsidRDefault="00B03921" w:rsidP="00016914">
      <w:r>
        <w:t>Gambling tax revenue is forecast to be around $1.9 billion in 2015</w:t>
      </w:r>
      <w:r>
        <w:noBreakHyphen/>
        <w:t xml:space="preserve">16 and will grow by </w:t>
      </w:r>
      <w:r w:rsidR="0072051B">
        <w:br/>
      </w:r>
      <w:r>
        <w:t>an average of 2.9 per cent a year over the forward estimates. The level of gambling tax revenue is weaker than previously forecast reflecting general weakness in nominal consumption expenditure. Gambling expenditure as a share of total household consumption is also declining, weighing down revenue growth over the forward estimates.</w:t>
      </w:r>
    </w:p>
    <w:p w:rsidR="00B03921" w:rsidRDefault="00B03921" w:rsidP="00016914">
      <w:r>
        <w:t>In 2015</w:t>
      </w:r>
      <w:r>
        <w:noBreakHyphen/>
        <w:t>16, an estimated 78 per cent of total gambling revenue will be transferred to the Hospitals and Charities Fund, the Mental Health Fund and the Community Support Fund, including funding for the Victorian Responsible Gambling Foundation, with the remaining revenue available for general government purposes.</w:t>
      </w:r>
    </w:p>
    <w:p w:rsidR="00B03921" w:rsidRDefault="00B03921" w:rsidP="00016914">
      <w:pPr>
        <w:pStyle w:val="Heading2"/>
      </w:pPr>
      <w:r>
        <w:t>Insurance taxes</w:t>
      </w:r>
    </w:p>
    <w:p w:rsidR="00B03921" w:rsidRDefault="00B03921" w:rsidP="00016914">
      <w:r>
        <w:t>Insurance taxes are expected to generate $1.2 billion in revenue in 2015</w:t>
      </w:r>
      <w:r>
        <w:noBreakHyphen/>
        <w:t>16. Increased competition in the domestic general insurance market, due to a growing number of low</w:t>
      </w:r>
      <w:r>
        <w:noBreakHyphen/>
        <w:t xml:space="preserve">cost and overseas insurers, continues to put downward pressure on premiums. </w:t>
      </w:r>
    </w:p>
    <w:p w:rsidR="00B03921" w:rsidRDefault="00B03921" w:rsidP="00016914">
      <w:r>
        <w:t>This has reduced insurance tax revenue growth to 5.4 per cent</w:t>
      </w:r>
      <w:r w:rsidRPr="00A543B5">
        <w:t xml:space="preserve"> in 2015</w:t>
      </w:r>
      <w:r>
        <w:noBreakHyphen/>
      </w:r>
      <w:r w:rsidRPr="00A543B5">
        <w:t xml:space="preserve">16. Growth is </w:t>
      </w:r>
      <w:r>
        <w:t xml:space="preserve">then </w:t>
      </w:r>
      <w:r w:rsidRPr="00A543B5">
        <w:t>expected to increase to an average of 6.</w:t>
      </w:r>
      <w:r>
        <w:t>8 per cent</w:t>
      </w:r>
      <w:r w:rsidRPr="00A543B5">
        <w:t xml:space="preserve"> a year</w:t>
      </w:r>
      <w:r>
        <w:t xml:space="preserve"> over the forward estimates, consistent with trend growth</w:t>
      </w:r>
      <w:r w:rsidRPr="002A2609">
        <w:t>.</w:t>
      </w:r>
      <w:r>
        <w:t xml:space="preserve"> </w:t>
      </w:r>
    </w:p>
    <w:p w:rsidR="00B03921" w:rsidRDefault="00B03921" w:rsidP="00016914">
      <w:pPr>
        <w:pStyle w:val="Heading2"/>
      </w:pPr>
      <w:r>
        <w:t>Motor vehicle taxes</w:t>
      </w:r>
    </w:p>
    <w:p w:rsidR="00B03921" w:rsidRPr="007E4E2E" w:rsidRDefault="00B03921" w:rsidP="00016914">
      <w:r w:rsidRPr="007E4E2E">
        <w:t xml:space="preserve">Motor vehicle taxes </w:t>
      </w:r>
      <w:r>
        <w:t>are expected to generate $2.2 billion in 2015</w:t>
      </w:r>
      <w:r>
        <w:noBreakHyphen/>
        <w:t>16 and grow by an average of 4.2 per cent a year over the forward estimates, broadly in line with its trend growth rate.</w:t>
      </w:r>
      <w:r w:rsidRPr="007E4E2E">
        <w:t xml:space="preserve"> </w:t>
      </w:r>
      <w:r>
        <w:t>Motor</w:t>
      </w:r>
      <w:r w:rsidRPr="007E4E2E">
        <w:t xml:space="preserve"> vehicle purchases </w:t>
      </w:r>
      <w:r>
        <w:t xml:space="preserve">do not appear to have been significantly affected by recent weakness in income growth, </w:t>
      </w:r>
      <w:r w:rsidRPr="007E4E2E">
        <w:t>supporting</w:t>
      </w:r>
      <w:r>
        <w:t xml:space="preserve"> growth in motor vehicle duty revenue</w:t>
      </w:r>
      <w:r w:rsidRPr="007E4E2E">
        <w:t xml:space="preserve">. </w:t>
      </w:r>
    </w:p>
    <w:p w:rsidR="00B03921" w:rsidRDefault="00B03921" w:rsidP="00016914">
      <w:r w:rsidRPr="007E4E2E">
        <w:t xml:space="preserve">Details of specific revenue measures since the </w:t>
      </w:r>
      <w:r w:rsidRPr="007E4E2E">
        <w:rPr>
          <w:i/>
        </w:rPr>
        <w:t>2014</w:t>
      </w:r>
      <w:r>
        <w:rPr>
          <w:i/>
        </w:rPr>
        <w:noBreakHyphen/>
      </w:r>
      <w:r w:rsidRPr="007E4E2E">
        <w:rPr>
          <w:i/>
        </w:rPr>
        <w:t>15 Budget Update</w:t>
      </w:r>
      <w:r w:rsidRPr="007E4E2E">
        <w:t xml:space="preserve"> are contained in </w:t>
      </w:r>
      <w:r w:rsidRPr="000B1FD0">
        <w:t>Budget Paper No. 3, Chapter 1</w:t>
      </w:r>
      <w:r w:rsidRPr="007E4E2E">
        <w:t xml:space="preserve"> </w:t>
      </w:r>
      <w:r w:rsidRPr="007E4E2E">
        <w:rPr>
          <w:i/>
        </w:rPr>
        <w:t>Output, asset investment, savings and revenue initiatives</w:t>
      </w:r>
      <w:r w:rsidRPr="007E4E2E">
        <w:t>.</w:t>
      </w:r>
    </w:p>
    <w:p w:rsidR="00B03921" w:rsidRDefault="00B03921">
      <w:pPr>
        <w:spacing w:after="0"/>
        <w:rPr>
          <w:rFonts w:ascii="Calibri" w:hAnsi="Calibri"/>
          <w:b/>
          <w:caps/>
          <w:sz w:val="26"/>
          <w:szCs w:val="22"/>
        </w:rPr>
      </w:pPr>
      <w:r>
        <w:br w:type="page"/>
      </w:r>
    </w:p>
    <w:p w:rsidR="00B03921" w:rsidRDefault="00B03921" w:rsidP="00016914">
      <w:pPr>
        <w:pStyle w:val="Heading1"/>
      </w:pPr>
      <w:bookmarkStart w:id="130" w:name="_Toc418274770"/>
      <w:r>
        <w:t>Grants</w:t>
      </w:r>
      <w:bookmarkEnd w:id="130"/>
    </w:p>
    <w:p w:rsidR="00B03921" w:rsidRDefault="00B03921" w:rsidP="00016914">
      <w:pPr>
        <w:pStyle w:val="BodyText"/>
      </w:pPr>
      <w:r>
        <w:t>Total grants revenue is expected to be $25.6 billion in 2015</w:t>
      </w:r>
      <w:r>
        <w:noBreakHyphen/>
        <w:t>16, an increase of 4.0 per cent from 2014</w:t>
      </w:r>
      <w:r>
        <w:noBreakHyphen/>
        <w:t xml:space="preserve">15. Growth in total grants revenue is largely driven by GST revenue, which benefits </w:t>
      </w:r>
      <w:r w:rsidRPr="00CA642D">
        <w:t>from an improvement in Victoria</w:t>
      </w:r>
      <w:r w:rsidR="00BA5A16">
        <w:t>’</w:t>
      </w:r>
      <w:r w:rsidRPr="00CA642D">
        <w:t>s GST share for 2015</w:t>
      </w:r>
      <w:r w:rsidRPr="00CA642D">
        <w:noBreakHyphen/>
        <w:t>16. The Commonwealth Government</w:t>
      </w:r>
      <w:r w:rsidR="00BA5A16">
        <w:t>’</w:t>
      </w:r>
      <w:r w:rsidRPr="00CA642D">
        <w:t xml:space="preserve">s decision to </w:t>
      </w:r>
      <w:r>
        <w:t>reduce funding growth for the Health Reform and Schools funding agreements slows growth in specific purpose grants</w:t>
      </w:r>
      <w:r w:rsidRPr="00CA642D">
        <w:t xml:space="preserve"> </w:t>
      </w:r>
      <w:r>
        <w:t>from 2017-18</w:t>
      </w:r>
      <w:r w:rsidRPr="00CA642D">
        <w:t xml:space="preserve">. </w:t>
      </w:r>
    </w:p>
    <w:p w:rsidR="00B03921" w:rsidRDefault="00B03921" w:rsidP="00016914">
      <w:pPr>
        <w:pStyle w:val="Tableheading"/>
      </w:pPr>
      <w:r>
        <w:t>Table 4.3:</w:t>
      </w:r>
      <w:r>
        <w:tab/>
        <w:t>Grants</w:t>
      </w:r>
    </w:p>
    <w:p w:rsidR="00B03921" w:rsidRPr="00DC2D2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901"/>
        <w:gridCol w:w="883"/>
        <w:gridCol w:w="994"/>
        <w:gridCol w:w="994"/>
        <w:gridCol w:w="994"/>
        <w:gridCol w:w="994"/>
      </w:tblGrid>
      <w:tr w:rsidR="0072051B" w:rsidRPr="00DC2D28" w:rsidTr="00CD6886">
        <w:trPr>
          <w:trHeight w:val="503"/>
          <w:tblHeader/>
        </w:trPr>
        <w:tc>
          <w:tcPr>
            <w:tcW w:w="2901" w:type="dxa"/>
            <w:tcBorders>
              <w:top w:val="single" w:sz="6" w:space="0" w:color="auto"/>
              <w:left w:val="single" w:sz="6" w:space="0" w:color="auto"/>
              <w:right w:val="nil"/>
            </w:tcBorders>
            <w:shd w:val="clear" w:color="000000" w:fill="000000"/>
          </w:tcPr>
          <w:p w:rsidR="0072051B" w:rsidRPr="00DC2D28" w:rsidRDefault="0072051B" w:rsidP="00016914">
            <w:pPr>
              <w:pStyle w:val="Tabletext"/>
              <w:rPr>
                <w:rFonts w:eastAsiaTheme="minorEastAsia"/>
                <w:lang w:eastAsia="en-AU"/>
              </w:rPr>
            </w:pPr>
          </w:p>
        </w:tc>
        <w:tc>
          <w:tcPr>
            <w:tcW w:w="883"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sidRPr="00DC2D28">
              <w:rPr>
                <w:rFonts w:eastAsiaTheme="minorEastAsia"/>
                <w:color w:val="FFFFFF"/>
                <w:lang w:eastAsia="en-AU"/>
              </w:rPr>
              <w:t>revised</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t xml:space="preserve"> </w:t>
            </w:r>
            <w:r w:rsidRPr="00DC2D28">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2016-17</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2017-18</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2018-19</w:t>
            </w:r>
            <w:r>
              <w:rPr>
                <w:rFonts w:eastAsiaTheme="minorEastAsia"/>
                <w:color w:val="FFFFFF"/>
                <w:lang w:eastAsia="en-AU"/>
              </w:rPr>
              <w:t xml:space="preserve"> </w:t>
            </w:r>
            <w:r w:rsidRPr="00DC2D28">
              <w:rPr>
                <w:rFonts w:eastAsiaTheme="minorEastAsia"/>
                <w:color w:val="FFFFFF"/>
                <w:lang w:eastAsia="en-AU"/>
              </w:rPr>
              <w:t>estimate</w:t>
            </w:r>
          </w:p>
        </w:tc>
      </w:tr>
      <w:tr w:rsidR="00B03921" w:rsidRPr="00DC2D28" w:rsidTr="00CD6886">
        <w:tc>
          <w:tcPr>
            <w:tcW w:w="2901" w:type="dxa"/>
            <w:tcBorders>
              <w:top w:val="single" w:sz="6" w:space="0" w:color="auto"/>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General purpose grants - goods and services tax</w:t>
            </w:r>
          </w:p>
        </w:tc>
        <w:tc>
          <w:tcPr>
            <w:tcW w:w="883"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12 012.9</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12 769.9</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13 351.5</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14 401.3</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15 842.5</w:t>
            </w:r>
          </w:p>
        </w:tc>
      </w:tr>
      <w:tr w:rsidR="00B03921" w:rsidRPr="00DC2D28" w:rsidTr="00CD6886">
        <w:tc>
          <w:tcPr>
            <w:tcW w:w="290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Specific purpose grants for </w:t>
            </w:r>
            <w:r w:rsidR="00CD6886">
              <w:rPr>
                <w:rFonts w:eastAsiaTheme="minorEastAsia"/>
                <w:lang w:eastAsia="en-AU"/>
              </w:rPr>
              <w:br/>
            </w:r>
            <w:r w:rsidRPr="00DC2D28">
              <w:rPr>
                <w:rFonts w:eastAsiaTheme="minorEastAsia"/>
                <w:lang w:eastAsia="en-AU"/>
              </w:rPr>
              <w:t>on-passing</w:t>
            </w:r>
          </w:p>
        </w:tc>
        <w:tc>
          <w:tcPr>
            <w:tcW w:w="88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3 216.1</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3 388.7</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3 601.4</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3 798.5</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3 966.8</w:t>
            </w:r>
          </w:p>
        </w:tc>
      </w:tr>
      <w:tr w:rsidR="00B03921" w:rsidRPr="00DC2D28" w:rsidTr="00CD6886">
        <w:tc>
          <w:tcPr>
            <w:tcW w:w="2901"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grants for specific purposes</w:t>
            </w:r>
          </w:p>
        </w:tc>
        <w:tc>
          <w:tcPr>
            <w:tcW w:w="883"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9 232.2</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9 269.5</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8 980.6</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9 159.5</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8 649.2</w:t>
            </w:r>
          </w:p>
        </w:tc>
      </w:tr>
      <w:tr w:rsidR="00B03921" w:rsidRPr="00DC2D28" w:rsidTr="00CD6886">
        <w:tc>
          <w:tcPr>
            <w:tcW w:w="2901" w:type="dxa"/>
            <w:tcBorders>
              <w:top w:val="nil"/>
              <w:left w:val="nil"/>
              <w:bottom w:val="nil"/>
              <w:right w:val="nil"/>
            </w:tcBorders>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w:t>
            </w:r>
          </w:p>
        </w:tc>
        <w:tc>
          <w:tcPr>
            <w:tcW w:w="883"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24 461.2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25 428.1</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25 933.5</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27 359.2</w:t>
            </w:r>
          </w:p>
        </w:tc>
        <w:tc>
          <w:tcPr>
            <w:tcW w:w="994"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28 458.5</w:t>
            </w:r>
          </w:p>
        </w:tc>
      </w:tr>
      <w:tr w:rsidR="00B03921" w:rsidRPr="00DC2D28" w:rsidTr="00CD6886">
        <w:tc>
          <w:tcPr>
            <w:tcW w:w="2901"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contributions and grants</w:t>
            </w:r>
          </w:p>
        </w:tc>
        <w:tc>
          <w:tcPr>
            <w:tcW w:w="883"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123.0</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151.4</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156.1</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148.4</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146.9</w:t>
            </w:r>
          </w:p>
        </w:tc>
      </w:tr>
      <w:tr w:rsidR="00B03921" w:rsidRPr="00DC2D28" w:rsidTr="00CD6886">
        <w:tc>
          <w:tcPr>
            <w:tcW w:w="2901"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grants</w:t>
            </w:r>
          </w:p>
        </w:tc>
        <w:tc>
          <w:tcPr>
            <w:tcW w:w="883"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24 584.3</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25 579.5</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26 089.6</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27 507.6</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28 605.4</w:t>
            </w:r>
          </w:p>
        </w:tc>
      </w:tr>
    </w:tbl>
    <w:p w:rsidR="00B03921" w:rsidRDefault="00B03921" w:rsidP="00016914">
      <w:pPr>
        <w:pStyle w:val="Source"/>
      </w:pPr>
      <w:r>
        <w:t>Source: Department of Treasury and Finance</w:t>
      </w:r>
    </w:p>
    <w:p w:rsidR="00B03921" w:rsidRDefault="00B03921" w:rsidP="00016914">
      <w:pPr>
        <w:pStyle w:val="Heading2"/>
      </w:pPr>
      <w:r>
        <w:t>General purpose grants</w:t>
      </w:r>
    </w:p>
    <w:p w:rsidR="00B03921" w:rsidRDefault="00B03921" w:rsidP="00016914">
      <w:pPr>
        <w:pStyle w:val="BodyText"/>
      </w:pPr>
      <w:r>
        <w:t>Victoria</w:t>
      </w:r>
      <w:r w:rsidR="00BA5A16">
        <w:t>’</w:t>
      </w:r>
      <w:r>
        <w:t>s GST revenue for 2015</w:t>
      </w:r>
      <w:r>
        <w:noBreakHyphen/>
        <w:t xml:space="preserve">16 is forecast to be $12.8 billion, representing growth </w:t>
      </w:r>
      <w:r>
        <w:br/>
        <w:t>of 6.3 per cent from 2014</w:t>
      </w:r>
      <w:r>
        <w:noBreakHyphen/>
        <w:t>15. This growth is driven by an increase in Victoria</w:t>
      </w:r>
      <w:r w:rsidR="00BA5A16">
        <w:t>’</w:t>
      </w:r>
      <w:r>
        <w:t>s GST relativity and an expected recovery in the growth rate of the national GST pool from relatively subdued growth in 2014</w:t>
      </w:r>
      <w:r>
        <w:noBreakHyphen/>
        <w:t xml:space="preserve">15. </w:t>
      </w:r>
    </w:p>
    <w:p w:rsidR="00B03921" w:rsidRDefault="00B03921" w:rsidP="00016914">
      <w:pPr>
        <w:pStyle w:val="BodyText"/>
      </w:pPr>
      <w:r>
        <w:t>Victoria</w:t>
      </w:r>
      <w:r w:rsidR="00BA5A16">
        <w:t>’</w:t>
      </w:r>
      <w:r>
        <w:t xml:space="preserve">s GST revenue is determined by three factors: </w:t>
      </w:r>
    </w:p>
    <w:p w:rsidR="00B03921" w:rsidRDefault="00B03921" w:rsidP="00016914">
      <w:pPr>
        <w:pStyle w:val="BulletText"/>
      </w:pPr>
      <w:r>
        <w:t>the amount of GST collected by the Commonwealth (the national GST pool);</w:t>
      </w:r>
    </w:p>
    <w:p w:rsidR="00B03921" w:rsidRDefault="00B03921" w:rsidP="00016914">
      <w:pPr>
        <w:pStyle w:val="BulletText"/>
      </w:pPr>
      <w:r>
        <w:t>Victoria</w:t>
      </w:r>
      <w:r w:rsidR="00BA5A16">
        <w:t>’</w:t>
      </w:r>
      <w:r>
        <w:t xml:space="preserve">s share of this pool, (its relativity); and </w:t>
      </w:r>
    </w:p>
    <w:p w:rsidR="00B03921" w:rsidRDefault="00B03921" w:rsidP="00016914">
      <w:pPr>
        <w:pStyle w:val="BulletText"/>
      </w:pPr>
      <w:r>
        <w:t>Victoria</w:t>
      </w:r>
      <w:r w:rsidR="00BA5A16">
        <w:t>’</w:t>
      </w:r>
      <w:r>
        <w:t>s population.</w:t>
      </w:r>
    </w:p>
    <w:p w:rsidR="00B03921" w:rsidRDefault="00B03921" w:rsidP="00016914">
      <w:pPr>
        <w:pStyle w:val="BulletText"/>
        <w:numPr>
          <w:ilvl w:val="0"/>
          <w:numId w:val="0"/>
        </w:numPr>
      </w:pPr>
      <w:r w:rsidRPr="00786BA4">
        <w:t xml:space="preserve">Box </w:t>
      </w:r>
      <w:r>
        <w:t>4.3</w:t>
      </w:r>
      <w:r w:rsidRPr="00786BA4">
        <w:t xml:space="preserve"> </w:t>
      </w:r>
      <w:r>
        <w:t xml:space="preserve">provides </w:t>
      </w:r>
      <w:r w:rsidRPr="00786BA4">
        <w:t xml:space="preserve">a detailed discussion of </w:t>
      </w:r>
      <w:r>
        <w:t xml:space="preserve">recent </w:t>
      </w:r>
      <w:r w:rsidRPr="00786BA4">
        <w:t>de</w:t>
      </w:r>
      <w:r>
        <w:t>velopments in the national GST pool and how this is shared among the states</w:t>
      </w:r>
      <w:r w:rsidRPr="00786BA4">
        <w:t>.</w:t>
      </w:r>
    </w:p>
    <w:p w:rsidR="00B03921" w:rsidRDefault="00B03921" w:rsidP="00016914">
      <w:pPr>
        <w:pStyle w:val="Heading3"/>
      </w:pPr>
      <w:r>
        <w:t>National GST pool</w:t>
      </w:r>
    </w:p>
    <w:p w:rsidR="00B03921" w:rsidRDefault="00B03921" w:rsidP="00016914">
      <w:pPr>
        <w:pStyle w:val="BodyText"/>
      </w:pPr>
      <w:r>
        <w:t>The national GST pool is expected to be $57.3 billion in 2015</w:t>
      </w:r>
      <w:r>
        <w:noBreakHyphen/>
        <w:t>16, growing 5.7 per cent from 2014</w:t>
      </w:r>
      <w:r>
        <w:noBreakHyphen/>
        <w:t>15 on the back of a rebound in consumer prices as petrol prices recover from a decline in the second half of 2014</w:t>
      </w:r>
      <w:r>
        <w:noBreakHyphen/>
        <w:t xml:space="preserve">15. </w:t>
      </w:r>
    </w:p>
    <w:p w:rsidR="00B03921" w:rsidRDefault="00B03921" w:rsidP="00016914">
      <w:pPr>
        <w:pStyle w:val="BodyText"/>
      </w:pPr>
      <w:r>
        <w:t>N</w:t>
      </w:r>
      <w:r w:rsidRPr="00786BA4">
        <w:t>ational dwelling investment</w:t>
      </w:r>
      <w:r>
        <w:t>, which is also subject to GST, has grown strongly at 8.1 per cent in the year to December 2014 and</w:t>
      </w:r>
      <w:r w:rsidRPr="00786BA4">
        <w:t xml:space="preserve"> is expected to continue providing support to </w:t>
      </w:r>
      <w:r>
        <w:t xml:space="preserve">growth in </w:t>
      </w:r>
      <w:r w:rsidRPr="00786BA4">
        <w:t>the national pool in 2015</w:t>
      </w:r>
      <w:r>
        <w:noBreakHyphen/>
      </w:r>
      <w:r w:rsidRPr="00786BA4">
        <w:t>16</w:t>
      </w:r>
      <w:r>
        <w:t xml:space="preserve">. </w:t>
      </w:r>
    </w:p>
    <w:p w:rsidR="00B03921" w:rsidRDefault="00B03921" w:rsidP="00016914">
      <w:pPr>
        <w:pStyle w:val="Heading3"/>
      </w:pPr>
      <w:r>
        <w:t>GST relativities</w:t>
      </w:r>
    </w:p>
    <w:p w:rsidR="00B03921" w:rsidRDefault="00B03921" w:rsidP="00016914">
      <w:pPr>
        <w:pStyle w:val="BodyText"/>
      </w:pPr>
      <w:r>
        <w:t>Victoria</w:t>
      </w:r>
      <w:r w:rsidR="00BA5A16">
        <w:t>’</w:t>
      </w:r>
      <w:r>
        <w:t>s GST relativity will increase in 2015</w:t>
      </w:r>
      <w:r>
        <w:noBreakHyphen/>
        <w:t>16 for the first time since 2012</w:t>
      </w:r>
      <w:r>
        <w:noBreakHyphen/>
        <w:t>13, reflecting changes to the way the Commonwealth Grants Commission (CGC) calculates the relativities.</w:t>
      </w:r>
    </w:p>
    <w:p w:rsidR="00B03921" w:rsidRDefault="00B03921" w:rsidP="00016914">
      <w:pPr>
        <w:pStyle w:val="Tableheading"/>
      </w:pPr>
      <w:r>
        <w:t>Table 4.4:</w:t>
      </w:r>
      <w:r>
        <w:tab/>
        <w:t>Victoria</w:t>
      </w:r>
      <w:r w:rsidR="00BA5A16">
        <w:t>’</w:t>
      </w:r>
      <w:r>
        <w:t>s forecast GST relativities and share</w:t>
      </w:r>
    </w:p>
    <w:p w:rsidR="00B03921" w:rsidRPr="00DC2D2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72051B" w:rsidRPr="00DC2D28" w:rsidTr="001037D3">
        <w:trPr>
          <w:trHeight w:val="503"/>
          <w:tblHeader/>
        </w:trPr>
        <w:tc>
          <w:tcPr>
            <w:tcW w:w="2790" w:type="dxa"/>
            <w:tcBorders>
              <w:top w:val="single" w:sz="6" w:space="0" w:color="auto"/>
              <w:left w:val="single" w:sz="6" w:space="0" w:color="auto"/>
              <w:right w:val="nil"/>
            </w:tcBorders>
            <w:shd w:val="clear" w:color="000000" w:fill="000000"/>
          </w:tcPr>
          <w:p w:rsidR="0072051B" w:rsidRPr="00DC2D28" w:rsidRDefault="0072051B" w:rsidP="00016914">
            <w:pPr>
              <w:pStyle w:val="Tabletext"/>
              <w:rPr>
                <w:rFonts w:eastAsiaTheme="minorEastAsia"/>
                <w:lang w:eastAsia="en-AU"/>
              </w:rPr>
            </w:pP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sidRPr="00DC2D28">
              <w:rPr>
                <w:rFonts w:eastAsiaTheme="minorEastAsia"/>
                <w:color w:val="FFFFFF"/>
                <w:lang w:eastAsia="en-AU"/>
              </w:rPr>
              <w:t>actual</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2016-17</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2017-18</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2018-19</w:t>
            </w:r>
            <w:r>
              <w:rPr>
                <w:rFonts w:eastAsiaTheme="minorEastAsia"/>
                <w:color w:val="FFFFFF"/>
                <w:lang w:eastAsia="en-AU"/>
              </w:rPr>
              <w:t xml:space="preserve"> </w:t>
            </w:r>
            <w:r w:rsidRPr="00DC2D28">
              <w:rPr>
                <w:rFonts w:eastAsiaTheme="minorEastAsia"/>
                <w:color w:val="FFFFFF"/>
                <w:lang w:eastAsia="en-AU"/>
              </w:rPr>
              <w:t>estimate</w:t>
            </w:r>
          </w:p>
        </w:tc>
      </w:tr>
      <w:tr w:rsidR="00B03921" w:rsidRPr="00DC2D28" w:rsidTr="00016914">
        <w:tc>
          <w:tcPr>
            <w:tcW w:w="2790" w:type="dxa"/>
            <w:tcBorders>
              <w:top w:val="single" w:sz="6" w:space="0" w:color="auto"/>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Victoria</w:t>
            </w:r>
            <w:r w:rsidR="00BA5A16">
              <w:rPr>
                <w:rFonts w:eastAsiaTheme="minorEastAsia"/>
                <w:lang w:eastAsia="en-AU"/>
              </w:rPr>
              <w:t>’</w:t>
            </w:r>
            <w:r w:rsidRPr="00DC2D28">
              <w:rPr>
                <w:rFonts w:eastAsiaTheme="minorEastAsia"/>
                <w:lang w:eastAsia="en-AU"/>
              </w:rPr>
              <w:t>s relativity</w:t>
            </w:r>
            <w:r w:rsidRPr="00DC2D28">
              <w:rPr>
                <w:rFonts w:eastAsiaTheme="minorEastAsia"/>
                <w:vertAlign w:val="superscript"/>
                <w:lang w:eastAsia="en-AU"/>
              </w:rPr>
              <w:t>(a)</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0.88282</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0.89254</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0.88362</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0.90272</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0.94133</w:t>
            </w:r>
          </w:p>
        </w:tc>
      </w:tr>
      <w:tr w:rsidR="00B03921" w:rsidRPr="00DC2D28" w:rsidTr="00016914">
        <w:tc>
          <w:tcPr>
            <w:tcW w:w="2790" w:type="dxa"/>
            <w:tcBorders>
              <w:top w:val="nil"/>
              <w:left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GST share (%)</w:t>
            </w:r>
            <w:r w:rsidRPr="00DC2D28">
              <w:rPr>
                <w:rFonts w:eastAsiaTheme="minorEastAsia"/>
                <w:vertAlign w:val="superscript"/>
                <w:lang w:eastAsia="en-AU"/>
              </w:rPr>
              <w:t>(b)</w:t>
            </w:r>
          </w:p>
        </w:tc>
        <w:tc>
          <w:tcPr>
            <w:tcW w:w="994" w:type="dxa"/>
            <w:tcBorders>
              <w:top w:val="nil"/>
              <w:left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22.0</w:t>
            </w:r>
          </w:p>
        </w:tc>
        <w:tc>
          <w:tcPr>
            <w:tcW w:w="994" w:type="dxa"/>
            <w:tcBorders>
              <w:top w:val="nil"/>
              <w:left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22.3</w:t>
            </w:r>
          </w:p>
        </w:tc>
        <w:tc>
          <w:tcPr>
            <w:tcW w:w="994" w:type="dxa"/>
            <w:tcBorders>
              <w:top w:val="nil"/>
              <w:left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22.1</w:t>
            </w:r>
          </w:p>
        </w:tc>
        <w:tc>
          <w:tcPr>
            <w:tcW w:w="994" w:type="dxa"/>
            <w:tcBorders>
              <w:top w:val="nil"/>
              <w:left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22.6</w:t>
            </w:r>
          </w:p>
        </w:tc>
        <w:tc>
          <w:tcPr>
            <w:tcW w:w="994" w:type="dxa"/>
            <w:tcBorders>
              <w:top w:val="nil"/>
              <w:left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23.5</w:t>
            </w:r>
          </w:p>
        </w:tc>
      </w:tr>
      <w:tr w:rsidR="00B03921" w:rsidRPr="00DC2D28" w:rsidTr="00016914">
        <w:tc>
          <w:tcPr>
            <w:tcW w:w="2790" w:type="dxa"/>
            <w:tcBorders>
              <w:top w:val="nil"/>
              <w:left w:val="nil"/>
              <w:bottom w:val="single" w:sz="12" w:space="0" w:color="000000"/>
              <w:right w:val="nil"/>
            </w:tcBorders>
            <w:shd w:val="clear" w:color="auto" w:fill="auto"/>
          </w:tcPr>
          <w:p w:rsidR="00B03921" w:rsidRPr="00DC2D28" w:rsidRDefault="00B03921" w:rsidP="00016914">
            <w:pPr>
              <w:pStyle w:val="Tabletext"/>
              <w:rPr>
                <w:rFonts w:eastAsiaTheme="minorEastAsia"/>
                <w:lang w:eastAsia="en-AU"/>
              </w:rPr>
            </w:pPr>
            <w:r w:rsidRPr="00DC2D28">
              <w:rPr>
                <w:rFonts w:eastAsiaTheme="minorEastAsia"/>
                <w:lang w:eastAsia="en-AU"/>
              </w:rPr>
              <w:t>Victoria</w:t>
            </w:r>
            <w:r w:rsidR="00BA5A16">
              <w:rPr>
                <w:rFonts w:eastAsiaTheme="minorEastAsia"/>
                <w:lang w:eastAsia="en-AU"/>
              </w:rPr>
              <w:t>’</w:t>
            </w:r>
            <w:r w:rsidRPr="00DC2D28">
              <w:rPr>
                <w:rFonts w:eastAsiaTheme="minorEastAsia"/>
                <w:lang w:eastAsia="en-AU"/>
              </w:rPr>
              <w:t>s population share (%)</w:t>
            </w:r>
            <w:r w:rsidRPr="00DC2D28">
              <w:rPr>
                <w:rFonts w:eastAsiaTheme="minorEastAsia"/>
                <w:vertAlign w:val="superscript"/>
                <w:lang w:eastAsia="en-AU"/>
              </w:rPr>
              <w:t>(b)</w:t>
            </w:r>
          </w:p>
        </w:tc>
        <w:tc>
          <w:tcPr>
            <w:tcW w:w="994" w:type="dxa"/>
            <w:tcBorders>
              <w:top w:val="nil"/>
              <w:left w:val="nil"/>
              <w:bottom w:val="single" w:sz="12" w:space="0" w:color="000000"/>
              <w:right w:val="nil"/>
            </w:tcBorders>
            <w:shd w:val="clear" w:color="auto" w:fill="auto"/>
          </w:tcPr>
          <w:p w:rsidR="00B03921" w:rsidRPr="00DC2D28" w:rsidRDefault="00B03921" w:rsidP="00016914">
            <w:pPr>
              <w:pStyle w:val="TableofFigures"/>
              <w:rPr>
                <w:rFonts w:eastAsiaTheme="minorEastAsia"/>
                <w:lang w:eastAsia="en-AU"/>
              </w:rPr>
            </w:pPr>
            <w:r w:rsidRPr="00DC2D28">
              <w:rPr>
                <w:rFonts w:eastAsiaTheme="minorEastAsia"/>
                <w:lang w:eastAsia="en-AU"/>
              </w:rPr>
              <w:t>24.9</w:t>
            </w:r>
          </w:p>
        </w:tc>
        <w:tc>
          <w:tcPr>
            <w:tcW w:w="994" w:type="dxa"/>
            <w:tcBorders>
              <w:top w:val="nil"/>
              <w:left w:val="nil"/>
              <w:bottom w:val="single" w:sz="12" w:space="0" w:color="000000"/>
              <w:right w:val="nil"/>
            </w:tcBorders>
            <w:shd w:val="clear" w:color="auto" w:fill="auto"/>
          </w:tcPr>
          <w:p w:rsidR="00B03921" w:rsidRPr="00DC2D28" w:rsidRDefault="00B03921" w:rsidP="00016914">
            <w:pPr>
              <w:pStyle w:val="TableofFigures"/>
              <w:rPr>
                <w:rFonts w:eastAsiaTheme="minorEastAsia"/>
                <w:lang w:eastAsia="en-AU"/>
              </w:rPr>
            </w:pPr>
            <w:r w:rsidRPr="00DC2D28">
              <w:rPr>
                <w:rFonts w:eastAsiaTheme="minorEastAsia"/>
                <w:lang w:eastAsia="en-AU"/>
              </w:rPr>
              <w:t>24.9</w:t>
            </w:r>
          </w:p>
        </w:tc>
        <w:tc>
          <w:tcPr>
            <w:tcW w:w="994" w:type="dxa"/>
            <w:tcBorders>
              <w:top w:val="nil"/>
              <w:left w:val="nil"/>
              <w:bottom w:val="single" w:sz="12" w:space="0" w:color="000000"/>
              <w:right w:val="nil"/>
            </w:tcBorders>
            <w:shd w:val="clear" w:color="auto" w:fill="auto"/>
          </w:tcPr>
          <w:p w:rsidR="00B03921" w:rsidRPr="00DC2D28" w:rsidRDefault="00B03921" w:rsidP="00016914">
            <w:pPr>
              <w:pStyle w:val="TableofFigures"/>
              <w:rPr>
                <w:rFonts w:eastAsiaTheme="minorEastAsia"/>
                <w:lang w:eastAsia="en-AU"/>
              </w:rPr>
            </w:pPr>
            <w:r w:rsidRPr="00DC2D28">
              <w:rPr>
                <w:rFonts w:eastAsiaTheme="minorEastAsia"/>
                <w:lang w:eastAsia="en-AU"/>
              </w:rPr>
              <w:t>24.9</w:t>
            </w:r>
          </w:p>
        </w:tc>
        <w:tc>
          <w:tcPr>
            <w:tcW w:w="994" w:type="dxa"/>
            <w:tcBorders>
              <w:top w:val="nil"/>
              <w:left w:val="nil"/>
              <w:bottom w:val="single" w:sz="12" w:space="0" w:color="000000"/>
              <w:right w:val="nil"/>
            </w:tcBorders>
            <w:shd w:val="clear" w:color="auto" w:fill="auto"/>
          </w:tcPr>
          <w:p w:rsidR="00B03921" w:rsidRPr="00DC2D28" w:rsidRDefault="00B03921" w:rsidP="00016914">
            <w:pPr>
              <w:pStyle w:val="TableofFigures"/>
              <w:rPr>
                <w:rFonts w:eastAsiaTheme="minorEastAsia"/>
                <w:lang w:eastAsia="en-AU"/>
              </w:rPr>
            </w:pPr>
            <w:r w:rsidRPr="00DC2D28">
              <w:rPr>
                <w:rFonts w:eastAsiaTheme="minorEastAsia"/>
                <w:lang w:eastAsia="en-AU"/>
              </w:rPr>
              <w:t>24.9</w:t>
            </w:r>
          </w:p>
        </w:tc>
        <w:tc>
          <w:tcPr>
            <w:tcW w:w="994" w:type="dxa"/>
            <w:tcBorders>
              <w:top w:val="nil"/>
              <w:left w:val="nil"/>
              <w:bottom w:val="single" w:sz="12" w:space="0" w:color="000000"/>
              <w:right w:val="nil"/>
            </w:tcBorders>
            <w:shd w:val="clear" w:color="auto" w:fill="auto"/>
          </w:tcPr>
          <w:p w:rsidR="00B03921" w:rsidRPr="00DC2D28" w:rsidRDefault="00B03921" w:rsidP="00016914">
            <w:pPr>
              <w:pStyle w:val="TableofFigures"/>
              <w:rPr>
                <w:rFonts w:eastAsiaTheme="minorEastAsia"/>
                <w:lang w:eastAsia="en-AU"/>
              </w:rPr>
            </w:pPr>
            <w:r w:rsidRPr="00DC2D28">
              <w:rPr>
                <w:rFonts w:eastAsiaTheme="minorEastAsia"/>
                <w:lang w:eastAsia="en-AU"/>
              </w:rPr>
              <w:t>25.0</w:t>
            </w:r>
          </w:p>
        </w:tc>
      </w:tr>
    </w:tbl>
    <w:p w:rsidR="00B03921" w:rsidRDefault="00B03921" w:rsidP="00016914">
      <w:pPr>
        <w:pStyle w:val="Source"/>
      </w:pPr>
      <w:r>
        <w:t>Source: Commonwealth Grants Commission and Department of Treasury and Finance</w:t>
      </w:r>
    </w:p>
    <w:p w:rsidR="00B03921" w:rsidRDefault="00B03921" w:rsidP="00016914">
      <w:pPr>
        <w:pStyle w:val="Notes"/>
      </w:pPr>
      <w:r>
        <w:t>Notes:</w:t>
      </w:r>
    </w:p>
    <w:p w:rsidR="00B03921" w:rsidRPr="003C2ED7" w:rsidRDefault="00B03921" w:rsidP="00016914">
      <w:pPr>
        <w:pStyle w:val="Notes"/>
      </w:pPr>
      <w:r w:rsidRPr="003C2ED7">
        <w:t>(a)</w:t>
      </w:r>
      <w:r w:rsidRPr="003C2ED7">
        <w:tab/>
        <w:t>Victoria</w:t>
      </w:r>
      <w:r w:rsidR="00BA5A16">
        <w:t>’</w:t>
      </w:r>
      <w:r w:rsidRPr="003C2ED7">
        <w:t>s GST relativity for 2015-16 has been recommended by the CGC and is subject to formal determination by the Commonwealth Treasurer.</w:t>
      </w:r>
    </w:p>
    <w:p w:rsidR="00B03921" w:rsidRPr="003C2ED7" w:rsidRDefault="00B03921" w:rsidP="00016914">
      <w:pPr>
        <w:pStyle w:val="Notes"/>
      </w:pPr>
      <w:r w:rsidRPr="003C2ED7">
        <w:t>(b)</w:t>
      </w:r>
      <w:r w:rsidRPr="003C2ED7">
        <w:tab/>
        <w:t>The figures for GST and population shares for 2014-15 are estimates.</w:t>
      </w:r>
    </w:p>
    <w:p w:rsidR="00B03921" w:rsidRPr="00CD350C" w:rsidRDefault="00B03921" w:rsidP="00016914">
      <w:pPr>
        <w:pStyle w:val="BodyText"/>
      </w:pPr>
    </w:p>
    <w:p w:rsidR="00B03921" w:rsidRDefault="00B03921" w:rsidP="00016914">
      <w:pPr>
        <w:pStyle w:val="BodyText"/>
      </w:pPr>
      <w:r>
        <w:t xml:space="preserve">In April 2015, the Commonwealth Treasurer released the </w:t>
      </w:r>
      <w:r>
        <w:rPr>
          <w:i/>
        </w:rPr>
        <w:t xml:space="preserve">2015 </w:t>
      </w:r>
      <w:r w:rsidRPr="007F3B0D">
        <w:rPr>
          <w:i/>
        </w:rPr>
        <w:t>Method</w:t>
      </w:r>
      <w:r>
        <w:rPr>
          <w:i/>
        </w:rPr>
        <w:t>ology Review of GST Revenue Sharing Relativities</w:t>
      </w:r>
      <w:r>
        <w:t>, a review of the methodology used to calculate GST relativities for the states and territories. Overall, changes to the methodology are favourable for Victoria</w:t>
      </w:r>
      <w:r w:rsidR="00BA5A16">
        <w:t>’</w:t>
      </w:r>
      <w:r>
        <w:t>s GST revenue in 2015</w:t>
      </w:r>
      <w:r>
        <w:noBreakHyphen/>
        <w:t>16. The main changes include:</w:t>
      </w:r>
    </w:p>
    <w:p w:rsidR="00B03921" w:rsidRDefault="00B03921" w:rsidP="00016914">
      <w:pPr>
        <w:pStyle w:val="BulletText"/>
      </w:pPr>
      <w:r>
        <w:t>recognition of the additional costs of providing complex transport infrastructure in large urban areas. This is the single biggest driver of change in Victoria</w:t>
      </w:r>
      <w:r w:rsidR="00BA5A16">
        <w:t>’</w:t>
      </w:r>
      <w:r>
        <w:t>s GST share recommended by the review; and</w:t>
      </w:r>
    </w:p>
    <w:p w:rsidR="00B03921" w:rsidRDefault="00B03921" w:rsidP="00016914">
      <w:pPr>
        <w:pStyle w:val="BulletText"/>
      </w:pPr>
      <w:r>
        <w:t>alignment of the treatment of Commonwealth payments for the Regional Rail Link with payments for National Network Road construction, which attract an effective 50 per cent equalisation discount.</w:t>
      </w:r>
    </w:p>
    <w:p w:rsidR="00B03921" w:rsidRDefault="00B03921" w:rsidP="00016914">
      <w:pPr>
        <w:pStyle w:val="BodyText"/>
      </w:pPr>
      <w:r>
        <w:t>The largest upgrade to revenue from the changes is in 2015</w:t>
      </w:r>
      <w:r>
        <w:noBreakHyphen/>
        <w:t>16, with revenue benefits diminishing over the forward estimates.</w:t>
      </w:r>
    </w:p>
    <w:p w:rsidR="00B03921" w:rsidRDefault="00B03921" w:rsidP="00016914">
      <w:pPr>
        <w:pStyle w:val="BodyText"/>
      </w:pPr>
      <w:r>
        <w:t>The outlook for Victoria</w:t>
      </w:r>
      <w:r w:rsidR="00BA5A16">
        <w:t>’</w:t>
      </w:r>
      <w:r>
        <w:t>s share of the GST is also positively affected by expected changes in states</w:t>
      </w:r>
      <w:r w:rsidR="00BA5A16">
        <w:t>’</w:t>
      </w:r>
      <w:r>
        <w:t xml:space="preserve"> fiscal capacities due to forecast mining royalties. Expected growth in commodity export volumes, particularly in Western Australia and Queensland, has placed Victoria</w:t>
      </w:r>
      <w:r w:rsidR="00BA5A16">
        <w:t>’</w:t>
      </w:r>
      <w:r>
        <w:t xml:space="preserve">s share of the GST on an upwards trajectory. </w:t>
      </w:r>
    </w:p>
    <w:p w:rsidR="00B03921" w:rsidRDefault="00B03921" w:rsidP="00016914">
      <w:pPr>
        <w:pStyle w:val="BodyText"/>
      </w:pPr>
      <w:r>
        <w:t>However, recent developments in commodity markets have significantly reduced forecasts of mining royalties in the forward estimates, most notably those for iron ore in Western Australia. The iron ore spot price has fallen by around 28 per cent in the first quarter of 2015 alone. The weaker outlook for commodity prices has in turn reduced the extent of the forecast increase in Victoria</w:t>
      </w:r>
      <w:r w:rsidR="00BA5A16">
        <w:t>’</w:t>
      </w:r>
      <w:r>
        <w:t>s relativities across the forward estimates.</w:t>
      </w:r>
    </w:p>
    <w:p w:rsidR="00B03921" w:rsidRDefault="00B03921">
      <w:pPr>
        <w:spacing w:after="0"/>
        <w:rPr>
          <w:rFonts w:ascii="Calibri" w:hAnsi="Calibri"/>
          <w:b/>
          <w:i/>
          <w:sz w:val="24"/>
          <w:szCs w:val="22"/>
        </w:rPr>
      </w:pPr>
      <w:r>
        <w:br w:type="page"/>
      </w:r>
    </w:p>
    <w:p w:rsidR="00B03921" w:rsidRDefault="00B03921" w:rsidP="00016914">
      <w:pPr>
        <w:pStyle w:val="Heading3"/>
      </w:pPr>
      <w:r>
        <w:t>Population</w:t>
      </w:r>
    </w:p>
    <w:p w:rsidR="00B03921" w:rsidRDefault="00B03921" w:rsidP="00016914">
      <w:pPr>
        <w:pStyle w:val="BodyText"/>
      </w:pPr>
      <w:r>
        <w:t>Victoria</w:t>
      </w:r>
      <w:r w:rsidR="00BA5A16">
        <w:t>’</w:t>
      </w:r>
      <w:r>
        <w:t>s population is forecast to grow by 1.8 per cent in 2015</w:t>
      </w:r>
      <w:r>
        <w:noBreakHyphen/>
        <w:t>16, in line with expected growth in 2014</w:t>
      </w:r>
      <w:r>
        <w:noBreakHyphen/>
        <w:t xml:space="preserve">15. </w:t>
      </w:r>
    </w:p>
    <w:p w:rsidR="00B03921" w:rsidRDefault="00B03921" w:rsidP="00016914">
      <w:pPr>
        <w:pStyle w:val="BodyText"/>
      </w:pPr>
      <w:r>
        <w:t>Chart 4.3 shows the expected percentage point contribution from changes in the national pool, Victoria</w:t>
      </w:r>
      <w:r w:rsidR="00BA5A16">
        <w:t>’</w:t>
      </w:r>
      <w:r>
        <w:t>s relativity and population to growth in GST revenue across the budget and forward estimates.</w:t>
      </w:r>
    </w:p>
    <w:p w:rsidR="00B03921" w:rsidRDefault="00B03921" w:rsidP="00016914">
      <w:pPr>
        <w:pStyle w:val="Chartheading"/>
      </w:pPr>
      <w:r>
        <w:t>Chart 4.3:</w:t>
      </w:r>
      <w:r>
        <w:tab/>
        <w:t>Forecast contribution to growth in Victorian GST revenue</w:t>
      </w:r>
    </w:p>
    <w:p w:rsidR="00B03921" w:rsidRDefault="001C18AD" w:rsidP="00016914">
      <w:pPr>
        <w:pStyle w:val="Source"/>
      </w:pPr>
      <w:r>
        <w:rPr>
          <w:noProof/>
          <w:lang w:eastAsia="en-AU"/>
        </w:rPr>
        <w:pict>
          <v:shape id="_x0000_i1027" type="#_x0000_t75" style="width:373.95pt;height:231.05pt">
            <v:imagedata r:id="rId71" o:title=""/>
          </v:shape>
        </w:pict>
      </w:r>
      <w:r w:rsidR="00B03921">
        <w:t>Source: Department of Treasury and Finance</w:t>
      </w:r>
    </w:p>
    <w:p w:rsidR="00B03921" w:rsidRDefault="00B03921">
      <w:pPr>
        <w:spacing w:after="0"/>
        <w:rPr>
          <w:rFonts w:asciiTheme="minorHAnsi" w:hAnsiTheme="minorHAnsi" w:cstheme="minorHAnsi"/>
          <w:b/>
        </w:rPr>
      </w:pPr>
    </w:p>
    <w:p w:rsidR="00B03921" w:rsidRPr="007B1A57" w:rsidRDefault="00B03921" w:rsidP="00016914">
      <w:pPr>
        <w:pStyle w:val="HighlightBoxHeading"/>
        <w:rPr>
          <w:rFonts w:asciiTheme="minorHAnsi" w:hAnsiTheme="minorHAnsi" w:cstheme="minorHAnsi"/>
          <w:b/>
          <w:i w:val="0"/>
          <w:sz w:val="22"/>
        </w:rPr>
      </w:pPr>
      <w:r w:rsidRPr="007B1A57">
        <w:rPr>
          <w:rFonts w:asciiTheme="minorHAnsi" w:hAnsiTheme="minorHAnsi" w:cstheme="minorHAnsi"/>
          <w:b/>
          <w:i w:val="0"/>
          <w:sz w:val="22"/>
        </w:rPr>
        <w:t>Box 4.3</w:t>
      </w:r>
      <w:r>
        <w:rPr>
          <w:rFonts w:asciiTheme="minorHAnsi" w:hAnsiTheme="minorHAnsi" w:cstheme="minorHAnsi"/>
          <w:b/>
          <w:i w:val="0"/>
          <w:sz w:val="22"/>
        </w:rPr>
        <w:t>:</w:t>
      </w:r>
      <w:r>
        <w:rPr>
          <w:rFonts w:asciiTheme="minorHAnsi" w:hAnsiTheme="minorHAnsi" w:cstheme="minorHAnsi"/>
          <w:b/>
          <w:i w:val="0"/>
          <w:sz w:val="22"/>
        </w:rPr>
        <w:tab/>
      </w:r>
      <w:r w:rsidRPr="007B1A57">
        <w:rPr>
          <w:rFonts w:asciiTheme="minorHAnsi" w:hAnsiTheme="minorHAnsi" w:cstheme="minorHAnsi"/>
          <w:b/>
          <w:i w:val="0"/>
          <w:sz w:val="22"/>
        </w:rPr>
        <w:t xml:space="preserve">Recent developments </w:t>
      </w:r>
      <w:r>
        <w:rPr>
          <w:rFonts w:asciiTheme="minorHAnsi" w:hAnsiTheme="minorHAnsi" w:cstheme="minorHAnsi"/>
          <w:b/>
          <w:i w:val="0"/>
          <w:sz w:val="22"/>
        </w:rPr>
        <w:t>in the GST</w:t>
      </w:r>
    </w:p>
    <w:p w:rsidR="00B03921" w:rsidRPr="004848B7" w:rsidRDefault="00B03921" w:rsidP="00016914">
      <w:pPr>
        <w:pStyle w:val="HighlightBoxHeading"/>
        <w:rPr>
          <w:rFonts w:ascii="Garamond" w:hAnsi="Garamond"/>
          <w:i w:val="0"/>
          <w:sz w:val="22"/>
        </w:rPr>
      </w:pPr>
      <w:r>
        <w:rPr>
          <w:rFonts w:ascii="Garamond" w:hAnsi="Garamond"/>
          <w:i w:val="0"/>
          <w:sz w:val="22"/>
        </w:rPr>
        <w:t>The GST represents around 23 per cent</w:t>
      </w:r>
      <w:r w:rsidRPr="004848B7">
        <w:rPr>
          <w:rFonts w:ascii="Garamond" w:hAnsi="Garamond"/>
          <w:i w:val="0"/>
          <w:sz w:val="22"/>
        </w:rPr>
        <w:t xml:space="preserve"> of Victoria</w:t>
      </w:r>
      <w:r w:rsidR="00BA5A16">
        <w:rPr>
          <w:rFonts w:ascii="Garamond" w:hAnsi="Garamond"/>
          <w:i w:val="0"/>
          <w:sz w:val="22"/>
        </w:rPr>
        <w:t>’</w:t>
      </w:r>
      <w:r w:rsidRPr="004848B7">
        <w:rPr>
          <w:rFonts w:ascii="Garamond" w:hAnsi="Garamond"/>
          <w:i w:val="0"/>
          <w:sz w:val="22"/>
        </w:rPr>
        <w:t xml:space="preserve">s </w:t>
      </w:r>
      <w:r>
        <w:rPr>
          <w:rFonts w:ascii="Garamond" w:hAnsi="Garamond"/>
          <w:i w:val="0"/>
          <w:sz w:val="22"/>
        </w:rPr>
        <w:t>total revenue</w:t>
      </w:r>
      <w:r w:rsidRPr="004848B7">
        <w:rPr>
          <w:rFonts w:ascii="Garamond" w:hAnsi="Garamond"/>
          <w:i w:val="0"/>
          <w:sz w:val="22"/>
        </w:rPr>
        <w:t xml:space="preserve"> base. As a tax </w:t>
      </w:r>
      <w:r>
        <w:rPr>
          <w:rFonts w:ascii="Garamond" w:hAnsi="Garamond"/>
          <w:i w:val="0"/>
          <w:sz w:val="22"/>
        </w:rPr>
        <w:br/>
      </w:r>
      <w:r w:rsidRPr="004848B7">
        <w:rPr>
          <w:rFonts w:ascii="Garamond" w:hAnsi="Garamond"/>
          <w:i w:val="0"/>
          <w:sz w:val="22"/>
        </w:rPr>
        <w:t>on consumption</w:t>
      </w:r>
      <w:r>
        <w:rPr>
          <w:rFonts w:ascii="Garamond" w:hAnsi="Garamond"/>
          <w:i w:val="0"/>
          <w:sz w:val="22"/>
        </w:rPr>
        <w:t>,</w:t>
      </w:r>
      <w:r w:rsidRPr="004848B7">
        <w:rPr>
          <w:rFonts w:ascii="Garamond" w:hAnsi="Garamond"/>
          <w:i w:val="0"/>
          <w:sz w:val="22"/>
        </w:rPr>
        <w:t xml:space="preserve"> GST collections mirror changes in spending patterns and broader developments in the national economy</w:t>
      </w:r>
      <w:r>
        <w:rPr>
          <w:rFonts w:ascii="Garamond" w:hAnsi="Garamond"/>
          <w:i w:val="0"/>
          <w:sz w:val="22"/>
        </w:rPr>
        <w:t>. C</w:t>
      </w:r>
      <w:r w:rsidRPr="004848B7">
        <w:rPr>
          <w:rFonts w:ascii="Garamond" w:hAnsi="Garamond"/>
          <w:i w:val="0"/>
          <w:sz w:val="22"/>
        </w:rPr>
        <w:t xml:space="preserve">onsumption represents a little over half of </w:t>
      </w:r>
      <w:r>
        <w:rPr>
          <w:rFonts w:ascii="Garamond" w:hAnsi="Garamond"/>
          <w:i w:val="0"/>
          <w:sz w:val="22"/>
        </w:rPr>
        <w:t>expenditure o</w:t>
      </w:r>
      <w:r w:rsidRPr="004848B7">
        <w:rPr>
          <w:rFonts w:ascii="Garamond" w:hAnsi="Garamond"/>
          <w:i w:val="0"/>
          <w:sz w:val="22"/>
        </w:rPr>
        <w:t>n Australia</w:t>
      </w:r>
      <w:r>
        <w:rPr>
          <w:rFonts w:ascii="Garamond" w:hAnsi="Garamond"/>
          <w:i w:val="0"/>
          <w:sz w:val="22"/>
        </w:rPr>
        <w:t>n GDP</w:t>
      </w:r>
      <w:r w:rsidRPr="004848B7">
        <w:rPr>
          <w:rFonts w:ascii="Garamond" w:hAnsi="Garamond"/>
          <w:i w:val="0"/>
          <w:sz w:val="22"/>
        </w:rPr>
        <w:t>, and around 60</w:t>
      </w:r>
      <w:r>
        <w:rPr>
          <w:rFonts w:ascii="Garamond" w:hAnsi="Garamond"/>
          <w:i w:val="0"/>
          <w:sz w:val="22"/>
        </w:rPr>
        <w:t> per cent</w:t>
      </w:r>
      <w:r w:rsidRPr="004848B7">
        <w:rPr>
          <w:rFonts w:ascii="Garamond" w:hAnsi="Garamond"/>
          <w:i w:val="0"/>
          <w:sz w:val="22"/>
        </w:rPr>
        <w:t xml:space="preserve"> </w:t>
      </w:r>
      <w:r>
        <w:rPr>
          <w:rFonts w:ascii="Garamond" w:hAnsi="Garamond"/>
          <w:i w:val="0"/>
          <w:sz w:val="22"/>
        </w:rPr>
        <w:t>of</w:t>
      </w:r>
      <w:r w:rsidRPr="004848B7">
        <w:rPr>
          <w:rFonts w:ascii="Garamond" w:hAnsi="Garamond"/>
          <w:i w:val="0"/>
          <w:sz w:val="22"/>
        </w:rPr>
        <w:t xml:space="preserve"> Victoria</w:t>
      </w:r>
      <w:r>
        <w:rPr>
          <w:rFonts w:ascii="Garamond" w:hAnsi="Garamond"/>
          <w:i w:val="0"/>
          <w:sz w:val="22"/>
        </w:rPr>
        <w:t>n GSP</w:t>
      </w:r>
      <w:r w:rsidRPr="004848B7">
        <w:rPr>
          <w:rFonts w:ascii="Garamond" w:hAnsi="Garamond"/>
          <w:i w:val="0"/>
          <w:sz w:val="22"/>
        </w:rPr>
        <w:t>.</w:t>
      </w:r>
    </w:p>
    <w:p w:rsidR="00B03921" w:rsidRPr="004848B7" w:rsidRDefault="00B03921" w:rsidP="00016914">
      <w:pPr>
        <w:pStyle w:val="HighlightBoxHeading"/>
        <w:rPr>
          <w:rFonts w:ascii="Garamond" w:hAnsi="Garamond"/>
          <w:i w:val="0"/>
          <w:sz w:val="22"/>
        </w:rPr>
      </w:pPr>
      <w:r w:rsidRPr="004848B7">
        <w:rPr>
          <w:rFonts w:ascii="Garamond" w:hAnsi="Garamond"/>
          <w:i w:val="0"/>
          <w:sz w:val="22"/>
        </w:rPr>
        <w:t>Two major economic shocks have driven changes in consumption patterns and t</w:t>
      </w:r>
      <w:r>
        <w:rPr>
          <w:rFonts w:ascii="Garamond" w:hAnsi="Garamond"/>
          <w:i w:val="0"/>
          <w:sz w:val="22"/>
        </w:rPr>
        <w:t xml:space="preserve">he </w:t>
      </w:r>
      <w:r>
        <w:rPr>
          <w:rFonts w:ascii="Garamond" w:hAnsi="Garamond"/>
          <w:i w:val="0"/>
          <w:sz w:val="22"/>
        </w:rPr>
        <w:br/>
        <w:t>GST in recent history. First</w:t>
      </w:r>
      <w:r w:rsidRPr="004848B7">
        <w:rPr>
          <w:rFonts w:ascii="Garamond" w:hAnsi="Garamond"/>
          <w:i w:val="0"/>
          <w:sz w:val="22"/>
        </w:rPr>
        <w:t xml:space="preserve">, the surge in income paid to Australia by the rest of the </w:t>
      </w:r>
      <w:r>
        <w:rPr>
          <w:rFonts w:ascii="Garamond" w:hAnsi="Garamond"/>
          <w:i w:val="0"/>
          <w:sz w:val="22"/>
        </w:rPr>
        <w:br/>
      </w:r>
      <w:r w:rsidRPr="004848B7">
        <w:rPr>
          <w:rFonts w:ascii="Garamond" w:hAnsi="Garamond"/>
          <w:i w:val="0"/>
          <w:sz w:val="22"/>
        </w:rPr>
        <w:t>world for our commodity exports led to strong income and consumption growth</w:t>
      </w:r>
      <w:r>
        <w:rPr>
          <w:rFonts w:ascii="Garamond" w:hAnsi="Garamond"/>
          <w:i w:val="0"/>
          <w:sz w:val="22"/>
        </w:rPr>
        <w:t xml:space="preserve"> for most of the 2000s</w:t>
      </w:r>
      <w:r w:rsidRPr="004848B7">
        <w:rPr>
          <w:rFonts w:ascii="Garamond" w:hAnsi="Garamond"/>
          <w:i w:val="0"/>
          <w:sz w:val="22"/>
        </w:rPr>
        <w:t>. Second</w:t>
      </w:r>
      <w:r>
        <w:rPr>
          <w:rFonts w:ascii="Garamond" w:hAnsi="Garamond"/>
          <w:i w:val="0"/>
          <w:sz w:val="22"/>
        </w:rPr>
        <w:t>,</w:t>
      </w:r>
      <w:r w:rsidRPr="004848B7">
        <w:rPr>
          <w:rFonts w:ascii="Garamond" w:hAnsi="Garamond"/>
          <w:i w:val="0"/>
          <w:sz w:val="22"/>
        </w:rPr>
        <w:t xml:space="preserve"> the</w:t>
      </w:r>
      <w:r>
        <w:rPr>
          <w:rFonts w:ascii="Garamond" w:hAnsi="Garamond"/>
          <w:i w:val="0"/>
          <w:sz w:val="22"/>
        </w:rPr>
        <w:t xml:space="preserve"> global financial crisis</w:t>
      </w:r>
      <w:r w:rsidRPr="004848B7">
        <w:rPr>
          <w:rFonts w:ascii="Garamond" w:hAnsi="Garamond"/>
          <w:i w:val="0"/>
          <w:sz w:val="22"/>
        </w:rPr>
        <w:t xml:space="preserve"> </w:t>
      </w:r>
      <w:r>
        <w:rPr>
          <w:rFonts w:ascii="Garamond" w:hAnsi="Garamond"/>
          <w:i w:val="0"/>
          <w:sz w:val="22"/>
        </w:rPr>
        <w:t xml:space="preserve">in 2008-09 </w:t>
      </w:r>
      <w:r w:rsidRPr="004848B7">
        <w:rPr>
          <w:rFonts w:ascii="Garamond" w:hAnsi="Garamond"/>
          <w:i w:val="0"/>
          <w:sz w:val="22"/>
        </w:rPr>
        <w:t>saw consumption plummet and precautionary savings soar.</w:t>
      </w:r>
    </w:p>
    <w:p w:rsidR="00B03921" w:rsidRPr="004848B7" w:rsidRDefault="00B03921" w:rsidP="00016914">
      <w:pPr>
        <w:pStyle w:val="HighlightBoxHeading"/>
        <w:rPr>
          <w:rFonts w:ascii="Garamond" w:hAnsi="Garamond"/>
          <w:i w:val="0"/>
          <w:sz w:val="22"/>
        </w:rPr>
      </w:pPr>
      <w:r w:rsidRPr="004848B7">
        <w:rPr>
          <w:rFonts w:ascii="Garamond" w:hAnsi="Garamond"/>
          <w:i w:val="0"/>
          <w:sz w:val="22"/>
        </w:rPr>
        <w:t>Victoria</w:t>
      </w:r>
      <w:r w:rsidR="00BA5A16">
        <w:rPr>
          <w:rFonts w:ascii="Garamond" w:hAnsi="Garamond"/>
          <w:i w:val="0"/>
          <w:sz w:val="22"/>
        </w:rPr>
        <w:t>’</w:t>
      </w:r>
      <w:r w:rsidRPr="004848B7">
        <w:rPr>
          <w:rFonts w:ascii="Garamond" w:hAnsi="Garamond"/>
          <w:i w:val="0"/>
          <w:sz w:val="22"/>
        </w:rPr>
        <w:t xml:space="preserve">s GST </w:t>
      </w:r>
      <w:r>
        <w:rPr>
          <w:rFonts w:ascii="Garamond" w:hAnsi="Garamond"/>
          <w:i w:val="0"/>
          <w:sz w:val="22"/>
        </w:rPr>
        <w:t xml:space="preserve">revenue </w:t>
      </w:r>
      <w:r w:rsidRPr="004848B7">
        <w:rPr>
          <w:rFonts w:ascii="Garamond" w:hAnsi="Garamond"/>
          <w:i w:val="0"/>
          <w:sz w:val="22"/>
        </w:rPr>
        <w:t>h</w:t>
      </w:r>
      <w:r>
        <w:rPr>
          <w:rFonts w:ascii="Garamond" w:hAnsi="Garamond"/>
          <w:i w:val="0"/>
          <w:sz w:val="22"/>
        </w:rPr>
        <w:t>as</w:t>
      </w:r>
      <w:r w:rsidRPr="004848B7">
        <w:rPr>
          <w:rFonts w:ascii="Garamond" w:hAnsi="Garamond"/>
          <w:i w:val="0"/>
          <w:sz w:val="22"/>
        </w:rPr>
        <w:t xml:space="preserve"> been affected</w:t>
      </w:r>
      <w:r>
        <w:rPr>
          <w:rFonts w:ascii="Garamond" w:hAnsi="Garamond"/>
          <w:i w:val="0"/>
          <w:sz w:val="22"/>
        </w:rPr>
        <w:t xml:space="preserve"> primarily through two channels;</w:t>
      </w:r>
      <w:r w:rsidRPr="004848B7">
        <w:rPr>
          <w:rFonts w:ascii="Garamond" w:hAnsi="Garamond"/>
          <w:i w:val="0"/>
          <w:sz w:val="22"/>
        </w:rPr>
        <w:t xml:space="preserve"> the volume </w:t>
      </w:r>
      <w:r>
        <w:rPr>
          <w:rFonts w:ascii="Garamond" w:hAnsi="Garamond"/>
          <w:i w:val="0"/>
          <w:sz w:val="22"/>
        </w:rPr>
        <w:br/>
      </w:r>
      <w:r w:rsidRPr="004848B7">
        <w:rPr>
          <w:rFonts w:ascii="Garamond" w:hAnsi="Garamond"/>
          <w:i w:val="0"/>
          <w:sz w:val="22"/>
        </w:rPr>
        <w:t>of GST collected nationally and changes to Victoria</w:t>
      </w:r>
      <w:r w:rsidR="00BA5A16">
        <w:rPr>
          <w:rFonts w:ascii="Garamond" w:hAnsi="Garamond"/>
          <w:i w:val="0"/>
          <w:sz w:val="22"/>
        </w:rPr>
        <w:t>’</w:t>
      </w:r>
      <w:r w:rsidRPr="004848B7">
        <w:rPr>
          <w:rFonts w:ascii="Garamond" w:hAnsi="Garamond"/>
          <w:i w:val="0"/>
          <w:sz w:val="22"/>
        </w:rPr>
        <w:t>s share of these collections.</w:t>
      </w:r>
    </w:p>
    <w:p w:rsidR="00B03921" w:rsidRDefault="00B03921">
      <w:pPr>
        <w:spacing w:after="0"/>
      </w:pPr>
      <w:r>
        <w:rPr>
          <w:i/>
        </w:rPr>
        <w:br w:type="page"/>
      </w:r>
    </w:p>
    <w:p w:rsidR="00B03921" w:rsidRPr="004848B7" w:rsidRDefault="00B03921" w:rsidP="00016914">
      <w:pPr>
        <w:pStyle w:val="HighlightBoxHeading"/>
        <w:rPr>
          <w:rFonts w:ascii="Garamond" w:hAnsi="Garamond"/>
          <w:i w:val="0"/>
          <w:sz w:val="22"/>
        </w:rPr>
      </w:pPr>
      <w:r w:rsidRPr="004848B7">
        <w:rPr>
          <w:rFonts w:ascii="Garamond" w:hAnsi="Garamond"/>
          <w:i w:val="0"/>
          <w:sz w:val="22"/>
        </w:rPr>
        <w:t xml:space="preserve">In the </w:t>
      </w:r>
      <w:r>
        <w:rPr>
          <w:rFonts w:ascii="Garamond" w:hAnsi="Garamond"/>
          <w:i w:val="0"/>
          <w:sz w:val="22"/>
        </w:rPr>
        <w:t xml:space="preserve">seven years </w:t>
      </w:r>
      <w:r w:rsidRPr="004848B7">
        <w:rPr>
          <w:rFonts w:ascii="Garamond" w:hAnsi="Garamond"/>
          <w:i w:val="0"/>
          <w:sz w:val="22"/>
        </w:rPr>
        <w:t xml:space="preserve">preceding the </w:t>
      </w:r>
      <w:r>
        <w:rPr>
          <w:rFonts w:ascii="Garamond" w:hAnsi="Garamond"/>
          <w:i w:val="0"/>
          <w:sz w:val="22"/>
        </w:rPr>
        <w:t>global financial crisis</w:t>
      </w:r>
      <w:r w:rsidRPr="004848B7">
        <w:rPr>
          <w:rFonts w:ascii="Garamond" w:hAnsi="Garamond"/>
          <w:i w:val="0"/>
          <w:sz w:val="22"/>
        </w:rPr>
        <w:t xml:space="preserve">, growth in the national GST pool averaged </w:t>
      </w:r>
      <w:r>
        <w:rPr>
          <w:rFonts w:ascii="Garamond" w:hAnsi="Garamond"/>
          <w:i w:val="0"/>
          <w:sz w:val="22"/>
        </w:rPr>
        <w:t>8.3 per cent</w:t>
      </w:r>
      <w:r w:rsidRPr="004848B7">
        <w:rPr>
          <w:rFonts w:ascii="Garamond" w:hAnsi="Garamond"/>
          <w:i w:val="0"/>
          <w:sz w:val="22"/>
        </w:rPr>
        <w:t xml:space="preserve"> a year. This was a period characterised by strong growth in real incomes and household wealth along with increasingly tight labour and product markets. During this period, the household savings rate steadily declin</w:t>
      </w:r>
      <w:r>
        <w:rPr>
          <w:rFonts w:ascii="Garamond" w:hAnsi="Garamond"/>
          <w:i w:val="0"/>
          <w:sz w:val="22"/>
        </w:rPr>
        <w:t>ed</w:t>
      </w:r>
      <w:r w:rsidRPr="004848B7">
        <w:rPr>
          <w:rFonts w:ascii="Garamond" w:hAnsi="Garamond"/>
          <w:i w:val="0"/>
          <w:sz w:val="22"/>
        </w:rPr>
        <w:t xml:space="preserve"> </w:t>
      </w:r>
      <w:r>
        <w:rPr>
          <w:rFonts w:ascii="Garamond" w:hAnsi="Garamond"/>
          <w:i w:val="0"/>
          <w:sz w:val="22"/>
        </w:rPr>
        <w:t xml:space="preserve">to </w:t>
      </w:r>
      <w:r w:rsidRPr="004848B7">
        <w:rPr>
          <w:rFonts w:ascii="Garamond" w:hAnsi="Garamond"/>
          <w:i w:val="0"/>
          <w:sz w:val="22"/>
        </w:rPr>
        <w:t>around zero. This was driven by a number of factors, including an increased availability of credit, falling real interest rates, more stable economic outcomes and rising asset prices.</w:t>
      </w:r>
    </w:p>
    <w:p w:rsidR="00B03921" w:rsidRDefault="00B03921" w:rsidP="00016914">
      <w:pPr>
        <w:pStyle w:val="HighlightBoxHeading"/>
        <w:rPr>
          <w:rFonts w:ascii="Garamond" w:hAnsi="Garamond"/>
          <w:i w:val="0"/>
          <w:sz w:val="22"/>
        </w:rPr>
      </w:pPr>
      <w:r w:rsidRPr="004848B7">
        <w:rPr>
          <w:rFonts w:ascii="Garamond" w:hAnsi="Garamond"/>
          <w:i w:val="0"/>
          <w:sz w:val="22"/>
        </w:rPr>
        <w:t xml:space="preserve">There were also changes in the type of goods and services households were consuming. Importantly for the </w:t>
      </w:r>
      <w:r>
        <w:rPr>
          <w:rFonts w:ascii="Garamond" w:hAnsi="Garamond"/>
          <w:i w:val="0"/>
          <w:sz w:val="22"/>
        </w:rPr>
        <w:t xml:space="preserve">national </w:t>
      </w:r>
      <w:r w:rsidRPr="004848B7">
        <w:rPr>
          <w:rFonts w:ascii="Garamond" w:hAnsi="Garamond"/>
          <w:i w:val="0"/>
          <w:sz w:val="22"/>
        </w:rPr>
        <w:t>GST pool, this period was characterised by a strong property market which pushed up rent</w:t>
      </w:r>
      <w:r>
        <w:rPr>
          <w:rFonts w:ascii="Garamond" w:hAnsi="Garamond"/>
          <w:i w:val="0"/>
          <w:sz w:val="22"/>
        </w:rPr>
        <w:t>s</w:t>
      </w:r>
      <w:r w:rsidRPr="004848B7">
        <w:rPr>
          <w:rFonts w:ascii="Garamond" w:hAnsi="Garamond"/>
          <w:i w:val="0"/>
          <w:sz w:val="22"/>
        </w:rPr>
        <w:t xml:space="preserve">. Spending on </w:t>
      </w:r>
      <w:r>
        <w:rPr>
          <w:rFonts w:ascii="Garamond" w:hAnsi="Garamond"/>
          <w:i w:val="0"/>
          <w:sz w:val="22"/>
        </w:rPr>
        <w:t>health and e</w:t>
      </w:r>
      <w:r w:rsidRPr="004848B7">
        <w:rPr>
          <w:rFonts w:ascii="Garamond" w:hAnsi="Garamond"/>
          <w:i w:val="0"/>
          <w:sz w:val="22"/>
        </w:rPr>
        <w:t>ducation also rose strongly as a proportion of consumption</w:t>
      </w:r>
      <w:r>
        <w:rPr>
          <w:rFonts w:ascii="Garamond" w:hAnsi="Garamond"/>
          <w:i w:val="0"/>
          <w:sz w:val="22"/>
        </w:rPr>
        <w:t xml:space="preserve"> (Chart 4.4)</w:t>
      </w:r>
      <w:r w:rsidRPr="004848B7">
        <w:rPr>
          <w:rFonts w:ascii="Garamond" w:hAnsi="Garamond"/>
          <w:i w:val="0"/>
          <w:sz w:val="22"/>
        </w:rPr>
        <w:t>. These categories are exempt from GST.</w:t>
      </w:r>
    </w:p>
    <w:p w:rsidR="00B03921" w:rsidRDefault="00B03921" w:rsidP="00016914">
      <w:pPr>
        <w:pStyle w:val="HighlightBoxHeading"/>
        <w:rPr>
          <w:rFonts w:asciiTheme="minorHAnsi" w:hAnsiTheme="minorHAnsi" w:cstheme="minorHAnsi"/>
          <w:b/>
          <w:i w:val="0"/>
          <w:sz w:val="22"/>
        </w:rPr>
      </w:pPr>
      <w:r w:rsidRPr="004848B7">
        <w:rPr>
          <w:rFonts w:asciiTheme="minorHAnsi" w:hAnsiTheme="minorHAnsi" w:cstheme="minorHAnsi"/>
          <w:b/>
          <w:i w:val="0"/>
          <w:sz w:val="22"/>
        </w:rPr>
        <w:t>Chart</w:t>
      </w:r>
      <w:r>
        <w:rPr>
          <w:rFonts w:asciiTheme="minorHAnsi" w:hAnsiTheme="minorHAnsi" w:cstheme="minorHAnsi"/>
          <w:b/>
          <w:i w:val="0"/>
          <w:sz w:val="22"/>
        </w:rPr>
        <w:t xml:space="preserve"> 4.4:</w:t>
      </w:r>
      <w:r>
        <w:rPr>
          <w:rFonts w:asciiTheme="minorHAnsi" w:hAnsiTheme="minorHAnsi" w:cstheme="minorHAnsi"/>
          <w:b/>
          <w:i w:val="0"/>
          <w:sz w:val="22"/>
        </w:rPr>
        <w:tab/>
      </w:r>
      <w:r w:rsidRPr="004848B7">
        <w:rPr>
          <w:rFonts w:asciiTheme="minorHAnsi" w:hAnsiTheme="minorHAnsi" w:cstheme="minorHAnsi"/>
          <w:b/>
          <w:i w:val="0"/>
          <w:sz w:val="22"/>
        </w:rPr>
        <w:t>GST exempt categories share of household final consumption</w:t>
      </w:r>
      <w:r>
        <w:rPr>
          <w:rFonts w:asciiTheme="minorHAnsi" w:hAnsiTheme="minorHAnsi" w:cstheme="minorHAnsi"/>
          <w:b/>
          <w:i w:val="0"/>
          <w:sz w:val="22"/>
        </w:rPr>
        <w:br/>
      </w:r>
      <w:r>
        <w:rPr>
          <w:rFonts w:asciiTheme="minorHAnsi" w:hAnsiTheme="minorHAnsi" w:cstheme="minorHAnsi"/>
          <w:b/>
          <w:i w:val="0"/>
          <w:sz w:val="22"/>
        </w:rPr>
        <w:tab/>
      </w:r>
      <w:r>
        <w:rPr>
          <w:rFonts w:asciiTheme="minorHAnsi" w:hAnsiTheme="minorHAnsi" w:cstheme="minorHAnsi"/>
          <w:b/>
          <w:i w:val="0"/>
          <w:sz w:val="22"/>
        </w:rPr>
        <w:tab/>
      </w:r>
      <w:r w:rsidRPr="004848B7">
        <w:rPr>
          <w:rFonts w:asciiTheme="minorHAnsi" w:hAnsiTheme="minorHAnsi" w:cstheme="minorHAnsi"/>
          <w:b/>
          <w:i w:val="0"/>
          <w:sz w:val="22"/>
        </w:rPr>
        <w:t>expenditure, current prices</w:t>
      </w:r>
    </w:p>
    <w:p w:rsidR="00B03921" w:rsidRPr="004848B7" w:rsidRDefault="001C18AD" w:rsidP="00016914">
      <w:pPr>
        <w:pStyle w:val="HighlightBoxHeading"/>
        <w:jc w:val="center"/>
        <w:rPr>
          <w:rFonts w:asciiTheme="minorHAnsi" w:hAnsiTheme="minorHAnsi" w:cstheme="minorHAnsi"/>
          <w:b/>
          <w:i w:val="0"/>
          <w:sz w:val="22"/>
        </w:rPr>
      </w:pPr>
      <w:r>
        <w:rPr>
          <w:rFonts w:asciiTheme="minorHAnsi" w:hAnsiTheme="minorHAnsi" w:cstheme="minorHAnsi"/>
          <w:b/>
          <w:i w:val="0"/>
          <w:sz w:val="22"/>
        </w:rPr>
        <w:pict>
          <v:shape id="_x0000_i1028" type="#_x0000_t75" style="width:372.35pt;height:223.5pt">
            <v:imagedata r:id="rId72" o:title=""/>
          </v:shape>
        </w:pict>
      </w:r>
    </w:p>
    <w:p w:rsidR="00B03921" w:rsidRPr="004848B7" w:rsidRDefault="00B03921" w:rsidP="00016914">
      <w:pPr>
        <w:pStyle w:val="HighlightBoxHeading"/>
        <w:rPr>
          <w:rFonts w:asciiTheme="minorHAnsi" w:hAnsiTheme="minorHAnsi" w:cstheme="minorHAnsi"/>
          <w:sz w:val="15"/>
          <w:szCs w:val="15"/>
        </w:rPr>
      </w:pPr>
      <w:r w:rsidRPr="004848B7">
        <w:rPr>
          <w:rFonts w:asciiTheme="minorHAnsi" w:hAnsiTheme="minorHAnsi" w:cstheme="minorHAnsi"/>
          <w:sz w:val="15"/>
          <w:szCs w:val="15"/>
        </w:rPr>
        <w:t>Source: Australian Bureau of Statistics, Department of Treasury and Finance</w:t>
      </w:r>
    </w:p>
    <w:p w:rsidR="00B03921" w:rsidRDefault="00B03921" w:rsidP="00016914">
      <w:pPr>
        <w:pStyle w:val="HighlightBoxHeading"/>
        <w:rPr>
          <w:rFonts w:ascii="Garamond" w:hAnsi="Garamond"/>
          <w:i w:val="0"/>
          <w:sz w:val="22"/>
        </w:rPr>
      </w:pPr>
      <w:r w:rsidRPr="004848B7">
        <w:rPr>
          <w:rFonts w:ascii="Garamond" w:hAnsi="Garamond"/>
          <w:i w:val="0"/>
          <w:sz w:val="22"/>
        </w:rPr>
        <w:t xml:space="preserve">The rise of China and other emerging market economies drove a large increase in demand for the key commodity exports from Australia. The </w:t>
      </w:r>
      <w:r>
        <w:rPr>
          <w:rFonts w:ascii="Garamond" w:hAnsi="Garamond"/>
          <w:i w:val="0"/>
          <w:sz w:val="22"/>
        </w:rPr>
        <w:t xml:space="preserve">increase </w:t>
      </w:r>
      <w:r w:rsidRPr="004848B7">
        <w:rPr>
          <w:rFonts w:ascii="Garamond" w:hAnsi="Garamond"/>
          <w:i w:val="0"/>
          <w:sz w:val="22"/>
        </w:rPr>
        <w:t>in demand saw prices surge to record highs</w:t>
      </w:r>
      <w:r>
        <w:rPr>
          <w:rFonts w:ascii="Garamond" w:hAnsi="Garamond"/>
          <w:i w:val="0"/>
          <w:sz w:val="22"/>
        </w:rPr>
        <w:t xml:space="preserve"> and </w:t>
      </w:r>
      <w:r w:rsidRPr="004848B7">
        <w:rPr>
          <w:rFonts w:ascii="Garamond" w:hAnsi="Garamond"/>
          <w:i w:val="0"/>
          <w:sz w:val="22"/>
        </w:rPr>
        <w:t>increases in mining royalties for W</w:t>
      </w:r>
      <w:r>
        <w:rPr>
          <w:rFonts w:ascii="Garamond" w:hAnsi="Garamond"/>
          <w:i w:val="0"/>
          <w:sz w:val="22"/>
        </w:rPr>
        <w:t xml:space="preserve">estern </w:t>
      </w:r>
      <w:r w:rsidRPr="004848B7">
        <w:rPr>
          <w:rFonts w:ascii="Garamond" w:hAnsi="Garamond"/>
          <w:i w:val="0"/>
          <w:sz w:val="22"/>
        </w:rPr>
        <w:t>A</w:t>
      </w:r>
      <w:r>
        <w:rPr>
          <w:rFonts w:ascii="Garamond" w:hAnsi="Garamond"/>
          <w:i w:val="0"/>
          <w:sz w:val="22"/>
        </w:rPr>
        <w:t>ustralia</w:t>
      </w:r>
      <w:r w:rsidRPr="004848B7">
        <w:rPr>
          <w:rFonts w:ascii="Garamond" w:hAnsi="Garamond"/>
          <w:i w:val="0"/>
          <w:sz w:val="22"/>
        </w:rPr>
        <w:t xml:space="preserve"> and Q</w:t>
      </w:r>
      <w:r>
        <w:rPr>
          <w:rFonts w:ascii="Garamond" w:hAnsi="Garamond"/>
          <w:i w:val="0"/>
          <w:sz w:val="22"/>
        </w:rPr>
        <w:t>ueensland</w:t>
      </w:r>
      <w:r w:rsidRPr="004848B7">
        <w:rPr>
          <w:rFonts w:ascii="Garamond" w:hAnsi="Garamond"/>
          <w:i w:val="0"/>
          <w:sz w:val="22"/>
        </w:rPr>
        <w:t xml:space="preserve">. This has had a </w:t>
      </w:r>
      <w:r>
        <w:rPr>
          <w:rFonts w:ascii="Garamond" w:hAnsi="Garamond"/>
          <w:i w:val="0"/>
          <w:sz w:val="22"/>
        </w:rPr>
        <w:t>significant</w:t>
      </w:r>
      <w:r w:rsidRPr="004848B7">
        <w:rPr>
          <w:rFonts w:ascii="Garamond" w:hAnsi="Garamond"/>
          <w:i w:val="0"/>
          <w:sz w:val="22"/>
        </w:rPr>
        <w:t xml:space="preserve"> impact on the distribution of GST among the states. </w:t>
      </w:r>
      <w:r w:rsidRPr="006265B1">
        <w:rPr>
          <w:rFonts w:ascii="Garamond" w:hAnsi="Garamond"/>
          <w:i w:val="0"/>
          <w:sz w:val="22"/>
        </w:rPr>
        <w:t xml:space="preserve">The </w:t>
      </w:r>
      <w:r>
        <w:rPr>
          <w:rFonts w:ascii="Garamond" w:hAnsi="Garamond"/>
          <w:i w:val="0"/>
          <w:sz w:val="22"/>
        </w:rPr>
        <w:t xml:space="preserve">resource rich </w:t>
      </w:r>
      <w:r w:rsidRPr="006265B1">
        <w:rPr>
          <w:rFonts w:ascii="Garamond" w:hAnsi="Garamond"/>
          <w:i w:val="0"/>
          <w:sz w:val="22"/>
        </w:rPr>
        <w:t>states have gained overall  from the mining boom, both in terms of revenue and investment activity, despite the fact a share has been redistributed to other states through GST revenue.</w:t>
      </w:r>
    </w:p>
    <w:p w:rsidR="00B03921" w:rsidRDefault="00B03921" w:rsidP="00016914">
      <w:pPr>
        <w:pStyle w:val="HighlightBoxHeading"/>
      </w:pPr>
      <w:r w:rsidRPr="004848B7">
        <w:rPr>
          <w:rFonts w:ascii="Garamond" w:hAnsi="Garamond"/>
          <w:i w:val="0"/>
          <w:sz w:val="22"/>
        </w:rPr>
        <w:t>The GST is distributed among the states</w:t>
      </w:r>
      <w:r>
        <w:rPr>
          <w:rFonts w:ascii="Garamond" w:hAnsi="Garamond"/>
          <w:i w:val="0"/>
          <w:sz w:val="22"/>
        </w:rPr>
        <w:t xml:space="preserve"> in a way that</w:t>
      </w:r>
      <w:r w:rsidRPr="004848B7">
        <w:rPr>
          <w:rFonts w:ascii="Garamond" w:hAnsi="Garamond"/>
          <w:i w:val="0"/>
          <w:sz w:val="22"/>
        </w:rPr>
        <w:t xml:space="preserve"> aims to place states on a level </w:t>
      </w:r>
      <w:r>
        <w:rPr>
          <w:rFonts w:ascii="Garamond" w:hAnsi="Garamond"/>
          <w:i w:val="0"/>
          <w:sz w:val="22"/>
        </w:rPr>
        <w:br/>
      </w:r>
      <w:r w:rsidRPr="004848B7">
        <w:rPr>
          <w:rFonts w:ascii="Garamond" w:hAnsi="Garamond"/>
          <w:i w:val="0"/>
          <w:sz w:val="22"/>
        </w:rPr>
        <w:t xml:space="preserve">fiscal playing field </w:t>
      </w:r>
      <w:r>
        <w:rPr>
          <w:rFonts w:ascii="Garamond" w:hAnsi="Garamond"/>
          <w:i w:val="0"/>
          <w:sz w:val="22"/>
        </w:rPr>
        <w:t>and</w:t>
      </w:r>
      <w:r w:rsidRPr="004848B7">
        <w:rPr>
          <w:rFonts w:ascii="Garamond" w:hAnsi="Garamond"/>
          <w:i w:val="0"/>
          <w:sz w:val="22"/>
        </w:rPr>
        <w:t xml:space="preserve"> ensure states have an equal capacity to deliver services. </w:t>
      </w:r>
      <w:r>
        <w:rPr>
          <w:rFonts w:ascii="Garamond" w:hAnsi="Garamond"/>
          <w:i w:val="0"/>
          <w:sz w:val="22"/>
        </w:rPr>
        <w:t>M</w:t>
      </w:r>
      <w:r w:rsidRPr="004848B7">
        <w:rPr>
          <w:rFonts w:ascii="Garamond" w:hAnsi="Garamond"/>
          <w:i w:val="0"/>
          <w:sz w:val="22"/>
        </w:rPr>
        <w:t>ajor revenue sources</w:t>
      </w:r>
      <w:r>
        <w:rPr>
          <w:rFonts w:ascii="Garamond" w:hAnsi="Garamond"/>
          <w:i w:val="0"/>
          <w:sz w:val="22"/>
        </w:rPr>
        <w:t>, including mining royalties,</w:t>
      </w:r>
      <w:r w:rsidRPr="004848B7">
        <w:rPr>
          <w:rFonts w:ascii="Garamond" w:hAnsi="Garamond"/>
          <w:i w:val="0"/>
          <w:sz w:val="22"/>
        </w:rPr>
        <w:t xml:space="preserve"> are assessed as part of the GST distribution methodology. </w:t>
      </w:r>
      <w:r>
        <w:rPr>
          <w:rFonts w:ascii="Garamond" w:hAnsi="Garamond"/>
          <w:i w:val="0"/>
          <w:sz w:val="22"/>
        </w:rPr>
        <w:t>Consequently, t</w:t>
      </w:r>
      <w:r w:rsidRPr="004848B7">
        <w:rPr>
          <w:rFonts w:ascii="Garamond" w:hAnsi="Garamond"/>
          <w:i w:val="0"/>
          <w:sz w:val="22"/>
        </w:rPr>
        <w:t>he sharp increase in royalties over the last decade has significantly increased the fiscal capacity of the resource rich states</w:t>
      </w:r>
      <w:r>
        <w:rPr>
          <w:rFonts w:ascii="Garamond" w:hAnsi="Garamond"/>
          <w:i w:val="0"/>
          <w:sz w:val="22"/>
        </w:rPr>
        <w:t xml:space="preserve"> and their </w:t>
      </w:r>
      <w:r w:rsidRPr="004848B7">
        <w:rPr>
          <w:rFonts w:ascii="Garamond" w:hAnsi="Garamond"/>
          <w:i w:val="0"/>
          <w:sz w:val="22"/>
        </w:rPr>
        <w:t xml:space="preserve">share </w:t>
      </w:r>
      <w:r>
        <w:rPr>
          <w:rFonts w:ascii="Garamond" w:hAnsi="Garamond"/>
          <w:i w:val="0"/>
          <w:sz w:val="22"/>
        </w:rPr>
        <w:t>o</w:t>
      </w:r>
      <w:r w:rsidRPr="004848B7">
        <w:rPr>
          <w:rFonts w:ascii="Garamond" w:hAnsi="Garamond"/>
          <w:i w:val="0"/>
          <w:sz w:val="22"/>
        </w:rPr>
        <w:t>f GST has fallen.</w:t>
      </w:r>
    </w:p>
    <w:p w:rsidR="00B03921" w:rsidRPr="004848B7" w:rsidRDefault="00B03921" w:rsidP="00016914">
      <w:pPr>
        <w:pStyle w:val="HighlightBoxHeading"/>
        <w:rPr>
          <w:rFonts w:ascii="Garamond" w:hAnsi="Garamond"/>
          <w:i w:val="0"/>
          <w:sz w:val="22"/>
        </w:rPr>
      </w:pPr>
      <w:r w:rsidRPr="004848B7">
        <w:rPr>
          <w:rFonts w:ascii="Garamond" w:hAnsi="Garamond"/>
          <w:i w:val="0"/>
          <w:sz w:val="22"/>
        </w:rPr>
        <w:t xml:space="preserve">Around 2010, commodity prices peaked and massive investment in new capacity began </w:t>
      </w:r>
      <w:r>
        <w:rPr>
          <w:rFonts w:ascii="Garamond" w:hAnsi="Garamond"/>
          <w:i w:val="0"/>
          <w:sz w:val="22"/>
        </w:rPr>
        <w:br/>
      </w:r>
      <w:r w:rsidRPr="004848B7">
        <w:rPr>
          <w:rFonts w:ascii="Garamond" w:hAnsi="Garamond"/>
          <w:i w:val="0"/>
          <w:sz w:val="22"/>
        </w:rPr>
        <w:t>to come on line, not just in Australia but around the world. The subsequent decline in commodity prices has driven significant declines in mining royalties, particularly for W</w:t>
      </w:r>
      <w:r>
        <w:rPr>
          <w:rFonts w:ascii="Garamond" w:hAnsi="Garamond"/>
          <w:i w:val="0"/>
          <w:sz w:val="22"/>
        </w:rPr>
        <w:t xml:space="preserve">estern </w:t>
      </w:r>
      <w:r w:rsidRPr="004848B7">
        <w:rPr>
          <w:rFonts w:ascii="Garamond" w:hAnsi="Garamond"/>
          <w:i w:val="0"/>
          <w:sz w:val="22"/>
        </w:rPr>
        <w:t>A</w:t>
      </w:r>
      <w:r>
        <w:rPr>
          <w:rFonts w:ascii="Garamond" w:hAnsi="Garamond"/>
          <w:i w:val="0"/>
          <w:sz w:val="22"/>
        </w:rPr>
        <w:t>ustralia</w:t>
      </w:r>
      <w:r w:rsidRPr="004848B7">
        <w:rPr>
          <w:rFonts w:ascii="Garamond" w:hAnsi="Garamond"/>
          <w:i w:val="0"/>
          <w:sz w:val="22"/>
        </w:rPr>
        <w:t>, although this has been partially offset by strong growth in export volumes. Australia</w:t>
      </w:r>
      <w:r w:rsidR="00BA5A16">
        <w:rPr>
          <w:rFonts w:ascii="Garamond" w:hAnsi="Garamond"/>
          <w:i w:val="0"/>
          <w:sz w:val="22"/>
        </w:rPr>
        <w:t>’</w:t>
      </w:r>
      <w:r w:rsidRPr="004848B7">
        <w:rPr>
          <w:rFonts w:ascii="Garamond" w:hAnsi="Garamond"/>
          <w:i w:val="0"/>
          <w:sz w:val="22"/>
        </w:rPr>
        <w:t>s terms of trade has also declined sharply and this is putting downward pressure on national income growth.</w:t>
      </w:r>
    </w:p>
    <w:p w:rsidR="00B03921" w:rsidRDefault="00B03921" w:rsidP="00016914">
      <w:pPr>
        <w:pStyle w:val="HighlightBoxHeading"/>
        <w:rPr>
          <w:rFonts w:ascii="Garamond" w:hAnsi="Garamond"/>
          <w:i w:val="0"/>
          <w:sz w:val="22"/>
        </w:rPr>
      </w:pPr>
      <w:r w:rsidRPr="004848B7">
        <w:rPr>
          <w:rFonts w:ascii="Garamond" w:hAnsi="Garamond"/>
          <w:i w:val="0"/>
          <w:sz w:val="22"/>
        </w:rPr>
        <w:t xml:space="preserve">Following the </w:t>
      </w:r>
      <w:r>
        <w:rPr>
          <w:rFonts w:ascii="Garamond" w:hAnsi="Garamond"/>
          <w:i w:val="0"/>
          <w:sz w:val="22"/>
        </w:rPr>
        <w:t>global financial crisis,</w:t>
      </w:r>
      <w:r w:rsidRPr="004848B7">
        <w:rPr>
          <w:rFonts w:ascii="Garamond" w:hAnsi="Garamond"/>
          <w:i w:val="0"/>
          <w:sz w:val="22"/>
        </w:rPr>
        <w:t xml:space="preserve"> the prospect of lower income growth has seen household consumption decline and a sharp rise in precautionary saving in an effort to rebuild wealth. </w:t>
      </w:r>
      <w:r>
        <w:rPr>
          <w:rFonts w:ascii="Garamond" w:hAnsi="Garamond"/>
          <w:i w:val="0"/>
          <w:sz w:val="22"/>
        </w:rPr>
        <w:t xml:space="preserve">The increased saving has moderated growth </w:t>
      </w:r>
      <w:r w:rsidRPr="004848B7">
        <w:rPr>
          <w:rFonts w:ascii="Garamond" w:hAnsi="Garamond"/>
          <w:i w:val="0"/>
          <w:sz w:val="22"/>
        </w:rPr>
        <w:t xml:space="preserve">in the GST pool which has averaged </w:t>
      </w:r>
      <w:r>
        <w:rPr>
          <w:rFonts w:ascii="Garamond" w:hAnsi="Garamond"/>
          <w:i w:val="0"/>
          <w:sz w:val="22"/>
        </w:rPr>
        <w:t>4.4 per cent</w:t>
      </w:r>
      <w:r w:rsidRPr="004848B7">
        <w:rPr>
          <w:rFonts w:ascii="Garamond" w:hAnsi="Garamond"/>
          <w:i w:val="0"/>
          <w:sz w:val="22"/>
        </w:rPr>
        <w:t xml:space="preserve"> a year.</w:t>
      </w:r>
    </w:p>
    <w:p w:rsidR="00B03921" w:rsidRDefault="00B03921" w:rsidP="00016914">
      <w:pPr>
        <w:pStyle w:val="Heading2"/>
      </w:pPr>
      <w:r>
        <w:t>Specific Purpose Grants for on-passing</w:t>
      </w:r>
    </w:p>
    <w:p w:rsidR="00B03921" w:rsidRDefault="00B03921" w:rsidP="00016914">
      <w:r>
        <w:t>Table 4.5</w:t>
      </w:r>
      <w:r w:rsidRPr="000C5518">
        <w:t xml:space="preserve"> summarises estimates of grants from the Commonwealth that are passed on to other entities. Growth in</w:t>
      </w:r>
      <w:r>
        <w:t xml:space="preserve"> specific purpose grants for on-</w:t>
      </w:r>
      <w:r w:rsidRPr="000C5518">
        <w:t>passing in 201</w:t>
      </w:r>
      <w:r>
        <w:t>5</w:t>
      </w:r>
      <w:r>
        <w:noBreakHyphen/>
        <w:t>16</w:t>
      </w:r>
      <w:r w:rsidRPr="000C5518">
        <w:t xml:space="preserve"> reflects an increase in education funding for non</w:t>
      </w:r>
      <w:r>
        <w:noBreakHyphen/>
      </w:r>
      <w:r w:rsidRPr="000C5518">
        <w:t>government schools</w:t>
      </w:r>
      <w:r>
        <w:t xml:space="preserve"> with funding for local government flat</w:t>
      </w:r>
      <w:r w:rsidRPr="000C5518">
        <w:t>.</w:t>
      </w:r>
    </w:p>
    <w:p w:rsidR="00B03921" w:rsidRDefault="00B03921" w:rsidP="00016914">
      <w:pPr>
        <w:pStyle w:val="Tableheading"/>
      </w:pPr>
      <w:r>
        <w:t>Table 4.5:</w:t>
      </w:r>
      <w:r>
        <w:tab/>
        <w:t>Grants for on-passing</w:t>
      </w:r>
    </w:p>
    <w:p w:rsidR="00B03921" w:rsidRPr="00DC2D28" w:rsidRDefault="00B03921" w:rsidP="00016914">
      <w:pPr>
        <w:pStyle w:val="million"/>
        <w:rPr>
          <w:rFonts w:ascii="Times New Roman" w:hAnsi="Times New Roman"/>
          <w:sz w:val="20"/>
          <w:lang w:eastAsia="en-AU"/>
        </w:rPr>
      </w:pPr>
      <w:r>
        <w:t>($ million)</w:t>
      </w:r>
    </w:p>
    <w:tbl>
      <w:tblPr>
        <w:tblW w:w="7716" w:type="dxa"/>
        <w:tblInd w:w="28" w:type="dxa"/>
        <w:tblLayout w:type="fixed"/>
        <w:tblCellMar>
          <w:left w:w="45" w:type="dxa"/>
          <w:right w:w="45" w:type="dxa"/>
        </w:tblCellMar>
        <w:tblLook w:val="0000" w:firstRow="0" w:lastRow="0" w:firstColumn="0" w:lastColumn="0" w:noHBand="0" w:noVBand="0"/>
      </w:tblPr>
      <w:tblGrid>
        <w:gridCol w:w="4607"/>
        <w:gridCol w:w="1034"/>
        <w:gridCol w:w="1034"/>
        <w:gridCol w:w="1035"/>
        <w:gridCol w:w="6"/>
      </w:tblGrid>
      <w:tr w:rsidR="0072051B" w:rsidRPr="00DC2D28" w:rsidTr="0072051B">
        <w:trPr>
          <w:gridAfter w:val="1"/>
          <w:wAfter w:w="6" w:type="dxa"/>
          <w:trHeight w:val="503"/>
          <w:tblHeader/>
        </w:trPr>
        <w:tc>
          <w:tcPr>
            <w:tcW w:w="4607" w:type="dxa"/>
            <w:tcBorders>
              <w:top w:val="single" w:sz="6" w:space="0" w:color="auto"/>
              <w:left w:val="single" w:sz="6" w:space="0" w:color="auto"/>
              <w:right w:val="nil"/>
            </w:tcBorders>
            <w:shd w:val="clear" w:color="000000" w:fill="000000"/>
          </w:tcPr>
          <w:p w:rsidR="0072051B" w:rsidRPr="00DC2D28" w:rsidRDefault="0072051B" w:rsidP="00016914">
            <w:pPr>
              <w:pStyle w:val="Tabletext"/>
              <w:rPr>
                <w:rFonts w:eastAsiaTheme="minorEastAsia"/>
                <w:i/>
                <w:lang w:eastAsia="en-AU"/>
              </w:rPr>
            </w:pPr>
          </w:p>
        </w:tc>
        <w:tc>
          <w:tcPr>
            <w:tcW w:w="103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sidRPr="00DC2D28">
              <w:rPr>
                <w:rFonts w:eastAsiaTheme="minorEastAsia"/>
                <w:color w:val="FFFFFF"/>
                <w:lang w:eastAsia="en-AU"/>
              </w:rPr>
              <w:t>revised</w:t>
            </w:r>
          </w:p>
        </w:tc>
        <w:tc>
          <w:tcPr>
            <w:tcW w:w="1034"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t xml:space="preserve"> </w:t>
            </w:r>
            <w:r w:rsidRPr="00DC2D28">
              <w:rPr>
                <w:rFonts w:eastAsiaTheme="minorEastAsia"/>
                <w:color w:val="FFFFFF"/>
                <w:lang w:eastAsia="en-AU"/>
              </w:rPr>
              <w:t>budget</w:t>
            </w:r>
          </w:p>
        </w:tc>
        <w:tc>
          <w:tcPr>
            <w:tcW w:w="1035" w:type="dxa"/>
            <w:tcBorders>
              <w:top w:val="single" w:sz="6" w:space="0" w:color="auto"/>
              <w:left w:val="nil"/>
              <w:right w:val="single" w:sz="6" w:space="0" w:color="auto"/>
            </w:tcBorders>
            <w:shd w:val="clear" w:color="000000" w:fill="000000"/>
          </w:tcPr>
          <w:p w:rsidR="0072051B" w:rsidRPr="00DC2D28" w:rsidRDefault="0072051B" w:rsidP="00CA5605">
            <w:pPr>
              <w:pStyle w:val="Tabletextheading"/>
              <w:rPr>
                <w:rFonts w:eastAsiaTheme="minorEastAsia"/>
                <w:color w:val="FFFFFF"/>
                <w:lang w:eastAsia="en-AU"/>
              </w:rPr>
            </w:pPr>
            <w:r w:rsidRPr="00DC2D28">
              <w:rPr>
                <w:rFonts w:eastAsiaTheme="minorEastAsia"/>
                <w:color w:val="FFFFFF"/>
                <w:lang w:eastAsia="en-AU"/>
              </w:rPr>
              <w:t>Change</w:t>
            </w:r>
            <w:r>
              <w:rPr>
                <w:rFonts w:eastAsiaTheme="minorEastAsia"/>
                <w:color w:val="FFFFFF"/>
                <w:lang w:eastAsia="en-AU"/>
              </w:rPr>
              <w:t xml:space="preserve"> </w:t>
            </w:r>
            <w:r w:rsidR="00CA5605">
              <w:rPr>
                <w:rFonts w:eastAsiaTheme="minorEastAsia"/>
                <w:color w:val="FFFFFF"/>
                <w:lang w:eastAsia="en-AU"/>
              </w:rPr>
              <w:br/>
            </w:r>
            <w:r w:rsidRPr="00DC2D28">
              <w:rPr>
                <w:rFonts w:eastAsiaTheme="minorEastAsia"/>
                <w:color w:val="FFFFFF"/>
                <w:lang w:eastAsia="en-AU"/>
              </w:rPr>
              <w:t>%</w:t>
            </w:r>
            <w:r w:rsidRPr="00DC2D28">
              <w:rPr>
                <w:rFonts w:eastAsiaTheme="minorEastAsia"/>
                <w:color w:val="FFFFFF"/>
                <w:vertAlign w:val="superscript"/>
                <w:lang w:eastAsia="en-AU"/>
              </w:rPr>
              <w:t>(a)</w:t>
            </w:r>
          </w:p>
        </w:tc>
      </w:tr>
      <w:tr w:rsidR="0072051B" w:rsidRPr="00DC2D28" w:rsidTr="0072051B">
        <w:tc>
          <w:tcPr>
            <w:tcW w:w="7716" w:type="dxa"/>
            <w:gridSpan w:val="5"/>
            <w:tcBorders>
              <w:top w:val="single" w:sz="6" w:space="0" w:color="auto"/>
              <w:left w:val="nil"/>
              <w:bottom w:val="nil"/>
              <w:right w:val="nil"/>
            </w:tcBorders>
          </w:tcPr>
          <w:p w:rsidR="0072051B" w:rsidRPr="00DC2D28" w:rsidRDefault="0072051B" w:rsidP="0072051B">
            <w:pPr>
              <w:pStyle w:val="Tabletext"/>
              <w:rPr>
                <w:rFonts w:eastAsiaTheme="minorEastAsia"/>
                <w:b/>
                <w:lang w:eastAsia="en-AU"/>
              </w:rPr>
            </w:pPr>
            <w:r w:rsidRPr="00DC2D28">
              <w:rPr>
                <w:rFonts w:eastAsiaTheme="minorEastAsia"/>
                <w:b/>
                <w:bCs/>
                <w:lang w:eastAsia="en-AU"/>
              </w:rPr>
              <w:t>Commonwealth Government grants to local government</w:t>
            </w:r>
          </w:p>
        </w:tc>
      </w:tr>
      <w:tr w:rsidR="0072051B" w:rsidRPr="00DC2D28" w:rsidTr="0072051B">
        <w:tc>
          <w:tcPr>
            <w:tcW w:w="7716" w:type="dxa"/>
            <w:gridSpan w:val="5"/>
            <w:tcBorders>
              <w:top w:val="nil"/>
              <w:left w:val="nil"/>
              <w:bottom w:val="nil"/>
              <w:right w:val="nil"/>
            </w:tcBorders>
          </w:tcPr>
          <w:p w:rsidR="0072051B" w:rsidRPr="00DC2D28" w:rsidRDefault="0072051B" w:rsidP="0072051B">
            <w:pPr>
              <w:pStyle w:val="Tabletext"/>
              <w:rPr>
                <w:rFonts w:eastAsiaTheme="minorEastAsia"/>
                <w:i/>
                <w:lang w:eastAsia="en-AU"/>
              </w:rPr>
            </w:pPr>
            <w:r w:rsidRPr="00DC2D28">
              <w:rPr>
                <w:rFonts w:eastAsiaTheme="minorEastAsia"/>
                <w:i/>
                <w:lang w:eastAsia="en-AU"/>
              </w:rPr>
              <w:t>Financial assistance grants to local government (operating)</w:t>
            </w:r>
          </w:p>
        </w:tc>
      </w:tr>
      <w:tr w:rsidR="0072051B" w:rsidRPr="00DC2D28" w:rsidTr="0072051B">
        <w:tc>
          <w:tcPr>
            <w:tcW w:w="7716" w:type="dxa"/>
            <w:gridSpan w:val="5"/>
            <w:tcBorders>
              <w:top w:val="nil"/>
              <w:left w:val="nil"/>
              <w:bottom w:val="nil"/>
              <w:right w:val="nil"/>
            </w:tcBorders>
          </w:tcPr>
          <w:p w:rsidR="0072051B" w:rsidRPr="00DC2D28" w:rsidRDefault="0072051B" w:rsidP="0072051B">
            <w:pPr>
              <w:pStyle w:val="Tabletext"/>
              <w:rPr>
                <w:rFonts w:eastAsiaTheme="minorEastAsia"/>
                <w:lang w:eastAsia="en-AU"/>
              </w:rPr>
            </w:pPr>
            <w:r w:rsidRPr="00DC2D28">
              <w:rPr>
                <w:rFonts w:eastAsiaTheme="minorEastAsia"/>
                <w:lang w:eastAsia="en-AU"/>
              </w:rPr>
              <w:t xml:space="preserve">An equal per capita basis is used for distributing total assistance to the states and territories pursuant to the </w:t>
            </w:r>
            <w:r w:rsidRPr="00DC2D28">
              <w:rPr>
                <w:rFonts w:eastAsiaTheme="minorEastAsia"/>
                <w:i/>
                <w:lang w:eastAsia="en-AU"/>
              </w:rPr>
              <w:t>Local Government (Financial Assistance) Act 1995.</w:t>
            </w:r>
          </w:p>
        </w:tc>
      </w:tr>
      <w:tr w:rsidR="00B03921" w:rsidRPr="00DC2D28" w:rsidTr="0072051B">
        <w:trPr>
          <w:gridAfter w:val="1"/>
          <w:wAfter w:w="6" w:type="dxa"/>
        </w:trPr>
        <w:tc>
          <w:tcPr>
            <w:tcW w:w="4607"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3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393.7</w:t>
            </w:r>
          </w:p>
        </w:tc>
        <w:tc>
          <w:tcPr>
            <w:tcW w:w="103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393.9</w:t>
            </w:r>
          </w:p>
        </w:tc>
        <w:tc>
          <w:tcPr>
            <w:tcW w:w="1035"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Pr>
                <w:rFonts w:eastAsiaTheme="minorEastAsia"/>
                <w:lang w:eastAsia="en-AU"/>
              </w:rPr>
              <w:t>..</w:t>
            </w:r>
          </w:p>
        </w:tc>
      </w:tr>
      <w:tr w:rsidR="0072051B" w:rsidRPr="00DC2D28" w:rsidTr="0072051B">
        <w:tc>
          <w:tcPr>
            <w:tcW w:w="7716" w:type="dxa"/>
            <w:gridSpan w:val="5"/>
            <w:tcBorders>
              <w:top w:val="nil"/>
              <w:left w:val="nil"/>
              <w:bottom w:val="nil"/>
              <w:right w:val="nil"/>
            </w:tcBorders>
          </w:tcPr>
          <w:p w:rsidR="0072051B" w:rsidRPr="00DC2D28" w:rsidRDefault="0072051B" w:rsidP="0072051B">
            <w:pPr>
              <w:pStyle w:val="Tabletext"/>
              <w:rPr>
                <w:rFonts w:eastAsiaTheme="minorEastAsia"/>
                <w:i/>
                <w:lang w:eastAsia="en-AU"/>
              </w:rPr>
            </w:pPr>
            <w:r w:rsidRPr="00DC2D28">
              <w:rPr>
                <w:rFonts w:eastAsiaTheme="minorEastAsia"/>
                <w:i/>
                <w:lang w:eastAsia="en-AU"/>
              </w:rPr>
              <w:t>Identified local roads grants to local government</w:t>
            </w:r>
          </w:p>
        </w:tc>
      </w:tr>
      <w:tr w:rsidR="0072051B" w:rsidRPr="00DC2D28" w:rsidTr="0072051B">
        <w:tc>
          <w:tcPr>
            <w:tcW w:w="7716" w:type="dxa"/>
            <w:gridSpan w:val="5"/>
            <w:tcBorders>
              <w:top w:val="nil"/>
              <w:left w:val="nil"/>
              <w:bottom w:val="nil"/>
              <w:right w:val="nil"/>
            </w:tcBorders>
          </w:tcPr>
          <w:p w:rsidR="0072051B" w:rsidRPr="00DC2D28" w:rsidRDefault="0072051B" w:rsidP="0072051B">
            <w:pPr>
              <w:pStyle w:val="Tabletext"/>
              <w:rPr>
                <w:rFonts w:eastAsiaTheme="minorEastAsia"/>
                <w:lang w:eastAsia="en-AU"/>
              </w:rPr>
            </w:pPr>
            <w:r w:rsidRPr="00DC2D28">
              <w:rPr>
                <w:rFonts w:eastAsiaTheme="minorEastAsia"/>
                <w:lang w:eastAsia="en-AU"/>
              </w:rPr>
              <w:t xml:space="preserve">Funding to local councils is provided on a per capita and road length basis pursuant to the </w:t>
            </w:r>
            <w:r w:rsidRPr="00DC2D28">
              <w:rPr>
                <w:rFonts w:eastAsiaTheme="minorEastAsia"/>
                <w:i/>
                <w:lang w:eastAsia="en-AU"/>
              </w:rPr>
              <w:t>Local Government (Financial Assistance) Act 1995.</w:t>
            </w:r>
          </w:p>
        </w:tc>
      </w:tr>
      <w:tr w:rsidR="00B03921" w:rsidRPr="00DC2D28" w:rsidTr="0072051B">
        <w:trPr>
          <w:gridAfter w:val="1"/>
          <w:wAfter w:w="6" w:type="dxa"/>
        </w:trPr>
        <w:tc>
          <w:tcPr>
            <w:tcW w:w="4607"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34"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145.0</w:t>
            </w:r>
          </w:p>
        </w:tc>
        <w:tc>
          <w:tcPr>
            <w:tcW w:w="1034"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145.0</w:t>
            </w:r>
          </w:p>
        </w:tc>
        <w:tc>
          <w:tcPr>
            <w:tcW w:w="1035"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Pr>
                <w:rFonts w:eastAsiaTheme="minorEastAsia"/>
                <w:lang w:eastAsia="en-AU"/>
              </w:rPr>
              <w:t>..</w:t>
            </w:r>
          </w:p>
        </w:tc>
      </w:tr>
      <w:tr w:rsidR="0072051B" w:rsidRPr="00DC2D28" w:rsidTr="0072051B">
        <w:tc>
          <w:tcPr>
            <w:tcW w:w="7716" w:type="dxa"/>
            <w:gridSpan w:val="5"/>
            <w:tcBorders>
              <w:top w:val="nil"/>
              <w:left w:val="nil"/>
              <w:bottom w:val="nil"/>
              <w:right w:val="nil"/>
            </w:tcBorders>
          </w:tcPr>
          <w:p w:rsidR="0072051B" w:rsidRPr="00DC2D28" w:rsidRDefault="0072051B" w:rsidP="0072051B">
            <w:pPr>
              <w:pStyle w:val="Tabletext"/>
              <w:rPr>
                <w:rFonts w:eastAsiaTheme="minorEastAsia"/>
                <w:b/>
                <w:i/>
                <w:lang w:eastAsia="en-AU"/>
              </w:rPr>
            </w:pPr>
            <w:r w:rsidRPr="00DC2D28">
              <w:rPr>
                <w:rFonts w:eastAsiaTheme="minorEastAsia"/>
                <w:b/>
                <w:bCs/>
                <w:i/>
                <w:lang w:eastAsia="en-AU"/>
              </w:rPr>
              <w:t>Students First – A fairer funding agreement for schools</w:t>
            </w:r>
          </w:p>
        </w:tc>
      </w:tr>
      <w:tr w:rsidR="0072051B" w:rsidRPr="00DC2D28" w:rsidTr="001037D3">
        <w:trPr>
          <w:gridAfter w:val="1"/>
          <w:wAfter w:w="6" w:type="dxa"/>
        </w:trPr>
        <w:tc>
          <w:tcPr>
            <w:tcW w:w="7710" w:type="dxa"/>
            <w:gridSpan w:val="4"/>
            <w:tcBorders>
              <w:top w:val="nil"/>
              <w:left w:val="nil"/>
              <w:bottom w:val="nil"/>
              <w:right w:val="nil"/>
            </w:tcBorders>
          </w:tcPr>
          <w:p w:rsidR="0072051B" w:rsidRPr="00DC2D28" w:rsidRDefault="0072051B" w:rsidP="0072051B">
            <w:pPr>
              <w:pStyle w:val="Tabletext"/>
              <w:rPr>
                <w:rFonts w:eastAsiaTheme="minorEastAsia"/>
                <w:lang w:eastAsia="en-AU"/>
              </w:rPr>
            </w:pPr>
            <w:r w:rsidRPr="00DC2D28">
              <w:rPr>
                <w:rFonts w:eastAsiaTheme="minorEastAsia"/>
                <w:lang w:eastAsia="en-AU"/>
              </w:rPr>
              <w:t>Support for school services.</w:t>
            </w:r>
          </w:p>
        </w:tc>
      </w:tr>
      <w:tr w:rsidR="00B03921" w:rsidRPr="00DC2D28" w:rsidTr="0072051B">
        <w:trPr>
          <w:gridAfter w:val="1"/>
          <w:wAfter w:w="6" w:type="dxa"/>
        </w:trPr>
        <w:tc>
          <w:tcPr>
            <w:tcW w:w="4607" w:type="dxa"/>
            <w:tcBorders>
              <w:top w:val="nil"/>
              <w:left w:val="nil"/>
              <w:bottom w:val="single" w:sz="12" w:space="0" w:color="auto"/>
              <w:right w:val="nil"/>
            </w:tcBorders>
          </w:tcPr>
          <w:p w:rsidR="00B03921" w:rsidRPr="00DC2D28" w:rsidRDefault="00B03921" w:rsidP="00016914">
            <w:pPr>
              <w:pStyle w:val="Tabletext"/>
              <w:rPr>
                <w:rFonts w:eastAsiaTheme="minorEastAsia"/>
                <w:i/>
                <w:lang w:eastAsia="en-AU"/>
              </w:rPr>
            </w:pPr>
            <w:r w:rsidRPr="00DC2D28">
              <w:rPr>
                <w:rFonts w:eastAsiaTheme="minorEastAsia"/>
                <w:i/>
                <w:lang w:eastAsia="en-AU"/>
              </w:rPr>
              <w:t xml:space="preserve">   Non-government schools</w:t>
            </w:r>
          </w:p>
        </w:tc>
        <w:tc>
          <w:tcPr>
            <w:tcW w:w="1034"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2 677.4</w:t>
            </w:r>
          </w:p>
        </w:tc>
        <w:tc>
          <w:tcPr>
            <w:tcW w:w="1034"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2 849.8</w:t>
            </w:r>
          </w:p>
        </w:tc>
        <w:tc>
          <w:tcPr>
            <w:tcW w:w="1035"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6.4</w:t>
            </w:r>
          </w:p>
        </w:tc>
      </w:tr>
      <w:tr w:rsidR="00B03921" w:rsidRPr="00DC2D28" w:rsidTr="0072051B">
        <w:trPr>
          <w:gridAfter w:val="1"/>
          <w:wAfter w:w="6" w:type="dxa"/>
        </w:trPr>
        <w:tc>
          <w:tcPr>
            <w:tcW w:w="4607" w:type="dxa"/>
            <w:tcBorders>
              <w:top w:val="single" w:sz="12"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grants for on-passing</w:t>
            </w:r>
          </w:p>
        </w:tc>
        <w:tc>
          <w:tcPr>
            <w:tcW w:w="1034" w:type="dxa"/>
            <w:tcBorders>
              <w:top w:val="single" w:sz="12"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3 216.1</w:t>
            </w:r>
          </w:p>
        </w:tc>
        <w:tc>
          <w:tcPr>
            <w:tcW w:w="1034" w:type="dxa"/>
            <w:tcBorders>
              <w:top w:val="single" w:sz="12"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3 388.7</w:t>
            </w:r>
          </w:p>
        </w:tc>
        <w:tc>
          <w:tcPr>
            <w:tcW w:w="1035" w:type="dxa"/>
            <w:tcBorders>
              <w:top w:val="single" w:sz="12"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5.4</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414924" w:rsidRDefault="00B03921" w:rsidP="00016914">
      <w:pPr>
        <w:pStyle w:val="Notes"/>
      </w:pPr>
      <w:r>
        <w:t>(a)</w:t>
      </w:r>
      <w:r>
        <w:tab/>
        <w:t>Per cent change between 2014-15 and 2015-16.</w:t>
      </w:r>
    </w:p>
    <w:p w:rsidR="00B03921" w:rsidRDefault="00B03921">
      <w:pPr>
        <w:spacing w:after="0"/>
        <w:rPr>
          <w:rFonts w:ascii="Calibri" w:hAnsi="Calibri"/>
          <w:b/>
          <w:sz w:val="26"/>
          <w:szCs w:val="22"/>
        </w:rPr>
      </w:pPr>
      <w:r>
        <w:br w:type="page"/>
      </w:r>
    </w:p>
    <w:p w:rsidR="00B03921" w:rsidRDefault="00B03921" w:rsidP="00016914">
      <w:pPr>
        <w:pStyle w:val="Heading2"/>
      </w:pPr>
      <w:r>
        <w:t>Grants for specific purposes</w:t>
      </w:r>
    </w:p>
    <w:p w:rsidR="00B03921" w:rsidRDefault="00B03921" w:rsidP="00016914">
      <w:r>
        <w:t>Table 4.6 lists Commonwealth grants for specific purposes, with detailed tables by expenditure category provided in Tables 4.7 to 4.13. Tied grants are expected to grow slightly in 2015</w:t>
      </w:r>
      <w:r>
        <w:noBreakHyphen/>
        <w:t>16, reflecting growth in most categories, partially offset by infrastructure and affordable housing grants.</w:t>
      </w:r>
    </w:p>
    <w:p w:rsidR="00B03921" w:rsidRDefault="00B03921" w:rsidP="00016914">
      <w:pPr>
        <w:pStyle w:val="Tableheading"/>
      </w:pPr>
      <w:r>
        <w:t>Table 4.6:</w:t>
      </w:r>
      <w:r>
        <w:tab/>
        <w:t>Grants for specific purposes</w:t>
      </w:r>
    </w:p>
    <w:p w:rsidR="00B03921" w:rsidRDefault="00B03921" w:rsidP="00016914">
      <w:pPr>
        <w:pStyle w:val="million"/>
        <w:rPr>
          <w:rFonts w:ascii="Times New Roman" w:hAnsi="Times New Roman"/>
          <w:i w:val="0"/>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251"/>
        <w:gridCol w:w="1230"/>
        <w:gridCol w:w="1795"/>
        <w:gridCol w:w="1484"/>
      </w:tblGrid>
      <w:tr w:rsidR="0072051B" w:rsidRPr="00DC2D28" w:rsidTr="0072051B">
        <w:trPr>
          <w:trHeight w:val="503"/>
          <w:tblHeader/>
        </w:trPr>
        <w:tc>
          <w:tcPr>
            <w:tcW w:w="3251" w:type="dxa"/>
            <w:tcBorders>
              <w:top w:val="single" w:sz="6" w:space="0" w:color="auto"/>
              <w:left w:val="single" w:sz="6" w:space="0" w:color="auto"/>
              <w:right w:val="nil"/>
            </w:tcBorders>
            <w:shd w:val="clear" w:color="000000" w:fill="000000"/>
          </w:tcPr>
          <w:p w:rsidR="0072051B" w:rsidRPr="00DC2D28" w:rsidRDefault="0072051B" w:rsidP="00016914">
            <w:pPr>
              <w:pStyle w:val="Tabletext"/>
              <w:rPr>
                <w:rFonts w:eastAsiaTheme="minorEastAsia"/>
                <w:lang w:eastAsia="en-AU"/>
              </w:rPr>
            </w:pPr>
          </w:p>
        </w:tc>
        <w:tc>
          <w:tcPr>
            <w:tcW w:w="1230"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Pr>
                <w:rFonts w:eastAsiaTheme="minorEastAsia"/>
                <w:color w:val="FFFFFF"/>
                <w:lang w:eastAsia="en-AU"/>
              </w:rPr>
              <w:br/>
            </w:r>
            <w:r w:rsidRPr="00DC2D28">
              <w:rPr>
                <w:rFonts w:eastAsiaTheme="minorEastAsia"/>
                <w:color w:val="FFFFFF"/>
                <w:lang w:eastAsia="en-AU"/>
              </w:rPr>
              <w:t>revised</w:t>
            </w:r>
          </w:p>
        </w:tc>
        <w:tc>
          <w:tcPr>
            <w:tcW w:w="1795" w:type="dxa"/>
            <w:tcBorders>
              <w:top w:val="single" w:sz="6" w:space="0" w:color="auto"/>
              <w:left w:val="nil"/>
              <w:right w:val="nil"/>
            </w:tcBorders>
            <w:shd w:val="clear" w:color="000000" w:fill="000000"/>
          </w:tcPr>
          <w:p w:rsidR="0072051B" w:rsidRPr="00DC2D28" w:rsidRDefault="0072051B" w:rsidP="0072051B">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br/>
            </w:r>
            <w:r w:rsidRPr="00DC2D28">
              <w:rPr>
                <w:rFonts w:eastAsiaTheme="minorEastAsia"/>
                <w:color w:val="FFFFFF"/>
                <w:lang w:eastAsia="en-AU"/>
              </w:rPr>
              <w:t>budget</w:t>
            </w:r>
          </w:p>
        </w:tc>
        <w:tc>
          <w:tcPr>
            <w:tcW w:w="1484" w:type="dxa"/>
            <w:tcBorders>
              <w:top w:val="single" w:sz="6" w:space="0" w:color="auto"/>
              <w:left w:val="nil"/>
              <w:right w:val="nil"/>
            </w:tcBorders>
            <w:shd w:val="clear" w:color="000000" w:fill="000000"/>
          </w:tcPr>
          <w:p w:rsidR="0072051B" w:rsidRPr="00DC2D28" w:rsidRDefault="0072051B" w:rsidP="00CA5605">
            <w:pPr>
              <w:pStyle w:val="Tabletextheading"/>
              <w:rPr>
                <w:rFonts w:eastAsiaTheme="minorEastAsia"/>
                <w:color w:val="FFFFFF"/>
                <w:lang w:eastAsia="en-AU"/>
              </w:rPr>
            </w:pPr>
            <w:r w:rsidRPr="00DC2D28">
              <w:rPr>
                <w:rFonts w:eastAsiaTheme="minorEastAsia"/>
                <w:color w:val="FFFFFF"/>
                <w:lang w:eastAsia="en-AU"/>
              </w:rPr>
              <w:t>Change</w:t>
            </w:r>
            <w:r>
              <w:rPr>
                <w:rFonts w:eastAsiaTheme="minorEastAsia"/>
                <w:color w:val="FFFFFF"/>
                <w:lang w:eastAsia="en-AU"/>
              </w:rPr>
              <w:br/>
            </w:r>
            <w:r w:rsidRPr="00DC2D28">
              <w:rPr>
                <w:rFonts w:eastAsiaTheme="minorEastAsia"/>
                <w:color w:val="FFFFFF"/>
                <w:lang w:eastAsia="en-AU"/>
              </w:rPr>
              <w:t>%</w:t>
            </w:r>
            <w:r w:rsidRPr="00DC2D28">
              <w:rPr>
                <w:rFonts w:eastAsiaTheme="minorEastAsia" w:cs="Calibri"/>
                <w:color w:val="FFFFFF"/>
                <w:vertAlign w:val="superscript"/>
                <w:lang w:eastAsia="en-AU"/>
              </w:rPr>
              <w:t>(a)</w:t>
            </w:r>
          </w:p>
        </w:tc>
      </w:tr>
      <w:tr w:rsidR="00B03921" w:rsidRPr="00DC2D28" w:rsidTr="0072051B">
        <w:tc>
          <w:tcPr>
            <w:tcW w:w="3251" w:type="dxa"/>
            <w:tcBorders>
              <w:top w:val="single" w:sz="6" w:space="0" w:color="auto"/>
              <w:left w:val="nil"/>
              <w:bottom w:val="nil"/>
              <w:right w:val="nil"/>
            </w:tcBorders>
          </w:tcPr>
          <w:p w:rsidR="00B03921" w:rsidRPr="00DC2D28" w:rsidRDefault="00B03921" w:rsidP="00016914">
            <w:pPr>
              <w:pStyle w:val="Tabletext"/>
              <w:rPr>
                <w:rFonts w:eastAsiaTheme="minorEastAsia" w:cs="Calibri"/>
                <w:color w:val="000000"/>
                <w:lang w:eastAsia="en-AU"/>
              </w:rPr>
            </w:pPr>
            <w:r w:rsidRPr="00DC2D28">
              <w:rPr>
                <w:rFonts w:eastAsiaTheme="minorEastAsia"/>
                <w:lang w:eastAsia="en-AU"/>
              </w:rPr>
              <w:t xml:space="preserve">Affordable </w:t>
            </w:r>
            <w:r w:rsidRPr="00DC2D28">
              <w:rPr>
                <w:rFonts w:eastAsiaTheme="minorEastAsia" w:cs="Calibri"/>
                <w:color w:val="000000"/>
                <w:lang w:eastAsia="en-AU"/>
              </w:rPr>
              <w:t>housing</w:t>
            </w:r>
          </w:p>
        </w:tc>
        <w:tc>
          <w:tcPr>
            <w:tcW w:w="1230"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362.2</w:t>
            </w:r>
          </w:p>
        </w:tc>
        <w:tc>
          <w:tcPr>
            <w:tcW w:w="1795"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330.1</w:t>
            </w:r>
          </w:p>
        </w:tc>
        <w:tc>
          <w:tcPr>
            <w:tcW w:w="1484" w:type="dxa"/>
            <w:tcBorders>
              <w:top w:val="single" w:sz="6" w:space="0" w:color="auto"/>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(8.9</w:t>
            </w:r>
            <w:r w:rsidRPr="00DC2D28">
              <w:rPr>
                <w:rFonts w:eastAsiaTheme="minorEastAsia" w:cs="Calibri"/>
                <w:color w:val="000000"/>
                <w:lang w:eastAsia="en-AU"/>
              </w:rPr>
              <w:t>)</w:t>
            </w:r>
          </w:p>
        </w:tc>
      </w:tr>
      <w:tr w:rsidR="00B03921" w:rsidRPr="00DC2D28" w:rsidTr="0072051B">
        <w:tc>
          <w:tcPr>
            <w:tcW w:w="3251" w:type="dxa"/>
            <w:tcBorders>
              <w:top w:val="nil"/>
              <w:left w:val="nil"/>
              <w:bottom w:val="nil"/>
              <w:right w:val="nil"/>
            </w:tcBorders>
          </w:tcPr>
          <w:p w:rsidR="00B03921" w:rsidRPr="00DC2D28" w:rsidRDefault="00B03921" w:rsidP="00016914">
            <w:pPr>
              <w:pStyle w:val="Tabletext"/>
              <w:rPr>
                <w:rFonts w:eastAsiaTheme="minorEastAsia" w:cs="Calibri"/>
                <w:color w:val="000000"/>
                <w:lang w:eastAsia="en-AU"/>
              </w:rPr>
            </w:pPr>
            <w:r w:rsidRPr="00DC2D28">
              <w:rPr>
                <w:rFonts w:eastAsiaTheme="minorEastAsia"/>
                <w:lang w:eastAsia="en-AU"/>
              </w:rPr>
              <w:t xml:space="preserve">Community </w:t>
            </w:r>
            <w:r w:rsidRPr="00DC2D28">
              <w:rPr>
                <w:rFonts w:eastAsiaTheme="minorEastAsia" w:cs="Calibri"/>
                <w:color w:val="000000"/>
                <w:lang w:eastAsia="en-AU"/>
              </w:rPr>
              <w:t>services</w:t>
            </w:r>
          </w:p>
        </w:tc>
        <w:tc>
          <w:tcPr>
            <w:tcW w:w="1230"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374.3</w:t>
            </w:r>
          </w:p>
        </w:tc>
        <w:tc>
          <w:tcPr>
            <w:tcW w:w="1795"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414.6</w:t>
            </w:r>
          </w:p>
        </w:tc>
        <w:tc>
          <w:tcPr>
            <w:tcW w:w="148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10.8</w:t>
            </w:r>
          </w:p>
        </w:tc>
      </w:tr>
      <w:tr w:rsidR="00B03921" w:rsidRPr="00DC2D28" w:rsidTr="0072051B">
        <w:tc>
          <w:tcPr>
            <w:tcW w:w="325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Education</w:t>
            </w:r>
          </w:p>
        </w:tc>
        <w:tc>
          <w:tcPr>
            <w:tcW w:w="1230"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1 816.6</w:t>
            </w:r>
          </w:p>
        </w:tc>
        <w:tc>
          <w:tcPr>
            <w:tcW w:w="1795"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1 884.4</w:t>
            </w:r>
          </w:p>
        </w:tc>
        <w:tc>
          <w:tcPr>
            <w:tcW w:w="148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3.7</w:t>
            </w:r>
          </w:p>
        </w:tc>
      </w:tr>
      <w:tr w:rsidR="00B03921" w:rsidRPr="00DC2D28" w:rsidTr="0072051B">
        <w:tc>
          <w:tcPr>
            <w:tcW w:w="325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Environment</w:t>
            </w:r>
          </w:p>
        </w:tc>
        <w:tc>
          <w:tcPr>
            <w:tcW w:w="1230"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285.9</w:t>
            </w:r>
          </w:p>
        </w:tc>
        <w:tc>
          <w:tcPr>
            <w:tcW w:w="1795"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318.3</w:t>
            </w:r>
          </w:p>
        </w:tc>
        <w:tc>
          <w:tcPr>
            <w:tcW w:w="148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11.3</w:t>
            </w:r>
          </w:p>
        </w:tc>
      </w:tr>
      <w:tr w:rsidR="00B03921" w:rsidRPr="00DC2D28" w:rsidTr="0072051B">
        <w:tc>
          <w:tcPr>
            <w:tcW w:w="325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Health</w:t>
            </w:r>
          </w:p>
        </w:tc>
        <w:tc>
          <w:tcPr>
            <w:tcW w:w="1230"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4 476.0</w:t>
            </w:r>
          </w:p>
        </w:tc>
        <w:tc>
          <w:tcPr>
            <w:tcW w:w="1795"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4 705.8</w:t>
            </w:r>
          </w:p>
        </w:tc>
        <w:tc>
          <w:tcPr>
            <w:tcW w:w="148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5.1</w:t>
            </w:r>
          </w:p>
        </w:tc>
      </w:tr>
      <w:tr w:rsidR="00B03921" w:rsidRPr="00DC2D28" w:rsidTr="0072051B">
        <w:tc>
          <w:tcPr>
            <w:tcW w:w="325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Infrastructure</w:t>
            </w:r>
          </w:p>
        </w:tc>
        <w:tc>
          <w:tcPr>
            <w:tcW w:w="1230"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962.4</w:t>
            </w:r>
          </w:p>
        </w:tc>
        <w:tc>
          <w:tcPr>
            <w:tcW w:w="1795"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686.3</w:t>
            </w:r>
          </w:p>
        </w:tc>
        <w:tc>
          <w:tcPr>
            <w:tcW w:w="148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(28.7</w:t>
            </w:r>
            <w:r w:rsidRPr="00DC2D28">
              <w:rPr>
                <w:rFonts w:eastAsiaTheme="minorEastAsia" w:cs="Calibri"/>
                <w:color w:val="000000"/>
                <w:lang w:eastAsia="en-AU"/>
              </w:rPr>
              <w:t>)</w:t>
            </w:r>
          </w:p>
        </w:tc>
      </w:tr>
      <w:tr w:rsidR="00B03921" w:rsidRPr="00DC2D28" w:rsidTr="0072051B">
        <w:tc>
          <w:tcPr>
            <w:tcW w:w="3251"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Contingent/Other</w:t>
            </w:r>
          </w:p>
        </w:tc>
        <w:tc>
          <w:tcPr>
            <w:tcW w:w="123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954.6</w:t>
            </w:r>
          </w:p>
        </w:tc>
        <w:tc>
          <w:tcPr>
            <w:tcW w:w="1795"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930.1</w:t>
            </w:r>
          </w:p>
        </w:tc>
        <w:tc>
          <w:tcPr>
            <w:tcW w:w="1484" w:type="dxa"/>
            <w:tcBorders>
              <w:top w:val="nil"/>
              <w:left w:val="nil"/>
              <w:bottom w:val="single" w:sz="6" w:space="0" w:color="auto"/>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(2.6</w:t>
            </w:r>
            <w:r w:rsidRPr="00DC2D28">
              <w:rPr>
                <w:rFonts w:eastAsiaTheme="minorEastAsia" w:cs="Calibri"/>
                <w:color w:val="000000"/>
                <w:lang w:eastAsia="en-AU"/>
              </w:rPr>
              <w:t>)</w:t>
            </w:r>
          </w:p>
        </w:tc>
      </w:tr>
      <w:tr w:rsidR="00B03921" w:rsidRPr="00DC2D28" w:rsidTr="0072051B">
        <w:tc>
          <w:tcPr>
            <w:tcW w:w="3251"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grants for specific purposes</w:t>
            </w:r>
          </w:p>
        </w:tc>
        <w:tc>
          <w:tcPr>
            <w:tcW w:w="123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9 232.2</w:t>
            </w:r>
          </w:p>
        </w:tc>
        <w:tc>
          <w:tcPr>
            <w:tcW w:w="1795"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9 269.5</w:t>
            </w:r>
          </w:p>
        </w:tc>
        <w:tc>
          <w:tcPr>
            <w:tcW w:w="148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0.4</w:t>
            </w:r>
          </w:p>
        </w:tc>
      </w:tr>
    </w:tbl>
    <w:p w:rsidR="00B03921" w:rsidRPr="00272BA2" w:rsidRDefault="00B03921" w:rsidP="00016914">
      <w:pPr>
        <w:pStyle w:val="Source"/>
      </w:pPr>
      <w:r w:rsidRPr="00272BA2">
        <w:t>Source: Department of Treasury and Finance</w:t>
      </w:r>
    </w:p>
    <w:p w:rsidR="00B03921" w:rsidRPr="00272BA2" w:rsidRDefault="00B03921" w:rsidP="00016914">
      <w:pPr>
        <w:pStyle w:val="Notes"/>
      </w:pPr>
      <w:r w:rsidRPr="00272BA2">
        <w:t>Note:</w:t>
      </w:r>
    </w:p>
    <w:p w:rsidR="00B03921" w:rsidRPr="00272BA2" w:rsidRDefault="00B03921" w:rsidP="00016914">
      <w:pPr>
        <w:pStyle w:val="Notes"/>
      </w:pPr>
      <w:r>
        <w:t xml:space="preserve">(a) </w:t>
      </w:r>
      <w:r>
        <w:tab/>
        <w:t>Per cent change between</w:t>
      </w:r>
      <w:r w:rsidRPr="00272BA2">
        <w:t xml:space="preserve"> 2014-15 and 2015-16.</w:t>
      </w:r>
    </w:p>
    <w:p w:rsidR="00B03921" w:rsidRPr="00272BA2" w:rsidRDefault="00B03921" w:rsidP="00016914"/>
    <w:p w:rsidR="00B03921" w:rsidRDefault="00B03921">
      <w:pPr>
        <w:spacing w:after="0"/>
        <w:rPr>
          <w:rFonts w:ascii="Calibri" w:hAnsi="Calibri"/>
          <w:b/>
        </w:rPr>
      </w:pPr>
      <w:r>
        <w:br w:type="page"/>
      </w:r>
    </w:p>
    <w:p w:rsidR="00B03921" w:rsidRDefault="00B03921" w:rsidP="00016914">
      <w:pPr>
        <w:pStyle w:val="Tableheading"/>
      </w:pPr>
      <w:r>
        <w:t>Table 4.7:</w:t>
      </w:r>
      <w:r>
        <w:tab/>
        <w:t>Payments for affordable housing</w:t>
      </w:r>
    </w:p>
    <w:p w:rsidR="00B03921" w:rsidRDefault="00B03921" w:rsidP="00016914">
      <w:pPr>
        <w:pStyle w:val="million"/>
        <w:rPr>
          <w:rFonts w:ascii="Times New Roman" w:hAnsi="Times New Roman"/>
          <w:i w:val="0"/>
          <w:sz w:val="20"/>
          <w:szCs w:val="20"/>
          <w:lang w:eastAsia="en-AU"/>
        </w:rPr>
      </w:pPr>
      <w:r>
        <w:t>($ million)</w:t>
      </w:r>
    </w:p>
    <w:tbl>
      <w:tblPr>
        <w:tblW w:w="7788"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52"/>
        <w:gridCol w:w="16"/>
      </w:tblGrid>
      <w:tr w:rsidR="00CA5605" w:rsidRPr="00966E11" w:rsidTr="00CA5605">
        <w:trPr>
          <w:gridAfter w:val="1"/>
          <w:wAfter w:w="16" w:type="dxa"/>
          <w:cantSplit/>
          <w:trHeight w:val="503"/>
          <w:tblHeader/>
        </w:trPr>
        <w:tc>
          <w:tcPr>
            <w:tcW w:w="4640" w:type="dxa"/>
            <w:tcBorders>
              <w:top w:val="single" w:sz="6" w:space="0" w:color="auto"/>
              <w:left w:val="single" w:sz="6" w:space="0" w:color="auto"/>
              <w:right w:val="nil"/>
            </w:tcBorders>
            <w:shd w:val="clear" w:color="000000" w:fill="000000"/>
          </w:tcPr>
          <w:p w:rsidR="00CA5605" w:rsidRPr="00966E11" w:rsidRDefault="00CA5605" w:rsidP="00016914">
            <w:pPr>
              <w:pStyle w:val="Tabletextheading"/>
              <w:rPr>
                <w:rFonts w:eastAsiaTheme="minorEastAsia"/>
                <w:color w:val="FFFFFF"/>
                <w:lang w:eastAsia="en-AU"/>
              </w:rPr>
            </w:pPr>
            <w:r w:rsidRPr="00966E11">
              <w:rPr>
                <w:rFonts w:eastAsiaTheme="minorEastAsia"/>
                <w:color w:val="FFFFFF"/>
                <w:lang w:eastAsia="en-AU"/>
              </w:rPr>
              <w:t xml:space="preserve"> </w:t>
            </w:r>
          </w:p>
          <w:p w:rsidR="00CA5605" w:rsidRPr="00966E11" w:rsidRDefault="00CA5605" w:rsidP="00016914">
            <w:pPr>
              <w:pStyle w:val="Tabletextheading"/>
              <w:rPr>
                <w:rFonts w:eastAsiaTheme="minorEastAsia"/>
                <w:color w:val="FFFFFF"/>
                <w:lang w:eastAsia="en-AU"/>
              </w:rPr>
            </w:pPr>
            <w:r w:rsidRPr="00966E11">
              <w:rPr>
                <w:rFonts w:eastAsiaTheme="minorEastAsia"/>
                <w:color w:val="FFFFFF"/>
                <w:lang w:eastAsia="en-AU"/>
              </w:rPr>
              <w:t xml:space="preserve"> </w:t>
            </w:r>
          </w:p>
        </w:tc>
        <w:tc>
          <w:tcPr>
            <w:tcW w:w="1040" w:type="dxa"/>
            <w:tcBorders>
              <w:top w:val="single" w:sz="6" w:space="0" w:color="auto"/>
              <w:left w:val="nil"/>
              <w:right w:val="nil"/>
            </w:tcBorders>
            <w:shd w:val="clear" w:color="000000" w:fill="000000"/>
          </w:tcPr>
          <w:p w:rsidR="00CA5605" w:rsidRPr="00966E11" w:rsidRDefault="00CA5605" w:rsidP="00CA5605">
            <w:pPr>
              <w:pStyle w:val="Tabletextheading"/>
              <w:rPr>
                <w:rFonts w:eastAsiaTheme="minorEastAsia"/>
                <w:iCs/>
                <w:color w:val="FFFFFF"/>
                <w:lang w:eastAsia="en-AU"/>
              </w:rPr>
            </w:pPr>
            <w:r w:rsidRPr="00966E11">
              <w:rPr>
                <w:rFonts w:eastAsiaTheme="minorEastAsia"/>
                <w:iCs/>
                <w:color w:val="FFFFFF"/>
                <w:lang w:eastAsia="en-AU"/>
              </w:rPr>
              <w:t>2014-15</w:t>
            </w:r>
            <w:r>
              <w:rPr>
                <w:rFonts w:eastAsiaTheme="minorEastAsia"/>
                <w:iCs/>
                <w:color w:val="FFFFFF"/>
                <w:lang w:eastAsia="en-AU"/>
              </w:rPr>
              <w:t xml:space="preserve"> </w:t>
            </w:r>
            <w:r w:rsidRPr="00966E11">
              <w:rPr>
                <w:rFonts w:eastAsiaTheme="minorEastAsia"/>
                <w:iCs/>
                <w:color w:val="FFFFFF"/>
                <w:lang w:eastAsia="en-AU"/>
              </w:rPr>
              <w:t>revised</w:t>
            </w:r>
          </w:p>
        </w:tc>
        <w:tc>
          <w:tcPr>
            <w:tcW w:w="1040" w:type="dxa"/>
            <w:tcBorders>
              <w:top w:val="single" w:sz="6" w:space="0" w:color="auto"/>
              <w:left w:val="nil"/>
              <w:right w:val="nil"/>
            </w:tcBorders>
            <w:shd w:val="clear" w:color="000000" w:fill="000000"/>
          </w:tcPr>
          <w:p w:rsidR="00CA5605" w:rsidRPr="00966E11" w:rsidRDefault="00CA5605" w:rsidP="00CA5605">
            <w:pPr>
              <w:pStyle w:val="Tabletextheading"/>
              <w:rPr>
                <w:rFonts w:eastAsiaTheme="minorEastAsia"/>
                <w:iCs/>
                <w:color w:val="FFFFFF"/>
                <w:lang w:eastAsia="en-AU"/>
              </w:rPr>
            </w:pPr>
            <w:r w:rsidRPr="00966E11">
              <w:rPr>
                <w:rFonts w:eastAsiaTheme="minorEastAsia"/>
                <w:iCs/>
                <w:color w:val="FFFFFF"/>
                <w:lang w:eastAsia="en-AU"/>
              </w:rPr>
              <w:t>2015-16</w:t>
            </w:r>
            <w:r>
              <w:rPr>
                <w:rFonts w:eastAsiaTheme="minorEastAsia"/>
                <w:iCs/>
                <w:color w:val="FFFFFF"/>
                <w:lang w:eastAsia="en-AU"/>
              </w:rPr>
              <w:t xml:space="preserve"> </w:t>
            </w:r>
            <w:r w:rsidRPr="00966E11">
              <w:rPr>
                <w:rFonts w:eastAsiaTheme="minorEastAsia"/>
                <w:iCs/>
                <w:color w:val="FFFFFF"/>
                <w:lang w:eastAsia="en-AU"/>
              </w:rPr>
              <w:t>budget</w:t>
            </w:r>
          </w:p>
        </w:tc>
        <w:tc>
          <w:tcPr>
            <w:tcW w:w="1052" w:type="dxa"/>
            <w:tcBorders>
              <w:top w:val="single" w:sz="6" w:space="0" w:color="auto"/>
              <w:left w:val="nil"/>
              <w:right w:val="single" w:sz="6" w:space="0" w:color="auto"/>
            </w:tcBorders>
            <w:shd w:val="clear" w:color="000000" w:fill="000000"/>
          </w:tcPr>
          <w:p w:rsidR="00CA5605" w:rsidRPr="00966E11" w:rsidRDefault="00CA5605" w:rsidP="00CA5605">
            <w:pPr>
              <w:pStyle w:val="Tabletextheading"/>
              <w:rPr>
                <w:rFonts w:eastAsiaTheme="minorEastAsia"/>
                <w:iCs/>
                <w:color w:val="FFFFFF"/>
                <w:lang w:eastAsia="en-AU"/>
              </w:rPr>
            </w:pPr>
            <w:r w:rsidRPr="00966E11">
              <w:rPr>
                <w:rFonts w:eastAsiaTheme="minorEastAsia"/>
                <w:iCs/>
                <w:color w:val="FFFFFF"/>
                <w:lang w:eastAsia="en-AU"/>
              </w:rPr>
              <w:t>Change</w:t>
            </w:r>
            <w:r>
              <w:rPr>
                <w:rFonts w:eastAsiaTheme="minorEastAsia"/>
                <w:iCs/>
                <w:color w:val="FFFFFF"/>
                <w:lang w:eastAsia="en-AU"/>
              </w:rPr>
              <w:t xml:space="preserve"> </w:t>
            </w:r>
            <w:r>
              <w:rPr>
                <w:rFonts w:eastAsiaTheme="minorEastAsia"/>
                <w:iCs/>
                <w:color w:val="FFFFFF"/>
                <w:lang w:eastAsia="en-AU"/>
              </w:rPr>
              <w:br/>
            </w:r>
            <w:r w:rsidRPr="00966E11">
              <w:rPr>
                <w:rFonts w:eastAsiaTheme="minorEastAsia"/>
                <w:iCs/>
                <w:color w:val="FFFFFF"/>
                <w:lang w:eastAsia="en-AU"/>
              </w:rPr>
              <w:t>%</w:t>
            </w:r>
            <w:r w:rsidRPr="00966E11">
              <w:rPr>
                <w:rFonts w:eastAsiaTheme="minorEastAsia"/>
                <w:iCs/>
                <w:color w:val="FFFFFF"/>
                <w:vertAlign w:val="superscript"/>
                <w:lang w:eastAsia="en-AU"/>
              </w:rPr>
              <w:t>(a)</w:t>
            </w:r>
          </w:p>
        </w:tc>
      </w:tr>
      <w:tr w:rsidR="00CA5605" w:rsidRPr="00966E11" w:rsidTr="00CA5605">
        <w:trPr>
          <w:gridAfter w:val="1"/>
          <w:wAfter w:w="16" w:type="dxa"/>
          <w:cantSplit/>
        </w:trPr>
        <w:tc>
          <w:tcPr>
            <w:tcW w:w="7772" w:type="dxa"/>
            <w:gridSpan w:val="4"/>
            <w:tcBorders>
              <w:top w:val="single" w:sz="6" w:space="0" w:color="auto"/>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b/>
                <w:sz w:val="20"/>
                <w:lang w:eastAsia="en-AU"/>
              </w:rPr>
            </w:pPr>
            <w:r w:rsidRPr="00966E11">
              <w:rPr>
                <w:rFonts w:ascii="Calibri" w:eastAsiaTheme="minorEastAsia" w:hAnsi="Calibri" w:cs="Calibri"/>
                <w:b/>
                <w:bCs/>
                <w:sz w:val="20"/>
                <w:lang w:eastAsia="en-AU"/>
              </w:rPr>
              <w:t>National Affordable Housing Agreement</w:t>
            </w:r>
          </w:p>
        </w:tc>
      </w:tr>
      <w:tr w:rsidR="00CA5605" w:rsidRPr="00966E11" w:rsidTr="00CA5605">
        <w:trPr>
          <w:gridAfter w:val="1"/>
          <w:wAfter w:w="16" w:type="dxa"/>
          <w:cantSplit/>
        </w:trPr>
        <w:tc>
          <w:tcPr>
            <w:tcW w:w="7772" w:type="dxa"/>
            <w:gridSpan w:val="4"/>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Funding for affordable, safe and sustainable housing that contributes to economic and social participation in the community.</w:t>
            </w:r>
          </w:p>
        </w:tc>
      </w:tr>
      <w:tr w:rsidR="00B03921" w:rsidRPr="00966E11" w:rsidTr="00CA5605">
        <w:trPr>
          <w:gridAfter w:val="1"/>
          <w:wAfter w:w="16" w:type="dxa"/>
          <w:cantSplit/>
        </w:trPr>
        <w:tc>
          <w:tcPr>
            <w:tcW w:w="4640" w:type="dxa"/>
            <w:tcBorders>
              <w:top w:val="nil"/>
              <w:left w:val="nil"/>
              <w:bottom w:val="single" w:sz="12" w:space="0" w:color="auto"/>
              <w:right w:val="nil"/>
            </w:tcBorders>
          </w:tcPr>
          <w:p w:rsidR="00B03921" w:rsidRPr="00966E11" w:rsidRDefault="00B03921" w:rsidP="00016914">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 xml:space="preserve"> </w:t>
            </w:r>
          </w:p>
        </w:tc>
        <w:tc>
          <w:tcPr>
            <w:tcW w:w="1040" w:type="dxa"/>
            <w:tcBorders>
              <w:top w:val="nil"/>
              <w:left w:val="nil"/>
              <w:bottom w:val="single" w:sz="12"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 xml:space="preserve"> 324.4</w:t>
            </w:r>
          </w:p>
        </w:tc>
        <w:tc>
          <w:tcPr>
            <w:tcW w:w="1040" w:type="dxa"/>
            <w:tcBorders>
              <w:top w:val="nil"/>
              <w:left w:val="nil"/>
              <w:bottom w:val="single" w:sz="12"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 xml:space="preserve"> 330.1</w:t>
            </w:r>
          </w:p>
        </w:tc>
        <w:tc>
          <w:tcPr>
            <w:tcW w:w="1052" w:type="dxa"/>
            <w:tcBorders>
              <w:top w:val="nil"/>
              <w:left w:val="nil"/>
              <w:bottom w:val="single" w:sz="12"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1.7</w:t>
            </w:r>
          </w:p>
        </w:tc>
      </w:tr>
      <w:tr w:rsidR="00CA5605" w:rsidRPr="00966E11" w:rsidTr="00CA5605">
        <w:trPr>
          <w:gridAfter w:val="1"/>
          <w:wAfter w:w="16" w:type="dxa"/>
          <w:cantSplit/>
        </w:trPr>
        <w:tc>
          <w:tcPr>
            <w:tcW w:w="7772" w:type="dxa"/>
            <w:gridSpan w:val="4"/>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b/>
                <w:sz w:val="20"/>
                <w:lang w:eastAsia="en-AU"/>
              </w:rPr>
            </w:pPr>
            <w:r w:rsidRPr="00966E11">
              <w:rPr>
                <w:rFonts w:ascii="Calibri" w:eastAsiaTheme="minorEastAsia" w:hAnsi="Calibri" w:cs="Calibri"/>
                <w:b/>
                <w:bCs/>
                <w:sz w:val="20"/>
                <w:lang w:eastAsia="en-AU"/>
              </w:rPr>
              <w:t>National Partnerships</w:t>
            </w:r>
          </w:p>
        </w:tc>
      </w:tr>
      <w:tr w:rsidR="00CA5605" w:rsidRPr="00966E11" w:rsidTr="00CA5605">
        <w:trPr>
          <w:gridAfter w:val="1"/>
          <w:wAfter w:w="16" w:type="dxa"/>
          <w:cantSplit/>
        </w:trPr>
        <w:tc>
          <w:tcPr>
            <w:tcW w:w="7772" w:type="dxa"/>
            <w:gridSpan w:val="4"/>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i/>
                <w:sz w:val="20"/>
                <w:lang w:eastAsia="en-AU"/>
              </w:rPr>
            </w:pPr>
            <w:r w:rsidRPr="00966E11">
              <w:rPr>
                <w:rFonts w:ascii="Calibri" w:eastAsiaTheme="minorEastAsia" w:hAnsi="Calibri" w:cs="Calibri"/>
                <w:i/>
                <w:iCs/>
                <w:sz w:val="20"/>
                <w:lang w:eastAsia="en-AU"/>
              </w:rPr>
              <w:t>Transitional National Partnership Agreement on Homelessness</w:t>
            </w:r>
            <w:r>
              <w:rPr>
                <w:rFonts w:ascii="Calibri" w:eastAsiaTheme="minorEastAsia" w:hAnsi="Calibri" w:cs="Calibri"/>
                <w:i/>
                <w:iCs/>
                <w:sz w:val="20"/>
                <w:vertAlign w:val="superscript"/>
                <w:lang w:eastAsia="en-AU"/>
              </w:rPr>
              <w:t>(b)</w:t>
            </w:r>
          </w:p>
        </w:tc>
      </w:tr>
      <w:tr w:rsidR="00CA5605" w:rsidRPr="00966E11" w:rsidTr="001037D3">
        <w:trPr>
          <w:cantSplit/>
        </w:trPr>
        <w:tc>
          <w:tcPr>
            <w:tcW w:w="7788" w:type="dxa"/>
            <w:gridSpan w:val="5"/>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This National Partnership replaced the National Partnership Agreement on Homelessness. The focus is on maintaining the current level of services to assist people who are homeless or at risk of homelessness achieve sustainable housing and social inclusion while a longer term reform plan is developed.</w:t>
            </w:r>
          </w:p>
        </w:tc>
      </w:tr>
      <w:tr w:rsidR="00B03921" w:rsidRPr="00966E11" w:rsidTr="00CA5605">
        <w:trPr>
          <w:cantSplit/>
        </w:trPr>
        <w:tc>
          <w:tcPr>
            <w:tcW w:w="46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 xml:space="preserve"> 22.8</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w:t>
            </w:r>
          </w:p>
        </w:tc>
        <w:tc>
          <w:tcPr>
            <w:tcW w:w="1068" w:type="dxa"/>
            <w:gridSpan w:val="2"/>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(100.0)</w:t>
            </w:r>
          </w:p>
        </w:tc>
      </w:tr>
      <w:tr w:rsidR="00CA5605" w:rsidRPr="00966E11" w:rsidTr="00CA5605">
        <w:trPr>
          <w:cantSplit/>
        </w:trPr>
        <w:tc>
          <w:tcPr>
            <w:tcW w:w="7788" w:type="dxa"/>
            <w:gridSpan w:val="5"/>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i/>
                <w:sz w:val="20"/>
                <w:lang w:eastAsia="en-AU"/>
              </w:rPr>
            </w:pPr>
            <w:r w:rsidRPr="00966E11">
              <w:rPr>
                <w:rFonts w:ascii="Calibri" w:eastAsiaTheme="minorEastAsia" w:hAnsi="Calibri" w:cs="Calibri"/>
                <w:i/>
                <w:iCs/>
                <w:sz w:val="20"/>
                <w:lang w:eastAsia="en-AU"/>
              </w:rPr>
              <w:t>Remote Indigenous Housing</w:t>
            </w:r>
            <w:r w:rsidRPr="00966E11">
              <w:rPr>
                <w:rFonts w:ascii="Calibri" w:eastAsiaTheme="minorEastAsia" w:hAnsi="Calibri" w:cs="Calibri"/>
                <w:i/>
                <w:iCs/>
                <w:sz w:val="20"/>
                <w:vertAlign w:val="superscript"/>
                <w:lang w:eastAsia="en-AU"/>
              </w:rPr>
              <w:t>(c)</w:t>
            </w:r>
          </w:p>
        </w:tc>
      </w:tr>
      <w:tr w:rsidR="00CA5605" w:rsidRPr="00966E11" w:rsidTr="001037D3">
        <w:trPr>
          <w:cantSplit/>
        </w:trPr>
        <w:tc>
          <w:tcPr>
            <w:tcW w:w="7788" w:type="dxa"/>
            <w:gridSpan w:val="5"/>
            <w:tcBorders>
              <w:top w:val="nil"/>
              <w:left w:val="nil"/>
              <w:bottom w:val="nil"/>
              <w:right w:val="nil"/>
            </w:tcBorders>
          </w:tcPr>
          <w:p w:rsidR="00CA5605" w:rsidRPr="00966E11" w:rsidRDefault="00CA5605" w:rsidP="00CA5605">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Funding to improve housing conditions and help close the gap in life outcomes between Indigenous and non-Indigenous Australians.</w:t>
            </w:r>
          </w:p>
        </w:tc>
      </w:tr>
      <w:tr w:rsidR="00B03921" w:rsidRPr="00966E11" w:rsidTr="00CA5605">
        <w:trPr>
          <w:cantSplit/>
        </w:trPr>
        <w:tc>
          <w:tcPr>
            <w:tcW w:w="46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rPr>
                <w:rFonts w:ascii="Calibri" w:eastAsiaTheme="minorEastAsia" w:hAnsi="Calibri" w:cs="Calibri"/>
                <w:sz w:val="20"/>
                <w:lang w:eastAsia="en-AU"/>
              </w:rPr>
            </w:pPr>
            <w:r w:rsidRPr="00966E11">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 xml:space="preserve"> 15.0</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w:t>
            </w:r>
          </w:p>
        </w:tc>
        <w:tc>
          <w:tcPr>
            <w:tcW w:w="1066" w:type="dxa"/>
            <w:gridSpan w:val="2"/>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sz w:val="20"/>
                <w:lang w:eastAsia="en-AU"/>
              </w:rPr>
            </w:pPr>
            <w:r w:rsidRPr="00966E11">
              <w:rPr>
                <w:rFonts w:ascii="Calibri" w:eastAsiaTheme="minorEastAsia" w:hAnsi="Calibri" w:cs="Calibri"/>
                <w:sz w:val="20"/>
                <w:lang w:eastAsia="en-AU"/>
              </w:rPr>
              <w:t>(100.0)</w:t>
            </w:r>
          </w:p>
        </w:tc>
      </w:tr>
      <w:tr w:rsidR="00B03921" w:rsidRPr="00966E11" w:rsidTr="00CA5605">
        <w:trPr>
          <w:cantSplit/>
        </w:trPr>
        <w:tc>
          <w:tcPr>
            <w:tcW w:w="46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rPr>
                <w:rFonts w:ascii="Calibri" w:eastAsiaTheme="minorEastAsia" w:hAnsi="Calibri" w:cs="Calibri"/>
                <w:b/>
                <w:bCs/>
                <w:sz w:val="20"/>
                <w:lang w:eastAsia="en-AU"/>
              </w:rPr>
            </w:pPr>
            <w:r w:rsidRPr="00966E11">
              <w:rPr>
                <w:rFonts w:ascii="Calibri" w:eastAsiaTheme="minorEastAsia" w:hAnsi="Calibri" w:cs="Calibri"/>
                <w:b/>
                <w:bCs/>
                <w:sz w:val="20"/>
                <w:lang w:eastAsia="en-AU"/>
              </w:rPr>
              <w:t>Other</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w:t>
            </w:r>
          </w:p>
        </w:tc>
        <w:tc>
          <w:tcPr>
            <w:tcW w:w="1040" w:type="dxa"/>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w:t>
            </w:r>
          </w:p>
        </w:tc>
        <w:tc>
          <w:tcPr>
            <w:tcW w:w="1066" w:type="dxa"/>
            <w:gridSpan w:val="2"/>
            <w:tcBorders>
              <w:top w:val="nil"/>
              <w:left w:val="nil"/>
              <w:bottom w:val="single" w:sz="6" w:space="0" w:color="auto"/>
              <w:right w:val="nil"/>
            </w:tcBorders>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n.a.</w:t>
            </w:r>
          </w:p>
        </w:tc>
      </w:tr>
      <w:tr w:rsidR="00B03921" w:rsidRPr="00966E11" w:rsidTr="00CA5605">
        <w:trPr>
          <w:cantSplit/>
        </w:trPr>
        <w:tc>
          <w:tcPr>
            <w:tcW w:w="4640" w:type="dxa"/>
            <w:tcBorders>
              <w:top w:val="single" w:sz="6" w:space="0" w:color="auto"/>
              <w:left w:val="nil"/>
              <w:bottom w:val="single" w:sz="12" w:space="0" w:color="000000"/>
              <w:right w:val="nil"/>
            </w:tcBorders>
            <w:shd w:val="clear" w:color="auto" w:fill="auto"/>
          </w:tcPr>
          <w:p w:rsidR="00B03921" w:rsidRPr="00966E11" w:rsidRDefault="00B03921" w:rsidP="00016914">
            <w:pPr>
              <w:autoSpaceDE w:val="0"/>
              <w:autoSpaceDN w:val="0"/>
              <w:adjustRightInd w:val="0"/>
              <w:spacing w:after="0"/>
              <w:rPr>
                <w:rFonts w:ascii="Calibri" w:eastAsiaTheme="minorEastAsia" w:hAnsi="Calibri" w:cs="Calibri"/>
                <w:b/>
                <w:bCs/>
                <w:sz w:val="20"/>
                <w:lang w:eastAsia="en-AU"/>
              </w:rPr>
            </w:pPr>
            <w:r w:rsidRPr="00966E11">
              <w:rPr>
                <w:rFonts w:ascii="Calibri" w:eastAsiaTheme="minorEastAsia" w:hAnsi="Calibri" w:cs="Calibri"/>
                <w:b/>
                <w:bCs/>
                <w:sz w:val="20"/>
                <w:lang w:eastAsia="en-AU"/>
              </w:rPr>
              <w:t>Total affordable housing</w:t>
            </w:r>
          </w:p>
        </w:tc>
        <w:tc>
          <w:tcPr>
            <w:tcW w:w="1040" w:type="dxa"/>
            <w:tcBorders>
              <w:top w:val="single" w:sz="6" w:space="0" w:color="auto"/>
              <w:left w:val="nil"/>
              <w:bottom w:val="single" w:sz="12" w:space="0" w:color="000000"/>
              <w:right w:val="nil"/>
            </w:tcBorders>
            <w:shd w:val="clear" w:color="auto" w:fill="auto"/>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 xml:space="preserve"> 362.2</w:t>
            </w:r>
          </w:p>
        </w:tc>
        <w:tc>
          <w:tcPr>
            <w:tcW w:w="1040" w:type="dxa"/>
            <w:tcBorders>
              <w:top w:val="single" w:sz="6" w:space="0" w:color="auto"/>
              <w:left w:val="nil"/>
              <w:bottom w:val="single" w:sz="12" w:space="0" w:color="000000"/>
              <w:right w:val="nil"/>
            </w:tcBorders>
            <w:shd w:val="clear" w:color="auto" w:fill="auto"/>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 xml:space="preserve"> 330.1</w:t>
            </w:r>
          </w:p>
        </w:tc>
        <w:tc>
          <w:tcPr>
            <w:tcW w:w="1066" w:type="dxa"/>
            <w:gridSpan w:val="2"/>
            <w:tcBorders>
              <w:top w:val="single" w:sz="6" w:space="0" w:color="auto"/>
              <w:left w:val="nil"/>
              <w:bottom w:val="single" w:sz="12" w:space="0" w:color="000000"/>
              <w:right w:val="nil"/>
            </w:tcBorders>
            <w:shd w:val="clear" w:color="auto" w:fill="auto"/>
          </w:tcPr>
          <w:p w:rsidR="00B03921" w:rsidRPr="00966E11" w:rsidRDefault="00B03921" w:rsidP="00016914">
            <w:pPr>
              <w:autoSpaceDE w:val="0"/>
              <w:autoSpaceDN w:val="0"/>
              <w:adjustRightInd w:val="0"/>
              <w:spacing w:after="0"/>
              <w:jc w:val="right"/>
              <w:rPr>
                <w:rFonts w:ascii="Calibri" w:eastAsiaTheme="minorEastAsia" w:hAnsi="Calibri" w:cs="Calibri"/>
                <w:b/>
                <w:bCs/>
                <w:sz w:val="20"/>
                <w:lang w:eastAsia="en-AU"/>
              </w:rPr>
            </w:pPr>
            <w:r w:rsidRPr="00966E11">
              <w:rPr>
                <w:rFonts w:ascii="Calibri" w:eastAsiaTheme="minorEastAsia" w:hAnsi="Calibri" w:cs="Calibri"/>
                <w:b/>
                <w:bCs/>
                <w:sz w:val="20"/>
                <w:lang w:eastAsia="en-AU"/>
              </w:rPr>
              <w:t>(8.9)</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 xml:space="preserve">(a) </w:t>
      </w:r>
      <w:r>
        <w:tab/>
        <w:t>Per cent change between 2014-15 and 2015-16.</w:t>
      </w:r>
    </w:p>
    <w:p w:rsidR="00B03921" w:rsidRDefault="00B03921" w:rsidP="00016914">
      <w:pPr>
        <w:pStyle w:val="Notes"/>
      </w:pPr>
      <w:r w:rsidRPr="009357FB">
        <w:t xml:space="preserve">(b) </w:t>
      </w:r>
      <w:r w:rsidRPr="009357FB">
        <w:tab/>
        <w:t>Currently a one-off grant pending further negotiations with the Commonwealth.</w:t>
      </w:r>
    </w:p>
    <w:p w:rsidR="00B03921" w:rsidRPr="009357FB" w:rsidRDefault="00B03921" w:rsidP="00016914">
      <w:pPr>
        <w:pStyle w:val="Notes"/>
      </w:pPr>
      <w:r>
        <w:t>(c)</w:t>
      </w:r>
      <w:r>
        <w:tab/>
        <w:t>One-off payment for early conclusion of National Partnership Agreement on Remote Indigenous Housing</w:t>
      </w:r>
    </w:p>
    <w:p w:rsidR="00B03921" w:rsidRDefault="00B03921" w:rsidP="00016914">
      <w:pPr>
        <w:spacing w:after="0"/>
        <w:rPr>
          <w:rFonts w:ascii="Calibri" w:hAnsi="Calibri"/>
          <w:b/>
        </w:rPr>
      </w:pPr>
      <w:r>
        <w:br w:type="page"/>
      </w:r>
    </w:p>
    <w:p w:rsidR="00B03921" w:rsidRDefault="00B03921" w:rsidP="00016914">
      <w:pPr>
        <w:pStyle w:val="Tableheading"/>
      </w:pPr>
      <w:r>
        <w:t>Table 4.8:</w:t>
      </w:r>
      <w:r>
        <w:tab/>
        <w:t>Payments for community services</w:t>
      </w:r>
    </w:p>
    <w:p w:rsidR="00B03921" w:rsidRPr="00DC2D2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CA5605" w:rsidRPr="00DC2D28" w:rsidTr="00CA5605">
        <w:trPr>
          <w:trHeight w:val="503"/>
          <w:tblHeader/>
        </w:trPr>
        <w:tc>
          <w:tcPr>
            <w:tcW w:w="4640" w:type="dxa"/>
            <w:tcBorders>
              <w:top w:val="single" w:sz="6" w:space="0" w:color="auto"/>
              <w:left w:val="single" w:sz="6" w:space="0" w:color="auto"/>
              <w:right w:val="nil"/>
            </w:tcBorders>
            <w:shd w:val="clear" w:color="000000" w:fill="000000"/>
          </w:tcPr>
          <w:p w:rsidR="00CA5605" w:rsidRPr="00DC2D28" w:rsidRDefault="00CA5605" w:rsidP="00016914">
            <w:pPr>
              <w:pStyle w:val="Tabletext"/>
              <w:rPr>
                <w:rFonts w:eastAsiaTheme="minorEastAsia"/>
                <w:lang w:eastAsia="en-AU"/>
              </w:rPr>
            </w:pPr>
          </w:p>
        </w:tc>
        <w:tc>
          <w:tcPr>
            <w:tcW w:w="1040" w:type="dxa"/>
            <w:tcBorders>
              <w:top w:val="single" w:sz="6" w:space="0" w:color="auto"/>
              <w:left w:val="nil"/>
              <w:right w:val="nil"/>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2014-15</w:t>
            </w:r>
          </w:p>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revised</w:t>
            </w:r>
          </w:p>
        </w:tc>
        <w:tc>
          <w:tcPr>
            <w:tcW w:w="1040" w:type="dxa"/>
            <w:tcBorders>
              <w:top w:val="single" w:sz="6" w:space="0" w:color="auto"/>
              <w:left w:val="nil"/>
              <w:right w:val="nil"/>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2015-16</w:t>
            </w:r>
          </w:p>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budget</w:t>
            </w:r>
          </w:p>
        </w:tc>
        <w:tc>
          <w:tcPr>
            <w:tcW w:w="1040" w:type="dxa"/>
            <w:tcBorders>
              <w:top w:val="single" w:sz="6" w:space="0" w:color="auto"/>
              <w:left w:val="nil"/>
              <w:right w:val="single" w:sz="6" w:space="0" w:color="auto"/>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Change</w:t>
            </w:r>
          </w:p>
          <w:p w:rsidR="00CA5605" w:rsidRPr="00DC2D28" w:rsidRDefault="00CA5605" w:rsidP="00CA5605">
            <w:pPr>
              <w:pStyle w:val="Tabletextheading"/>
              <w:rPr>
                <w:rFonts w:eastAsiaTheme="minorEastAsia"/>
                <w:iCs/>
                <w:color w:val="FFFFFF"/>
                <w:lang w:eastAsia="en-AU"/>
              </w:rPr>
            </w:pPr>
            <w:r w:rsidRPr="00DC2D28">
              <w:rPr>
                <w:rFonts w:eastAsiaTheme="minorEastAsia"/>
                <w:iCs/>
                <w:color w:val="FFFFFF"/>
                <w:lang w:eastAsia="en-AU"/>
              </w:rPr>
              <w:t>%</w:t>
            </w:r>
            <w:r w:rsidRPr="00DC2D28">
              <w:rPr>
                <w:rFonts w:eastAsiaTheme="minorEastAsia"/>
                <w:iCs/>
                <w:color w:val="FFFFFF"/>
                <w:vertAlign w:val="superscript"/>
                <w:lang w:eastAsia="en-AU"/>
              </w:rPr>
              <w:t>(a)</w:t>
            </w:r>
          </w:p>
        </w:tc>
      </w:tr>
      <w:tr w:rsidR="00CA5605" w:rsidRPr="00DC2D28" w:rsidTr="00CA5605">
        <w:tc>
          <w:tcPr>
            <w:tcW w:w="7760" w:type="dxa"/>
            <w:gridSpan w:val="4"/>
            <w:tcBorders>
              <w:top w:val="single" w:sz="6" w:space="0" w:color="auto"/>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National Disability Agreement</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to ensure that people with a disability and their carers have an enhanced quality of life and participate as valued members of the community.</w:t>
            </w:r>
          </w:p>
        </w:tc>
      </w:tr>
      <w:tr w:rsidR="00B03921" w:rsidRPr="00DC2D28" w:rsidTr="00CA5605">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347.4</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361.6</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4.1</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National Partnerships</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Assistance to States for Disability Care Australia</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21.3</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n.a.</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Pay equity for the social and community services sector</w:t>
            </w:r>
          </w:p>
        </w:tc>
      </w:tr>
      <w:tr w:rsidR="00CA5605" w:rsidRPr="00DC2D28" w:rsidTr="00CA5605">
        <w:tc>
          <w:tcPr>
            <w:tcW w:w="7758"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for the Commonwealth</w:t>
            </w:r>
            <w:r w:rsidR="00BA5A16">
              <w:rPr>
                <w:rFonts w:eastAsiaTheme="minorEastAsia"/>
                <w:lang w:eastAsia="en-AU"/>
              </w:rPr>
              <w:t>’</w:t>
            </w:r>
            <w:r w:rsidRPr="00DC2D28">
              <w:rPr>
                <w:rFonts w:eastAsiaTheme="minorEastAsia"/>
                <w:lang w:eastAsia="en-AU"/>
              </w:rPr>
              <w:t>s share of wage increases arising from Fair Work Australia</w:t>
            </w:r>
            <w:r w:rsidR="00BA5A16">
              <w:rPr>
                <w:rFonts w:eastAsiaTheme="minorEastAsia"/>
                <w:lang w:eastAsia="en-AU"/>
              </w:rPr>
              <w:t>’</w:t>
            </w:r>
            <w:r w:rsidRPr="00DC2D28">
              <w:rPr>
                <w:rFonts w:eastAsiaTheme="minorEastAsia"/>
                <w:lang w:eastAsia="en-AU"/>
              </w:rPr>
              <w:t xml:space="preserve">s decision to grant an Equal Remuneration Order in the </w:t>
            </w:r>
            <w:r>
              <w:rPr>
                <w:rFonts w:eastAsiaTheme="minorEastAsia"/>
                <w:lang w:eastAsia="en-AU"/>
              </w:rPr>
              <w:t>social and c</w:t>
            </w:r>
            <w:r w:rsidRPr="00DC2D28">
              <w:rPr>
                <w:rFonts w:eastAsiaTheme="minorEastAsia"/>
                <w:lang w:eastAsia="en-AU"/>
              </w:rPr>
              <w:t xml:space="preserve">ommunity </w:t>
            </w:r>
            <w:r>
              <w:rPr>
                <w:rFonts w:eastAsiaTheme="minorEastAsia"/>
                <w:lang w:eastAsia="en-AU"/>
              </w:rPr>
              <w:t>s</w:t>
            </w:r>
            <w:r w:rsidRPr="00DC2D28">
              <w:rPr>
                <w:rFonts w:eastAsiaTheme="minorEastAsia"/>
                <w:lang w:eastAsia="en-AU"/>
              </w:rPr>
              <w:t>ervices sector.</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23.9</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28.5</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19.5</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Other</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3.1</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3.1</w:t>
            </w:r>
          </w:p>
        </w:tc>
        <w:tc>
          <w:tcPr>
            <w:tcW w:w="1040" w:type="dxa"/>
            <w:tcBorders>
              <w:top w:val="single" w:sz="6" w:space="0" w:color="auto"/>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2.5</w:t>
            </w:r>
          </w:p>
        </w:tc>
      </w:tr>
      <w:tr w:rsidR="00B03921" w:rsidRPr="00DC2D28" w:rsidTr="00CA5605">
        <w:tc>
          <w:tcPr>
            <w:tcW w:w="46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community services</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374.3</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414.6</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10.8</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9A6472" w:rsidRDefault="00B03921" w:rsidP="00016914">
      <w:pPr>
        <w:pStyle w:val="Notes"/>
      </w:pPr>
      <w:r w:rsidRPr="009A6472">
        <w:t xml:space="preserve">(a) </w:t>
      </w:r>
      <w:r>
        <w:tab/>
        <w:t>Per cent change between</w:t>
      </w:r>
      <w:r w:rsidRPr="009A6472">
        <w:t xml:space="preserve"> 201</w:t>
      </w:r>
      <w:r>
        <w:t>4</w:t>
      </w:r>
      <w:r w:rsidRPr="009A6472">
        <w:t>-</w:t>
      </w:r>
      <w:r>
        <w:t>15</w:t>
      </w:r>
      <w:r w:rsidRPr="009A6472">
        <w:t xml:space="preserve"> and 201</w:t>
      </w:r>
      <w:r>
        <w:t>5</w:t>
      </w:r>
      <w:r w:rsidRPr="009A6472">
        <w:t>-1</w:t>
      </w:r>
      <w:r>
        <w:t>6</w:t>
      </w:r>
      <w:r w:rsidRPr="009A6472">
        <w:t>.</w:t>
      </w:r>
    </w:p>
    <w:p w:rsidR="00B03921" w:rsidRDefault="00B03921" w:rsidP="00016914">
      <w:pPr>
        <w:spacing w:after="0"/>
        <w:rPr>
          <w:rFonts w:ascii="Calibri" w:hAnsi="Calibri"/>
          <w:b/>
        </w:rPr>
      </w:pPr>
      <w:r>
        <w:br w:type="page"/>
      </w:r>
    </w:p>
    <w:p w:rsidR="00B03921" w:rsidRDefault="00B03921" w:rsidP="00016914">
      <w:pPr>
        <w:pStyle w:val="Tableheading"/>
      </w:pPr>
      <w:r>
        <w:t>Table 4.9:</w:t>
      </w:r>
      <w:r>
        <w:tab/>
        <w:t>Payments for education services</w:t>
      </w:r>
    </w:p>
    <w:p w:rsidR="00B03921" w:rsidRPr="00DC2D2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CA5605" w:rsidRPr="00DC2D28" w:rsidTr="00CA5605">
        <w:trPr>
          <w:trHeight w:val="503"/>
          <w:tblHeader/>
        </w:trPr>
        <w:tc>
          <w:tcPr>
            <w:tcW w:w="4640" w:type="dxa"/>
            <w:tcBorders>
              <w:top w:val="single" w:sz="6" w:space="0" w:color="auto"/>
              <w:left w:val="single" w:sz="6" w:space="0" w:color="auto"/>
              <w:right w:val="nil"/>
            </w:tcBorders>
            <w:shd w:val="clear" w:color="000000" w:fill="000000"/>
          </w:tcPr>
          <w:p w:rsidR="00CA5605" w:rsidRPr="00DC2D28" w:rsidRDefault="00CA5605" w:rsidP="00016914">
            <w:pPr>
              <w:pStyle w:val="Tabletext"/>
              <w:rPr>
                <w:rFonts w:eastAsiaTheme="minorEastAsia"/>
                <w:lang w:eastAsia="en-AU"/>
              </w:rPr>
            </w:pPr>
            <w:r w:rsidRPr="00DC2D28">
              <w:rPr>
                <w:rFonts w:eastAsiaTheme="minorEastAsia"/>
                <w:lang w:eastAsia="en-AU"/>
              </w:rPr>
              <w:t xml:space="preserve"> </w:t>
            </w:r>
          </w:p>
          <w:p w:rsidR="00CA5605" w:rsidRPr="00DC2D28" w:rsidRDefault="00CA5605"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single" w:sz="6" w:space="0" w:color="auto"/>
              <w:left w:val="nil"/>
              <w:right w:val="nil"/>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2014-15</w:t>
            </w:r>
          </w:p>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revised</w:t>
            </w:r>
          </w:p>
        </w:tc>
        <w:tc>
          <w:tcPr>
            <w:tcW w:w="1040" w:type="dxa"/>
            <w:tcBorders>
              <w:top w:val="single" w:sz="6" w:space="0" w:color="auto"/>
              <w:left w:val="nil"/>
              <w:right w:val="nil"/>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2015-16</w:t>
            </w:r>
          </w:p>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budget</w:t>
            </w:r>
          </w:p>
        </w:tc>
        <w:tc>
          <w:tcPr>
            <w:tcW w:w="1040" w:type="dxa"/>
            <w:tcBorders>
              <w:top w:val="single" w:sz="6" w:space="0" w:color="auto"/>
              <w:left w:val="nil"/>
              <w:right w:val="single" w:sz="6" w:space="0" w:color="auto"/>
            </w:tcBorders>
            <w:shd w:val="clear" w:color="000000" w:fill="000000"/>
          </w:tcPr>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Change</w:t>
            </w:r>
          </w:p>
          <w:p w:rsidR="00CA5605" w:rsidRPr="00DC2D28" w:rsidRDefault="00CA5605" w:rsidP="00016914">
            <w:pPr>
              <w:pStyle w:val="Tabletextheading"/>
              <w:rPr>
                <w:rFonts w:eastAsiaTheme="minorEastAsia"/>
                <w:iCs/>
                <w:color w:val="FFFFFF"/>
                <w:lang w:eastAsia="en-AU"/>
              </w:rPr>
            </w:pPr>
            <w:r w:rsidRPr="00DC2D28">
              <w:rPr>
                <w:rFonts w:eastAsiaTheme="minorEastAsia"/>
                <w:iCs/>
                <w:color w:val="FFFFFF"/>
                <w:lang w:eastAsia="en-AU"/>
              </w:rPr>
              <w:t xml:space="preserve">% </w:t>
            </w:r>
            <w:r w:rsidRPr="00DC2D28">
              <w:rPr>
                <w:rFonts w:eastAsiaTheme="minorEastAsia"/>
                <w:iCs/>
                <w:color w:val="FFFFFF"/>
                <w:vertAlign w:val="superscript"/>
                <w:lang w:eastAsia="en-AU"/>
              </w:rPr>
              <w:t>(a)</w:t>
            </w:r>
          </w:p>
        </w:tc>
      </w:tr>
      <w:tr w:rsidR="00CA5605" w:rsidRPr="00DC2D28" w:rsidTr="00CA5605">
        <w:tc>
          <w:tcPr>
            <w:tcW w:w="7760" w:type="dxa"/>
            <w:gridSpan w:val="4"/>
            <w:tcBorders>
              <w:top w:val="single" w:sz="6" w:space="0" w:color="auto"/>
              <w:left w:val="nil"/>
              <w:bottom w:val="nil"/>
              <w:right w:val="nil"/>
            </w:tcBorders>
          </w:tcPr>
          <w:p w:rsidR="00CA5605" w:rsidRPr="00DC2D28" w:rsidRDefault="00CA5605" w:rsidP="00CA5605">
            <w:pPr>
              <w:pStyle w:val="Tabletext"/>
              <w:rPr>
                <w:rFonts w:eastAsiaTheme="minorEastAsia"/>
                <w:b/>
                <w:i/>
                <w:lang w:eastAsia="en-AU"/>
              </w:rPr>
            </w:pPr>
            <w:r w:rsidRPr="00DC2D28">
              <w:rPr>
                <w:rFonts w:eastAsiaTheme="minorEastAsia"/>
                <w:b/>
                <w:bCs/>
                <w:i/>
                <w:iCs/>
                <w:lang w:eastAsia="en-AU"/>
              </w:rPr>
              <w:t>Students First - A fairer funding agreement for schools</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Support for school services</w:t>
            </w:r>
          </w:p>
        </w:tc>
      </w:tr>
      <w:tr w:rsidR="00B03921" w:rsidRPr="00DC2D28" w:rsidTr="00CA5605">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i/>
                <w:iCs/>
                <w:lang w:eastAsia="en-AU"/>
              </w:rPr>
            </w:pPr>
            <w:r w:rsidRPr="00DC2D28">
              <w:rPr>
                <w:rFonts w:eastAsiaTheme="minorEastAsia"/>
                <w:i/>
                <w:iCs/>
                <w:lang w:eastAsia="en-AU"/>
              </w:rPr>
              <w:t xml:space="preserve">  Government schools</w:t>
            </w:r>
          </w:p>
        </w:tc>
        <w:tc>
          <w:tcPr>
            <w:tcW w:w="1040"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1 224.5</w:t>
            </w:r>
          </w:p>
        </w:tc>
        <w:tc>
          <w:tcPr>
            <w:tcW w:w="1040"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1 334.4</w:t>
            </w:r>
          </w:p>
        </w:tc>
        <w:tc>
          <w:tcPr>
            <w:tcW w:w="1040" w:type="dxa"/>
            <w:tcBorders>
              <w:top w:val="nil"/>
              <w:left w:val="nil"/>
              <w:bottom w:val="single" w:sz="12"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9.0</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b/>
                <w:lang w:eastAsia="en-AU"/>
              </w:rPr>
            </w:pPr>
            <w:r w:rsidRPr="00DC2D28">
              <w:rPr>
                <w:rFonts w:eastAsiaTheme="minorEastAsia"/>
                <w:b/>
                <w:bCs/>
                <w:lang w:eastAsia="en-AU"/>
              </w:rPr>
              <w:t>National Agreement for Skills and Workforce Development</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The National Agreement for Skills and Workforce Development provides funding for the delivery of training services.</w:t>
            </w:r>
          </w:p>
        </w:tc>
      </w:tr>
      <w:tr w:rsidR="00B03921" w:rsidRPr="00DC2D28" w:rsidTr="00CA5605">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356.8</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363.0</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1.7</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b/>
                <w:lang w:eastAsia="en-AU"/>
              </w:rPr>
            </w:pPr>
            <w:r w:rsidRPr="00DC2D28">
              <w:rPr>
                <w:rFonts w:eastAsiaTheme="minorEastAsia"/>
                <w:b/>
                <w:bCs/>
                <w:lang w:eastAsia="en-AU"/>
              </w:rPr>
              <w:t>National Partnerships</w:t>
            </w:r>
            <w:r w:rsidRPr="00DC2D28">
              <w:rPr>
                <w:rFonts w:eastAsiaTheme="minorEastAsia"/>
                <w:b/>
                <w:lang w:eastAsia="en-AU"/>
              </w:rPr>
              <w:t xml:space="preserve"> </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Early childhood education</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to assist Victoria meet the Council of Australian Government</w:t>
            </w:r>
            <w:r w:rsidR="00BA5A16">
              <w:rPr>
                <w:rFonts w:eastAsiaTheme="minorEastAsia"/>
                <w:lang w:eastAsia="en-AU"/>
              </w:rPr>
              <w:t>’</w:t>
            </w:r>
            <w:r w:rsidRPr="00DC2D28">
              <w:rPr>
                <w:rFonts w:eastAsiaTheme="minorEastAsia"/>
                <w:lang w:eastAsia="en-AU"/>
              </w:rPr>
              <w:t>s target of access to 15 hours of early childhood edu</w:t>
            </w:r>
            <w:r>
              <w:rPr>
                <w:rFonts w:eastAsiaTheme="minorEastAsia"/>
                <w:lang w:eastAsia="en-AU"/>
              </w:rPr>
              <w:t>cation a week for all children.</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85.9</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68.2</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(20.7)</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Skills for all Australians – Skills Reform</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 xml:space="preserve">Funding to support long-term reform in the vocational education and training sector. This National Partnership replaces the </w:t>
            </w:r>
            <w:r w:rsidRPr="00DC2D28">
              <w:rPr>
                <w:rFonts w:eastAsiaTheme="minorEastAsia"/>
                <w:i/>
                <w:iCs/>
                <w:lang w:eastAsia="en-AU"/>
              </w:rPr>
              <w:t>Productivity Places</w:t>
            </w:r>
            <w:r w:rsidRPr="00DC2D28">
              <w:rPr>
                <w:rFonts w:eastAsiaTheme="minorEastAsia"/>
                <w:lang w:eastAsia="en-AU"/>
              </w:rPr>
              <w:t xml:space="preserve"> Program.</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93.9</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93.9</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0.1</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Trade training centres in schools</w:t>
            </w:r>
            <w:r w:rsidRPr="00DC2D28">
              <w:rPr>
                <w:rFonts w:eastAsiaTheme="minorEastAsia"/>
                <w:i/>
                <w:lang w:eastAsia="en-AU"/>
              </w:rPr>
              <w:t xml:space="preserve"> </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to build new or upgrade existing trade or vocational education and training facilities in secondary schools.</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18.8</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12.0</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(36.2)</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More Support for Students with Disabilities</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This initiative strengthens the capacity of schools and teachers to support students with disabilities, improving student learning experiences and educational outcomes.</w:t>
            </w:r>
          </w:p>
        </w:tc>
      </w:tr>
      <w:tr w:rsidR="00B03921" w:rsidRPr="00DC2D28" w:rsidTr="00CA5605">
        <w:tc>
          <w:tcPr>
            <w:tcW w:w="4640" w:type="dxa"/>
            <w:tcBorders>
              <w:top w:val="nil"/>
              <w:left w:val="nil"/>
              <w:bottom w:val="nil"/>
              <w:right w:val="nil"/>
            </w:tcBorders>
          </w:tcPr>
          <w:p w:rsidR="00B03921" w:rsidRPr="00DC2D28" w:rsidRDefault="00B03921" w:rsidP="00016914">
            <w:pPr>
              <w:pStyle w:val="Tabletext"/>
              <w:rPr>
                <w:rFonts w:eastAsiaTheme="minorEastAsia"/>
                <w:i/>
                <w:iCs/>
                <w:lang w:eastAsia="en-AU"/>
              </w:rPr>
            </w:pPr>
            <w:r w:rsidRPr="00DC2D28">
              <w:rPr>
                <w:rFonts w:eastAsiaTheme="minorEastAsia"/>
                <w:i/>
                <w:iCs/>
                <w:lang w:eastAsia="en-AU"/>
              </w:rPr>
              <w:t xml:space="preserve">  Government schools</w:t>
            </w:r>
          </w:p>
        </w:tc>
        <w:tc>
          <w:tcPr>
            <w:tcW w:w="1040"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11.1</w:t>
            </w:r>
          </w:p>
        </w:tc>
        <w:tc>
          <w:tcPr>
            <w:tcW w:w="1040"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w:t>
            </w:r>
          </w:p>
        </w:tc>
        <w:tc>
          <w:tcPr>
            <w:tcW w:w="1040" w:type="dxa"/>
            <w:tcBorders>
              <w:top w:val="nil"/>
              <w:left w:val="nil"/>
              <w:bottom w:val="nil"/>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(100.0)</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i/>
                <w:iCs/>
                <w:lang w:eastAsia="en-AU"/>
              </w:rPr>
            </w:pPr>
            <w:r w:rsidRPr="00DC2D28">
              <w:rPr>
                <w:rFonts w:eastAsiaTheme="minorEastAsia"/>
                <w:i/>
                <w:iCs/>
                <w:lang w:eastAsia="en-AU"/>
              </w:rPr>
              <w:t xml:space="preserve">  Non-government schools</w:t>
            </w:r>
          </w:p>
        </w:tc>
        <w:tc>
          <w:tcPr>
            <w:tcW w:w="1040"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 xml:space="preserve"> 3.2</w:t>
            </w:r>
          </w:p>
        </w:tc>
        <w:tc>
          <w:tcPr>
            <w:tcW w:w="1040"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w:t>
            </w:r>
          </w:p>
        </w:tc>
        <w:tc>
          <w:tcPr>
            <w:tcW w:w="1040" w:type="dxa"/>
            <w:tcBorders>
              <w:top w:val="nil"/>
              <w:left w:val="nil"/>
              <w:bottom w:val="single" w:sz="6" w:space="0" w:color="auto"/>
              <w:right w:val="nil"/>
            </w:tcBorders>
          </w:tcPr>
          <w:p w:rsidR="00B03921" w:rsidRPr="00CD6886" w:rsidRDefault="00B03921" w:rsidP="00016914">
            <w:pPr>
              <w:pStyle w:val="TableofFigures"/>
              <w:rPr>
                <w:rFonts w:eastAsiaTheme="minorEastAsia"/>
                <w:lang w:eastAsia="en-AU"/>
              </w:rPr>
            </w:pPr>
            <w:r w:rsidRPr="00CD6886">
              <w:rPr>
                <w:rFonts w:eastAsiaTheme="minorEastAsia"/>
                <w:lang w:eastAsia="en-AU"/>
              </w:rPr>
              <w:t>(100.0)</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National Quality Agenda on Early Childhood Education and Care</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for the establishment of a jointly governed and unified National Quality Framework which aims to improve the quality of early childhood services.</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6.9</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(100.0)</w:t>
            </w:r>
          </w:p>
        </w:tc>
      </w:tr>
      <w:tr w:rsidR="00CA5605" w:rsidRPr="00DC2D28" w:rsidTr="00CA5605">
        <w:tc>
          <w:tcPr>
            <w:tcW w:w="7760" w:type="dxa"/>
            <w:gridSpan w:val="4"/>
            <w:tcBorders>
              <w:top w:val="nil"/>
              <w:left w:val="nil"/>
              <w:bottom w:val="nil"/>
              <w:right w:val="nil"/>
            </w:tcBorders>
          </w:tcPr>
          <w:p w:rsidR="00CA5605" w:rsidRPr="00DC2D28" w:rsidRDefault="00CA5605" w:rsidP="00CA5605">
            <w:pPr>
              <w:pStyle w:val="Tabletext"/>
              <w:rPr>
                <w:rFonts w:eastAsiaTheme="minorEastAsia"/>
                <w:i/>
                <w:lang w:eastAsia="en-AU"/>
              </w:rPr>
            </w:pPr>
            <w:r w:rsidRPr="00DC2D28">
              <w:rPr>
                <w:rFonts w:eastAsiaTheme="minorEastAsia"/>
                <w:i/>
                <w:iCs/>
                <w:lang w:eastAsia="en-AU"/>
              </w:rPr>
              <w:t>School Chaplaincy Program</w:t>
            </w:r>
          </w:p>
        </w:tc>
      </w:tr>
      <w:tr w:rsidR="00CA5605" w:rsidRPr="00DC2D28" w:rsidTr="00CA5605">
        <w:tc>
          <w:tcPr>
            <w:tcW w:w="7758" w:type="dxa"/>
            <w:gridSpan w:val="4"/>
            <w:tcBorders>
              <w:top w:val="nil"/>
              <w:left w:val="nil"/>
              <w:bottom w:val="nil"/>
              <w:right w:val="nil"/>
            </w:tcBorders>
          </w:tcPr>
          <w:p w:rsidR="00CA5605" w:rsidRPr="00DC2D28" w:rsidRDefault="00CA5605" w:rsidP="00CA5605">
            <w:pPr>
              <w:pStyle w:val="Tabletext"/>
              <w:rPr>
                <w:rFonts w:eastAsiaTheme="minorEastAsia"/>
                <w:lang w:eastAsia="en-AU"/>
              </w:rPr>
            </w:pPr>
            <w:r w:rsidRPr="00DC2D28">
              <w:rPr>
                <w:rFonts w:eastAsiaTheme="minorEastAsia"/>
                <w:lang w:eastAsia="en-AU"/>
              </w:rPr>
              <w:t>Funding to assist schools engage the services of a school chaplain to support the emotional wellbeing of students by providing pastoral care services and strategies that support the emotional wellbeing of the broader school community.</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12.6</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12.6</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Pr>
                <w:rFonts w:eastAsiaTheme="minorEastAsia"/>
                <w:lang w:eastAsia="en-AU"/>
              </w:rPr>
              <w:t>..</w:t>
            </w:r>
          </w:p>
        </w:tc>
      </w:tr>
      <w:tr w:rsidR="00B03921" w:rsidRPr="00DC2D28" w:rsidTr="00CA5605">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Other</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3.0</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0.3</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(88.6)</w:t>
            </w:r>
          </w:p>
        </w:tc>
      </w:tr>
      <w:tr w:rsidR="00B03921" w:rsidRPr="00DC2D28" w:rsidTr="00CA5605">
        <w:tc>
          <w:tcPr>
            <w:tcW w:w="46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education services</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1 816.6</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1 884.4</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3.7</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B73C99" w:rsidRDefault="00B03921" w:rsidP="00016914">
      <w:pPr>
        <w:pStyle w:val="Notes"/>
      </w:pPr>
      <w:r w:rsidRPr="00B73C99">
        <w:t xml:space="preserve">(a) </w:t>
      </w:r>
      <w:r>
        <w:tab/>
        <w:t>Per cent change between</w:t>
      </w:r>
      <w:r w:rsidRPr="00B73C99">
        <w:t xml:space="preserve"> 201</w:t>
      </w:r>
      <w:r>
        <w:t>4</w:t>
      </w:r>
      <w:r w:rsidRPr="00B73C99">
        <w:t>-1</w:t>
      </w:r>
      <w:r>
        <w:t>5</w:t>
      </w:r>
      <w:r w:rsidRPr="00B73C99">
        <w:t xml:space="preserve"> and 201</w:t>
      </w:r>
      <w:r>
        <w:t>5</w:t>
      </w:r>
      <w:r w:rsidRPr="00B73C99">
        <w:t>-1</w:t>
      </w:r>
      <w:r>
        <w:t>6</w:t>
      </w:r>
      <w:r w:rsidRPr="00B73C99">
        <w:t>.</w:t>
      </w:r>
    </w:p>
    <w:p w:rsidR="00CA5605" w:rsidRDefault="00CA5605">
      <w:pPr>
        <w:spacing w:after="0"/>
        <w:rPr>
          <w:rFonts w:ascii="Calibri" w:hAnsi="Calibri"/>
          <w:b/>
        </w:rPr>
      </w:pPr>
      <w:r>
        <w:br w:type="page"/>
      </w:r>
    </w:p>
    <w:p w:rsidR="00B03921" w:rsidRDefault="00B03921" w:rsidP="00016914">
      <w:pPr>
        <w:pStyle w:val="Tableheading"/>
      </w:pPr>
      <w:r>
        <w:t>Table 4.10:</w:t>
      </w:r>
      <w:r>
        <w:tab/>
        <w:t>Payments for environment services</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CA5605" w:rsidRPr="002D2EF2" w:rsidTr="001037D3">
        <w:trPr>
          <w:cantSplit/>
          <w:trHeight w:val="503"/>
          <w:tblHeader/>
        </w:trPr>
        <w:tc>
          <w:tcPr>
            <w:tcW w:w="4640" w:type="dxa"/>
            <w:tcBorders>
              <w:top w:val="single" w:sz="6" w:space="0" w:color="auto"/>
              <w:left w:val="single" w:sz="6" w:space="0" w:color="auto"/>
              <w:right w:val="nil"/>
            </w:tcBorders>
            <w:shd w:val="clear" w:color="000000" w:fill="000000"/>
          </w:tcPr>
          <w:p w:rsidR="00CA5605" w:rsidRPr="002D2EF2" w:rsidRDefault="00CA5605" w:rsidP="00016914">
            <w:pPr>
              <w:pStyle w:val="Tabletextheading"/>
              <w:rPr>
                <w:rFonts w:eastAsiaTheme="minorEastAsia"/>
                <w:color w:val="FFFFFF"/>
                <w:lang w:eastAsia="en-AU"/>
              </w:rPr>
            </w:pPr>
          </w:p>
        </w:tc>
        <w:tc>
          <w:tcPr>
            <w:tcW w:w="1040" w:type="dxa"/>
            <w:tcBorders>
              <w:top w:val="single" w:sz="6" w:space="0" w:color="auto"/>
              <w:left w:val="nil"/>
              <w:right w:val="nil"/>
            </w:tcBorders>
            <w:shd w:val="clear" w:color="000000" w:fill="000000"/>
          </w:tcPr>
          <w:p w:rsidR="00CA5605" w:rsidRPr="002D2EF2" w:rsidRDefault="00CA5605" w:rsidP="00CA5605">
            <w:pPr>
              <w:pStyle w:val="Tabletextheading"/>
              <w:rPr>
                <w:rFonts w:eastAsiaTheme="minorEastAsia"/>
                <w:color w:val="FFFFFF"/>
                <w:lang w:eastAsia="en-AU"/>
              </w:rPr>
            </w:pPr>
            <w:r w:rsidRPr="002D2EF2">
              <w:rPr>
                <w:rFonts w:eastAsiaTheme="minorEastAsia"/>
                <w:color w:val="FFFFFF"/>
                <w:lang w:eastAsia="en-AU"/>
              </w:rPr>
              <w:t>2014-15</w:t>
            </w:r>
            <w:r>
              <w:rPr>
                <w:rFonts w:eastAsiaTheme="minorEastAsia"/>
                <w:color w:val="FFFFFF"/>
                <w:lang w:eastAsia="en-AU"/>
              </w:rPr>
              <w:t xml:space="preserve"> </w:t>
            </w:r>
            <w:r w:rsidRPr="002D2EF2">
              <w:rPr>
                <w:rFonts w:eastAsiaTheme="minorEastAsia"/>
                <w:color w:val="FFFFFF"/>
                <w:lang w:eastAsia="en-AU"/>
              </w:rPr>
              <w:t>revised</w:t>
            </w:r>
          </w:p>
        </w:tc>
        <w:tc>
          <w:tcPr>
            <w:tcW w:w="1040" w:type="dxa"/>
            <w:tcBorders>
              <w:top w:val="single" w:sz="6" w:space="0" w:color="auto"/>
              <w:left w:val="nil"/>
              <w:right w:val="nil"/>
            </w:tcBorders>
            <w:shd w:val="clear" w:color="000000" w:fill="000000"/>
          </w:tcPr>
          <w:p w:rsidR="00CA5605" w:rsidRPr="002D2EF2" w:rsidRDefault="00CA5605" w:rsidP="00CA5605">
            <w:pPr>
              <w:pStyle w:val="Tabletextheading"/>
              <w:rPr>
                <w:rFonts w:eastAsiaTheme="minorEastAsia"/>
                <w:color w:val="FFFFFF"/>
                <w:lang w:eastAsia="en-AU"/>
              </w:rPr>
            </w:pPr>
            <w:r w:rsidRPr="002D2EF2">
              <w:rPr>
                <w:rFonts w:eastAsiaTheme="minorEastAsia"/>
                <w:color w:val="FFFFFF"/>
                <w:lang w:eastAsia="en-AU"/>
              </w:rPr>
              <w:t>2015-16</w:t>
            </w:r>
            <w:r>
              <w:rPr>
                <w:rFonts w:eastAsiaTheme="minorEastAsia"/>
                <w:color w:val="FFFFFF"/>
                <w:lang w:eastAsia="en-AU"/>
              </w:rPr>
              <w:t xml:space="preserve"> </w:t>
            </w:r>
            <w:r w:rsidRPr="002D2EF2">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CA5605" w:rsidRPr="002D2EF2" w:rsidRDefault="00CA5605" w:rsidP="00016914">
            <w:pPr>
              <w:pStyle w:val="Tabletextheading"/>
              <w:rPr>
                <w:rFonts w:eastAsiaTheme="minorEastAsia"/>
                <w:color w:val="FFFFFF"/>
                <w:lang w:eastAsia="en-AU"/>
              </w:rPr>
            </w:pPr>
            <w:r w:rsidRPr="002D2EF2">
              <w:rPr>
                <w:rFonts w:eastAsiaTheme="minorEastAsia"/>
                <w:color w:val="FFFFFF"/>
                <w:lang w:eastAsia="en-AU"/>
              </w:rPr>
              <w:t>Change</w:t>
            </w:r>
          </w:p>
          <w:p w:rsidR="00CA5605" w:rsidRPr="002D2EF2" w:rsidRDefault="00CA5605" w:rsidP="00CA5605">
            <w:pPr>
              <w:pStyle w:val="Tabletextheading"/>
              <w:rPr>
                <w:rFonts w:eastAsiaTheme="minorEastAsia"/>
                <w:color w:val="FFFFFF"/>
                <w:lang w:eastAsia="en-AU"/>
              </w:rPr>
            </w:pPr>
            <w:r w:rsidRPr="002D2EF2">
              <w:rPr>
                <w:rFonts w:eastAsiaTheme="minorEastAsia"/>
                <w:color w:val="FFFFFF"/>
                <w:lang w:eastAsia="en-AU"/>
              </w:rPr>
              <w:t>%</w:t>
            </w:r>
            <w:r w:rsidRPr="002D2EF2">
              <w:rPr>
                <w:rFonts w:eastAsiaTheme="minorEastAsia"/>
                <w:color w:val="FFFFFF"/>
                <w:vertAlign w:val="superscript"/>
                <w:lang w:eastAsia="en-AU"/>
              </w:rPr>
              <w:t>(a)</w:t>
            </w:r>
          </w:p>
        </w:tc>
      </w:tr>
      <w:tr w:rsidR="00CA5605" w:rsidRPr="002D2EF2" w:rsidTr="001037D3">
        <w:trPr>
          <w:cantSplit/>
        </w:trPr>
        <w:tc>
          <w:tcPr>
            <w:tcW w:w="7760" w:type="dxa"/>
            <w:gridSpan w:val="4"/>
            <w:tcBorders>
              <w:top w:val="single" w:sz="6" w:space="0" w:color="auto"/>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b/>
                <w:sz w:val="20"/>
                <w:lang w:eastAsia="en-AU"/>
              </w:rPr>
            </w:pPr>
            <w:r w:rsidRPr="002D2EF2">
              <w:rPr>
                <w:rFonts w:ascii="Calibri" w:eastAsiaTheme="minorEastAsia" w:hAnsi="Calibri" w:cs="Calibri"/>
                <w:b/>
                <w:bCs/>
                <w:sz w:val="20"/>
                <w:lang w:eastAsia="en-AU"/>
              </w:rPr>
              <w:t>National Partnerships</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i/>
                <w:sz w:val="20"/>
                <w:lang w:eastAsia="en-AU"/>
              </w:rPr>
            </w:pPr>
            <w:r w:rsidRPr="002D2EF2">
              <w:rPr>
                <w:rFonts w:ascii="Calibri" w:eastAsiaTheme="minorEastAsia" w:hAnsi="Calibri" w:cs="Calibri"/>
                <w:i/>
                <w:iCs/>
                <w:sz w:val="20"/>
                <w:lang w:eastAsia="en-AU"/>
              </w:rPr>
              <w:t>Water for the Future</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This represents a long-term Commonwealth initiative to better balance the water needs of communities, farmers and the environment. It contains a suite of urban and rural policies and programs, including significant funding for water purchasing, irrigation modernisation, desalination, recycling and stormwater capture.</w:t>
            </w:r>
          </w:p>
        </w:tc>
      </w:tr>
      <w:tr w:rsidR="00B03921" w:rsidRPr="002D2EF2" w:rsidTr="001037D3">
        <w:trPr>
          <w:cantSplit/>
        </w:trPr>
        <w:tc>
          <w:tcPr>
            <w:tcW w:w="46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59.6</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66.0</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10.9</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i/>
                <w:sz w:val="20"/>
                <w:lang w:eastAsia="en-AU"/>
              </w:rPr>
            </w:pPr>
            <w:r w:rsidRPr="002D2EF2">
              <w:rPr>
                <w:rFonts w:ascii="Calibri" w:eastAsiaTheme="minorEastAsia" w:hAnsi="Calibri" w:cs="Calibri"/>
                <w:i/>
                <w:iCs/>
                <w:sz w:val="20"/>
                <w:lang w:eastAsia="en-AU"/>
              </w:rPr>
              <w:t>Goulburn-Murray Water Connections Project Trust</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Funding for the Goulburn-Murray Connections Project to modernise, upgrade and improve the efficiency of the irrigation network in Northern Victoria.</w:t>
            </w:r>
          </w:p>
        </w:tc>
      </w:tr>
      <w:tr w:rsidR="00B03921" w:rsidRPr="002D2EF2" w:rsidTr="001037D3">
        <w:trPr>
          <w:cantSplit/>
        </w:trPr>
        <w:tc>
          <w:tcPr>
            <w:tcW w:w="46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179.9</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211.0</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17.3</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b/>
                <w:sz w:val="20"/>
                <w:lang w:eastAsia="en-AU"/>
              </w:rPr>
            </w:pPr>
            <w:r w:rsidRPr="002D2EF2">
              <w:rPr>
                <w:rFonts w:ascii="Calibri" w:eastAsiaTheme="minorEastAsia" w:hAnsi="Calibri" w:cs="Calibri"/>
                <w:b/>
                <w:bCs/>
                <w:sz w:val="20"/>
                <w:lang w:eastAsia="en-AU"/>
              </w:rPr>
              <w:t>Other payments to the State</w:t>
            </w:r>
          </w:p>
        </w:tc>
      </w:tr>
      <w:tr w:rsidR="00CA5605" w:rsidRPr="002D2EF2" w:rsidTr="001037D3">
        <w:trPr>
          <w:cantSplit/>
        </w:trPr>
        <w:tc>
          <w:tcPr>
            <w:tcW w:w="7760"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i/>
                <w:sz w:val="20"/>
                <w:lang w:eastAsia="en-AU"/>
              </w:rPr>
            </w:pPr>
            <w:r w:rsidRPr="002D2EF2">
              <w:rPr>
                <w:rFonts w:ascii="Calibri" w:eastAsiaTheme="minorEastAsia" w:hAnsi="Calibri" w:cs="Calibri"/>
                <w:i/>
                <w:iCs/>
                <w:sz w:val="20"/>
                <w:lang w:eastAsia="en-AU"/>
              </w:rPr>
              <w:t>National Landcare Programme Regional Allocations</w:t>
            </w:r>
            <w:r w:rsidRPr="002D2EF2">
              <w:rPr>
                <w:rFonts w:ascii="Calibri" w:eastAsiaTheme="minorEastAsia" w:hAnsi="Calibri" w:cs="Calibri"/>
                <w:i/>
                <w:sz w:val="20"/>
                <w:lang w:eastAsia="en-AU"/>
              </w:rPr>
              <w:t xml:space="preserve"> </w:t>
            </w:r>
          </w:p>
        </w:tc>
      </w:tr>
      <w:tr w:rsidR="00CA5605" w:rsidRPr="002D2EF2" w:rsidTr="001037D3">
        <w:trPr>
          <w:cantSplit/>
        </w:trPr>
        <w:tc>
          <w:tcPr>
            <w:tcW w:w="7758" w:type="dxa"/>
            <w:gridSpan w:val="4"/>
            <w:tcBorders>
              <w:top w:val="nil"/>
              <w:left w:val="nil"/>
              <w:bottom w:val="nil"/>
              <w:right w:val="nil"/>
            </w:tcBorders>
          </w:tcPr>
          <w:p w:rsidR="00CA5605" w:rsidRPr="002D2EF2" w:rsidRDefault="00CA5605" w:rsidP="00CA5605">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Funding to help communities, farmers and other land managers p</w:t>
            </w:r>
            <w:r>
              <w:rPr>
                <w:rFonts w:ascii="Calibri" w:eastAsiaTheme="minorEastAsia" w:hAnsi="Calibri" w:cs="Calibri"/>
                <w:sz w:val="20"/>
                <w:lang w:eastAsia="en-AU"/>
              </w:rPr>
              <w:t>rotect the natural environment.</w:t>
            </w:r>
          </w:p>
        </w:tc>
      </w:tr>
      <w:tr w:rsidR="00B03921" w:rsidRPr="002D2EF2" w:rsidTr="001037D3">
        <w:trPr>
          <w:cantSplit/>
        </w:trPr>
        <w:tc>
          <w:tcPr>
            <w:tcW w:w="4640" w:type="dxa"/>
            <w:tcBorders>
              <w:top w:val="nil"/>
              <w:left w:val="nil"/>
              <w:bottom w:val="single" w:sz="12" w:space="0" w:color="auto"/>
              <w:right w:val="nil"/>
            </w:tcBorders>
          </w:tcPr>
          <w:p w:rsidR="00B03921" w:rsidRPr="002D2EF2" w:rsidRDefault="00B03921" w:rsidP="00016914">
            <w:pPr>
              <w:autoSpaceDE w:val="0"/>
              <w:autoSpaceDN w:val="0"/>
              <w:adjustRightInd w:val="0"/>
              <w:spacing w:after="0"/>
              <w:rPr>
                <w:rFonts w:ascii="Calibri" w:eastAsiaTheme="minorEastAsia" w:hAnsi="Calibri" w:cs="Calibri"/>
                <w:sz w:val="20"/>
                <w:lang w:eastAsia="en-AU"/>
              </w:rPr>
            </w:pPr>
            <w:r w:rsidRPr="002D2EF2">
              <w:rPr>
                <w:rFonts w:ascii="Calibri" w:eastAsiaTheme="minorEastAsia" w:hAnsi="Calibri" w:cs="Calibri"/>
                <w:sz w:val="20"/>
                <w:lang w:eastAsia="en-AU"/>
              </w:rPr>
              <w:t xml:space="preserve"> </w:t>
            </w:r>
          </w:p>
        </w:tc>
        <w:tc>
          <w:tcPr>
            <w:tcW w:w="1040" w:type="dxa"/>
            <w:tcBorders>
              <w:top w:val="nil"/>
              <w:left w:val="nil"/>
              <w:bottom w:val="single" w:sz="12"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26.0</w:t>
            </w:r>
          </w:p>
        </w:tc>
        <w:tc>
          <w:tcPr>
            <w:tcW w:w="1040" w:type="dxa"/>
            <w:tcBorders>
              <w:top w:val="nil"/>
              <w:left w:val="nil"/>
              <w:bottom w:val="single" w:sz="12"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 xml:space="preserve"> 19.9</w:t>
            </w:r>
          </w:p>
        </w:tc>
        <w:tc>
          <w:tcPr>
            <w:tcW w:w="1040" w:type="dxa"/>
            <w:tcBorders>
              <w:top w:val="nil"/>
              <w:left w:val="nil"/>
              <w:bottom w:val="single" w:sz="12"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sz w:val="20"/>
                <w:lang w:eastAsia="en-AU"/>
              </w:rPr>
            </w:pPr>
            <w:r w:rsidRPr="002D2EF2">
              <w:rPr>
                <w:rFonts w:ascii="Calibri" w:eastAsiaTheme="minorEastAsia" w:hAnsi="Calibri" w:cs="Calibri"/>
                <w:sz w:val="20"/>
                <w:lang w:eastAsia="en-AU"/>
              </w:rPr>
              <w:t>(23.3)</w:t>
            </w:r>
          </w:p>
        </w:tc>
      </w:tr>
      <w:tr w:rsidR="00B03921" w:rsidRPr="002D2EF2" w:rsidTr="001037D3">
        <w:trPr>
          <w:cantSplit/>
        </w:trPr>
        <w:tc>
          <w:tcPr>
            <w:tcW w:w="46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rPr>
                <w:rFonts w:ascii="Calibri" w:eastAsiaTheme="minorEastAsia" w:hAnsi="Calibri" w:cs="Calibri"/>
                <w:b/>
                <w:bCs/>
                <w:sz w:val="20"/>
                <w:lang w:eastAsia="en-AU"/>
              </w:rPr>
            </w:pPr>
            <w:r w:rsidRPr="002D2EF2">
              <w:rPr>
                <w:rFonts w:ascii="Calibri" w:eastAsiaTheme="minorEastAsia" w:hAnsi="Calibri" w:cs="Calibri"/>
                <w:b/>
                <w:bCs/>
                <w:sz w:val="20"/>
                <w:lang w:eastAsia="en-AU"/>
              </w:rPr>
              <w:t>Other</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 xml:space="preserve"> 20.5</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 xml:space="preserve"> 21.3</w:t>
            </w:r>
          </w:p>
        </w:tc>
        <w:tc>
          <w:tcPr>
            <w:tcW w:w="1040" w:type="dxa"/>
            <w:tcBorders>
              <w:top w:val="nil"/>
              <w:left w:val="nil"/>
              <w:bottom w:val="single" w:sz="6" w:space="0" w:color="auto"/>
              <w:right w:val="nil"/>
            </w:tcBorders>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4.2</w:t>
            </w:r>
          </w:p>
        </w:tc>
      </w:tr>
      <w:tr w:rsidR="00B03921" w:rsidRPr="002D2EF2" w:rsidTr="001037D3">
        <w:trPr>
          <w:cantSplit/>
        </w:trPr>
        <w:tc>
          <w:tcPr>
            <w:tcW w:w="4640" w:type="dxa"/>
            <w:tcBorders>
              <w:top w:val="single" w:sz="6" w:space="0" w:color="auto"/>
              <w:left w:val="nil"/>
              <w:bottom w:val="single" w:sz="12" w:space="0" w:color="000000"/>
              <w:right w:val="nil"/>
            </w:tcBorders>
            <w:shd w:val="clear" w:color="auto" w:fill="auto"/>
          </w:tcPr>
          <w:p w:rsidR="00B03921" w:rsidRPr="002D2EF2" w:rsidRDefault="00B03921" w:rsidP="00016914">
            <w:pPr>
              <w:autoSpaceDE w:val="0"/>
              <w:autoSpaceDN w:val="0"/>
              <w:adjustRightInd w:val="0"/>
              <w:spacing w:after="0"/>
              <w:rPr>
                <w:rFonts w:ascii="Calibri" w:eastAsiaTheme="minorEastAsia" w:hAnsi="Calibri" w:cs="Calibri"/>
                <w:b/>
                <w:bCs/>
                <w:sz w:val="20"/>
                <w:lang w:eastAsia="en-AU"/>
              </w:rPr>
            </w:pPr>
            <w:r w:rsidRPr="002D2EF2">
              <w:rPr>
                <w:rFonts w:ascii="Calibri" w:eastAsiaTheme="minorEastAsia" w:hAnsi="Calibri" w:cs="Calibri"/>
                <w:b/>
                <w:bCs/>
                <w:sz w:val="20"/>
                <w:lang w:eastAsia="en-AU"/>
              </w:rPr>
              <w:t>Total environment services</w:t>
            </w:r>
          </w:p>
        </w:tc>
        <w:tc>
          <w:tcPr>
            <w:tcW w:w="1040" w:type="dxa"/>
            <w:tcBorders>
              <w:top w:val="single" w:sz="6" w:space="0" w:color="auto"/>
              <w:left w:val="nil"/>
              <w:bottom w:val="single" w:sz="12" w:space="0" w:color="000000"/>
              <w:right w:val="nil"/>
            </w:tcBorders>
            <w:shd w:val="clear" w:color="auto" w:fill="auto"/>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 xml:space="preserve"> 285.9</w:t>
            </w:r>
          </w:p>
        </w:tc>
        <w:tc>
          <w:tcPr>
            <w:tcW w:w="1040" w:type="dxa"/>
            <w:tcBorders>
              <w:top w:val="single" w:sz="6" w:space="0" w:color="auto"/>
              <w:left w:val="nil"/>
              <w:bottom w:val="single" w:sz="12" w:space="0" w:color="000000"/>
              <w:right w:val="nil"/>
            </w:tcBorders>
            <w:shd w:val="clear" w:color="auto" w:fill="auto"/>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 xml:space="preserve"> 318.3</w:t>
            </w:r>
          </w:p>
        </w:tc>
        <w:tc>
          <w:tcPr>
            <w:tcW w:w="1040" w:type="dxa"/>
            <w:tcBorders>
              <w:top w:val="single" w:sz="6" w:space="0" w:color="auto"/>
              <w:left w:val="nil"/>
              <w:bottom w:val="single" w:sz="12" w:space="0" w:color="000000"/>
              <w:right w:val="nil"/>
            </w:tcBorders>
            <w:shd w:val="clear" w:color="auto" w:fill="auto"/>
          </w:tcPr>
          <w:p w:rsidR="00B03921" w:rsidRPr="002D2EF2" w:rsidRDefault="00B03921" w:rsidP="00016914">
            <w:pPr>
              <w:autoSpaceDE w:val="0"/>
              <w:autoSpaceDN w:val="0"/>
              <w:adjustRightInd w:val="0"/>
              <w:spacing w:after="0"/>
              <w:jc w:val="right"/>
              <w:rPr>
                <w:rFonts w:ascii="Calibri" w:eastAsiaTheme="minorEastAsia" w:hAnsi="Calibri" w:cs="Calibri"/>
                <w:b/>
                <w:bCs/>
                <w:sz w:val="20"/>
                <w:lang w:eastAsia="en-AU"/>
              </w:rPr>
            </w:pPr>
            <w:r w:rsidRPr="002D2EF2">
              <w:rPr>
                <w:rFonts w:ascii="Calibri" w:eastAsiaTheme="minorEastAsia" w:hAnsi="Calibri" w:cs="Calibri"/>
                <w:b/>
                <w:bCs/>
                <w:sz w:val="20"/>
                <w:lang w:eastAsia="en-AU"/>
              </w:rPr>
              <w:t>11.3</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3B24E9" w:rsidRDefault="00B03921" w:rsidP="00016914">
      <w:pPr>
        <w:pStyle w:val="Notes"/>
      </w:pPr>
      <w:r w:rsidRPr="003B24E9">
        <w:t xml:space="preserve">(a) </w:t>
      </w:r>
      <w:r>
        <w:tab/>
      </w:r>
      <w:r w:rsidRPr="003B24E9">
        <w:t xml:space="preserve">Per </w:t>
      </w:r>
      <w:r>
        <w:t>cent change between</w:t>
      </w:r>
      <w:r w:rsidRPr="003B24E9">
        <w:t xml:space="preserve"> 201</w:t>
      </w:r>
      <w:r>
        <w:t>4</w:t>
      </w:r>
      <w:r w:rsidRPr="003B24E9">
        <w:t>-1</w:t>
      </w:r>
      <w:r>
        <w:t>5</w:t>
      </w:r>
      <w:r w:rsidRPr="003B24E9">
        <w:t xml:space="preserve"> and 201</w:t>
      </w:r>
      <w:r>
        <w:t>5</w:t>
      </w:r>
      <w:r w:rsidRPr="003B24E9">
        <w:t>-1</w:t>
      </w:r>
      <w:r>
        <w:t>6</w:t>
      </w:r>
      <w:r w:rsidRPr="003B24E9">
        <w:t>.</w:t>
      </w:r>
    </w:p>
    <w:p w:rsidR="00B03921" w:rsidRDefault="00B03921" w:rsidP="00016914">
      <w:pPr>
        <w:spacing w:after="0"/>
        <w:rPr>
          <w:rFonts w:ascii="Calibri" w:hAnsi="Calibri"/>
          <w:b/>
        </w:rPr>
      </w:pPr>
      <w:r>
        <w:br w:type="page"/>
      </w:r>
    </w:p>
    <w:p w:rsidR="00B03921" w:rsidRDefault="00B03921" w:rsidP="00016914">
      <w:pPr>
        <w:pStyle w:val="Tableheading"/>
      </w:pPr>
      <w:r>
        <w:t>Table 4.11:</w:t>
      </w:r>
      <w:r>
        <w:tab/>
        <w:t>Payments for health services</w:t>
      </w:r>
    </w:p>
    <w:p w:rsidR="00B03921" w:rsidRDefault="00B03921" w:rsidP="00016914">
      <w:pPr>
        <w:pStyle w:val="million"/>
        <w:rPr>
          <w:rFonts w:ascii="Times New Roman" w:hAnsi="Times New Roman"/>
          <w:i w:val="0"/>
          <w:sz w:val="20"/>
          <w:szCs w:val="20"/>
          <w:lang w:eastAsia="en-AU"/>
        </w:rPr>
      </w:pPr>
      <w:r>
        <w:t>($ million)</w:t>
      </w:r>
    </w:p>
    <w:tbl>
      <w:tblPr>
        <w:tblW w:w="7758" w:type="dxa"/>
        <w:tblInd w:w="28" w:type="dxa"/>
        <w:tblLayout w:type="fixed"/>
        <w:tblCellMar>
          <w:left w:w="45" w:type="dxa"/>
          <w:right w:w="45" w:type="dxa"/>
        </w:tblCellMar>
        <w:tblLook w:val="0000" w:firstRow="0" w:lastRow="0" w:firstColumn="0" w:lastColumn="0" w:noHBand="0" w:noVBand="0"/>
      </w:tblPr>
      <w:tblGrid>
        <w:gridCol w:w="4638"/>
        <w:gridCol w:w="1040"/>
        <w:gridCol w:w="1040"/>
        <w:gridCol w:w="1040"/>
      </w:tblGrid>
      <w:tr w:rsidR="001037D3" w:rsidRPr="00AB5B49" w:rsidTr="001037D3">
        <w:trPr>
          <w:cantSplit/>
          <w:trHeight w:val="503"/>
          <w:tblHeader/>
        </w:trPr>
        <w:tc>
          <w:tcPr>
            <w:tcW w:w="4638" w:type="dxa"/>
            <w:tcBorders>
              <w:top w:val="single" w:sz="6" w:space="0" w:color="auto"/>
              <w:left w:val="single" w:sz="6" w:space="0" w:color="auto"/>
              <w:right w:val="nil"/>
            </w:tcBorders>
            <w:shd w:val="clear" w:color="000000" w:fill="000000"/>
          </w:tcPr>
          <w:p w:rsidR="001037D3" w:rsidRPr="00AB5B49" w:rsidRDefault="001037D3" w:rsidP="00016914">
            <w:pPr>
              <w:pStyle w:val="Tabletextheading"/>
              <w:rPr>
                <w:rFonts w:eastAsiaTheme="minorEastAsia"/>
                <w:color w:val="FFFFFF"/>
                <w:lang w:eastAsia="en-AU"/>
              </w:rPr>
            </w:pPr>
            <w:r w:rsidRPr="00AB5B49">
              <w:rPr>
                <w:rFonts w:eastAsiaTheme="minorEastAsia"/>
                <w:color w:val="FFFFFF"/>
                <w:lang w:eastAsia="en-AU"/>
              </w:rPr>
              <w:t xml:space="preserve"> </w:t>
            </w:r>
          </w:p>
          <w:p w:rsidR="001037D3" w:rsidRPr="00AB5B49" w:rsidRDefault="001037D3" w:rsidP="00016914">
            <w:pPr>
              <w:pStyle w:val="Tabletextheading"/>
              <w:rPr>
                <w:rFonts w:eastAsiaTheme="minorEastAsia"/>
                <w:color w:val="FFFFFF"/>
                <w:lang w:eastAsia="en-AU"/>
              </w:rPr>
            </w:pPr>
            <w:r w:rsidRPr="00AB5B49">
              <w:rPr>
                <w:rFonts w:eastAsiaTheme="minorEastAsia"/>
                <w:color w:val="FFFFFF"/>
                <w:lang w:eastAsia="en-AU"/>
              </w:rPr>
              <w:t xml:space="preserve"> </w:t>
            </w:r>
          </w:p>
        </w:tc>
        <w:tc>
          <w:tcPr>
            <w:tcW w:w="1040" w:type="dxa"/>
            <w:tcBorders>
              <w:top w:val="single" w:sz="6" w:space="0" w:color="auto"/>
              <w:left w:val="nil"/>
              <w:right w:val="nil"/>
            </w:tcBorders>
            <w:shd w:val="clear" w:color="000000" w:fill="000000"/>
          </w:tcPr>
          <w:p w:rsidR="001037D3" w:rsidRPr="00AB5B49" w:rsidRDefault="001037D3" w:rsidP="001037D3">
            <w:pPr>
              <w:pStyle w:val="Tabletextheading"/>
              <w:rPr>
                <w:rFonts w:eastAsiaTheme="minorEastAsia"/>
                <w:color w:val="FFFFFF"/>
                <w:lang w:eastAsia="en-AU"/>
              </w:rPr>
            </w:pPr>
            <w:r w:rsidRPr="00AB5B49">
              <w:rPr>
                <w:rFonts w:eastAsiaTheme="minorEastAsia"/>
                <w:color w:val="FFFFFF"/>
                <w:lang w:eastAsia="en-AU"/>
              </w:rPr>
              <w:t>2014-15</w:t>
            </w:r>
            <w:r>
              <w:rPr>
                <w:rFonts w:eastAsiaTheme="minorEastAsia"/>
                <w:color w:val="FFFFFF"/>
                <w:lang w:eastAsia="en-AU"/>
              </w:rPr>
              <w:t xml:space="preserve"> </w:t>
            </w:r>
            <w:r w:rsidRPr="00AB5B49">
              <w:rPr>
                <w:rFonts w:eastAsiaTheme="minorEastAsia"/>
                <w:color w:val="FFFFFF"/>
                <w:lang w:eastAsia="en-AU"/>
              </w:rPr>
              <w:t>revised</w:t>
            </w:r>
          </w:p>
        </w:tc>
        <w:tc>
          <w:tcPr>
            <w:tcW w:w="1040" w:type="dxa"/>
            <w:tcBorders>
              <w:top w:val="single" w:sz="6" w:space="0" w:color="auto"/>
              <w:left w:val="nil"/>
              <w:right w:val="nil"/>
            </w:tcBorders>
            <w:shd w:val="clear" w:color="000000" w:fill="000000"/>
          </w:tcPr>
          <w:p w:rsidR="001037D3" w:rsidRPr="00AB5B49" w:rsidRDefault="001037D3" w:rsidP="001037D3">
            <w:pPr>
              <w:pStyle w:val="Tabletextheading"/>
              <w:rPr>
                <w:rFonts w:eastAsiaTheme="minorEastAsia"/>
                <w:color w:val="FFFFFF"/>
                <w:lang w:eastAsia="en-AU"/>
              </w:rPr>
            </w:pPr>
            <w:r w:rsidRPr="00AB5B49">
              <w:rPr>
                <w:rFonts w:eastAsiaTheme="minorEastAsia"/>
                <w:color w:val="FFFFFF"/>
                <w:lang w:eastAsia="en-AU"/>
              </w:rPr>
              <w:t>2015-16</w:t>
            </w:r>
            <w:r>
              <w:rPr>
                <w:rFonts w:eastAsiaTheme="minorEastAsia"/>
                <w:color w:val="FFFFFF"/>
                <w:lang w:eastAsia="en-AU"/>
              </w:rPr>
              <w:t xml:space="preserve"> </w:t>
            </w:r>
            <w:r w:rsidRPr="00AB5B49">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1037D3" w:rsidRPr="00AB5B49" w:rsidRDefault="001037D3" w:rsidP="001037D3">
            <w:pPr>
              <w:pStyle w:val="Tabletextheading"/>
              <w:rPr>
                <w:rFonts w:eastAsiaTheme="minorEastAsia"/>
                <w:color w:val="FFFFFF"/>
                <w:lang w:eastAsia="en-AU"/>
              </w:rPr>
            </w:pPr>
            <w:r w:rsidRPr="00AB5B49">
              <w:rPr>
                <w:rFonts w:eastAsiaTheme="minorEastAsia"/>
                <w:color w:val="FFFFFF"/>
                <w:lang w:eastAsia="en-AU"/>
              </w:rPr>
              <w:t>Change</w:t>
            </w:r>
            <w:r>
              <w:rPr>
                <w:rFonts w:eastAsiaTheme="minorEastAsia"/>
                <w:color w:val="FFFFFF"/>
                <w:lang w:eastAsia="en-AU"/>
              </w:rPr>
              <w:br/>
            </w:r>
            <w:r w:rsidRPr="00AB5B49">
              <w:rPr>
                <w:rFonts w:eastAsiaTheme="minorEastAsia"/>
                <w:color w:val="FFFFFF"/>
                <w:lang w:eastAsia="en-AU"/>
              </w:rPr>
              <w:t>%</w:t>
            </w:r>
            <w:r w:rsidRPr="00AB5B49">
              <w:rPr>
                <w:rFonts w:eastAsiaTheme="minorEastAsia"/>
                <w:color w:val="FFFFFF"/>
                <w:vertAlign w:val="superscript"/>
                <w:lang w:eastAsia="en-AU"/>
              </w:rPr>
              <w:t>(a)</w:t>
            </w:r>
          </w:p>
        </w:tc>
      </w:tr>
      <w:tr w:rsidR="001037D3" w:rsidRPr="00AB5B49" w:rsidTr="001037D3">
        <w:trPr>
          <w:cantSplit/>
        </w:trPr>
        <w:tc>
          <w:tcPr>
            <w:tcW w:w="7758" w:type="dxa"/>
            <w:gridSpan w:val="4"/>
            <w:tcBorders>
              <w:top w:val="single" w:sz="6" w:space="0" w:color="auto"/>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b/>
                <w:sz w:val="20"/>
                <w:lang w:eastAsia="en-AU"/>
              </w:rPr>
            </w:pPr>
            <w:r w:rsidRPr="00AB5B49">
              <w:rPr>
                <w:rFonts w:ascii="Calibri" w:eastAsiaTheme="minorEastAsia" w:hAnsi="Calibri" w:cs="Calibri"/>
                <w:b/>
                <w:bCs/>
                <w:sz w:val="20"/>
                <w:lang w:eastAsia="en-AU"/>
              </w:rPr>
              <w:t>National Health Reform Agreement</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The National Health Reform Agreement sets out the shared intention of the Commonwealth, state and territory governments to work in partnership for all Australians and ensure the sustainability of the Australian health system.</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3 829.1</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4 069.4</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6.3</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b/>
                <w:sz w:val="20"/>
                <w:lang w:eastAsia="en-AU"/>
              </w:rPr>
            </w:pPr>
            <w:r w:rsidRPr="00AB5B49">
              <w:rPr>
                <w:rFonts w:ascii="Calibri" w:eastAsiaTheme="minorEastAsia" w:hAnsi="Calibri" w:cs="Calibri"/>
                <w:b/>
                <w:bCs/>
                <w:sz w:val="20"/>
                <w:lang w:eastAsia="en-AU"/>
              </w:rPr>
              <w:t>National Partnerships</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Essential Vaccines</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Funding is provided to the </w:t>
            </w:r>
            <w:r w:rsidRPr="00AB5B49">
              <w:rPr>
                <w:rFonts w:ascii="Calibri" w:eastAsiaTheme="minorEastAsia" w:hAnsi="Calibri" w:cs="Calibri"/>
                <w:i/>
                <w:iCs/>
                <w:sz w:val="20"/>
                <w:lang w:eastAsia="en-AU"/>
              </w:rPr>
              <w:t>Essential Vaccines Program</w:t>
            </w:r>
            <w:r w:rsidRPr="00AB5B49">
              <w:rPr>
                <w:rFonts w:ascii="Calibri" w:eastAsiaTheme="minorEastAsia" w:hAnsi="Calibri" w:cs="Calibri"/>
                <w:sz w:val="20"/>
                <w:lang w:eastAsia="en-AU"/>
              </w:rPr>
              <w:t xml:space="preserve"> to deliver immunisation programs, reducing the incidence of vaccine preventable diseases.</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60.1</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37.3</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(37.9)</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Victorian Comprehensive Cancer Centre</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to develop the Victorian Comprehensive Cancer Centre. The Centre will drive innovation in cancer treatment and research.</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67.0</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50.0</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(25.4)</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Treating More Public Dental Patients</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for public dental services to Victorians on public dental waiting lists.</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31.9</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(100.0)</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Aged Care Assessment</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for the Aged Care Assessment Program to assess the needs of frail, older people and assist them to gain access to the most appropriate types of health and aged care.</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26.0</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27.9</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7.5</w:t>
            </w:r>
          </w:p>
        </w:tc>
      </w:tr>
      <w:tr w:rsidR="00B03921" w:rsidRPr="00AB5B49" w:rsidTr="001037D3">
        <w:trPr>
          <w:cantSplit/>
        </w:trPr>
        <w:tc>
          <w:tcPr>
            <w:tcW w:w="4638" w:type="dxa"/>
            <w:tcBorders>
              <w:top w:val="nil"/>
              <w:left w:val="nil"/>
              <w:bottom w:val="nil"/>
              <w:right w:val="nil"/>
            </w:tcBorders>
          </w:tcPr>
          <w:p w:rsidR="00B03921" w:rsidRPr="00AB5B49" w:rsidRDefault="00B03921" w:rsidP="00016914">
            <w:pPr>
              <w:autoSpaceDE w:val="0"/>
              <w:autoSpaceDN w:val="0"/>
              <w:adjustRightInd w:val="0"/>
              <w:spacing w:after="0"/>
              <w:rPr>
                <w:rFonts w:ascii="Calibri" w:eastAsiaTheme="minorEastAsia" w:hAnsi="Calibri" w:cs="Calibri"/>
                <w:i/>
                <w:iCs/>
                <w:sz w:val="20"/>
                <w:lang w:eastAsia="en-AU"/>
              </w:rPr>
            </w:pPr>
            <w:r w:rsidRPr="00AB5B49">
              <w:rPr>
                <w:rFonts w:ascii="Calibri" w:eastAsiaTheme="minorEastAsia" w:hAnsi="Calibri" w:cs="Calibri"/>
                <w:i/>
                <w:iCs/>
                <w:sz w:val="20"/>
                <w:lang w:eastAsia="en-AU"/>
              </w:rPr>
              <w:t>Victorian Cytology Service</w:t>
            </w:r>
          </w:p>
        </w:tc>
        <w:tc>
          <w:tcPr>
            <w:tcW w:w="1040" w:type="dxa"/>
            <w:tcBorders>
              <w:top w:val="nil"/>
              <w:left w:val="nil"/>
              <w:bottom w:val="nil"/>
              <w:right w:val="nil"/>
            </w:tcBorders>
          </w:tcPr>
          <w:p w:rsidR="00B03921" w:rsidRPr="00AB5B49" w:rsidRDefault="00B03921" w:rsidP="00016914">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sz w:val="20"/>
                <w:lang w:eastAsia="en-AU"/>
              </w:rPr>
              <w:t xml:space="preserve"> </w:t>
            </w:r>
          </w:p>
        </w:tc>
        <w:tc>
          <w:tcPr>
            <w:tcW w:w="1040" w:type="dxa"/>
            <w:tcBorders>
              <w:top w:val="nil"/>
              <w:left w:val="nil"/>
              <w:bottom w:val="nil"/>
              <w:right w:val="nil"/>
            </w:tcBorders>
          </w:tcPr>
          <w:p w:rsidR="00B03921" w:rsidRPr="00AB5B49" w:rsidRDefault="00B03921" w:rsidP="00016914">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sz w:val="20"/>
                <w:lang w:eastAsia="en-AU"/>
              </w:rPr>
              <w:t xml:space="preserve"> </w:t>
            </w:r>
          </w:p>
        </w:tc>
        <w:tc>
          <w:tcPr>
            <w:tcW w:w="1040" w:type="dxa"/>
            <w:tcBorders>
              <w:top w:val="nil"/>
              <w:left w:val="nil"/>
              <w:bottom w:val="nil"/>
              <w:right w:val="nil"/>
            </w:tcBorders>
          </w:tcPr>
          <w:p w:rsidR="00B03921" w:rsidRPr="00AB5B49" w:rsidRDefault="00B03921" w:rsidP="00016914">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sz w:val="20"/>
                <w:lang w:eastAsia="en-AU"/>
              </w:rPr>
              <w:t xml:space="preserve"> </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for the Victorian Cytology Service to prevent morbidity and mortality from cervical cancer amongst Victorian women.</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8.9</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9.4</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5.1</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b/>
                <w:sz w:val="20"/>
                <w:lang w:eastAsia="en-AU"/>
              </w:rPr>
            </w:pPr>
            <w:r w:rsidRPr="00AB5B49">
              <w:rPr>
                <w:rFonts w:ascii="Calibri" w:eastAsiaTheme="minorEastAsia" w:hAnsi="Calibri" w:cs="Calibri"/>
                <w:b/>
                <w:bCs/>
                <w:sz w:val="20"/>
                <w:lang w:eastAsia="en-AU"/>
              </w:rPr>
              <w:t>COAG — National Health and Hospitals Reform</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Home and Community Care</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The Home and Community Care Program delivers integrated home and community care services to frail older people, people with disabilities and their carers.</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408.8</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441.6</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8.0</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Supporting National Mental Health Reform</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to deliver improved health, social, economic and housing outcomes for people with severe and persistent mental illness.</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9.5</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7.6</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(19.7)</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i/>
                <w:sz w:val="20"/>
                <w:lang w:eastAsia="en-AU"/>
              </w:rPr>
            </w:pPr>
            <w:r w:rsidRPr="00AB5B49">
              <w:rPr>
                <w:rFonts w:ascii="Calibri" w:eastAsiaTheme="minorEastAsia" w:hAnsi="Calibri" w:cs="Calibri"/>
                <w:i/>
                <w:iCs/>
                <w:sz w:val="20"/>
                <w:lang w:eastAsia="en-AU"/>
              </w:rPr>
              <w:t>National Reform Agenda for Organ and Tissue Donation</w:t>
            </w:r>
          </w:p>
        </w:tc>
      </w:tr>
      <w:tr w:rsidR="001037D3" w:rsidRPr="00AB5B49" w:rsidTr="001037D3">
        <w:trPr>
          <w:cantSplit/>
        </w:trPr>
        <w:tc>
          <w:tcPr>
            <w:tcW w:w="7758" w:type="dxa"/>
            <w:gridSpan w:val="4"/>
            <w:tcBorders>
              <w:top w:val="nil"/>
              <w:left w:val="nil"/>
              <w:bottom w:val="nil"/>
              <w:right w:val="nil"/>
            </w:tcBorders>
          </w:tcPr>
          <w:p w:rsidR="001037D3" w:rsidRPr="00AB5B49" w:rsidRDefault="001037D3" w:rsidP="001037D3">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Funding to increase Australians</w:t>
            </w:r>
            <w:r w:rsidR="00BA5A16">
              <w:rPr>
                <w:rFonts w:ascii="Calibri" w:eastAsiaTheme="minorEastAsia" w:hAnsi="Calibri" w:cs="Calibri"/>
                <w:sz w:val="20"/>
                <w:lang w:eastAsia="en-AU"/>
              </w:rPr>
              <w:t>’</w:t>
            </w:r>
            <w:r w:rsidRPr="00AB5B49">
              <w:rPr>
                <w:rFonts w:ascii="Calibri" w:eastAsiaTheme="minorEastAsia" w:hAnsi="Calibri" w:cs="Calibri"/>
                <w:sz w:val="20"/>
                <w:lang w:eastAsia="en-AU"/>
              </w:rPr>
              <w:t xml:space="preserve"> access to organ and tissue transplants. </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sz w:val="20"/>
                <w:lang w:eastAsia="en-AU"/>
              </w:rPr>
            </w:pPr>
            <w:r w:rsidRPr="00AB5B49">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8.6</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 xml:space="preserve"> 8.5</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sz w:val="20"/>
                <w:lang w:eastAsia="en-AU"/>
              </w:rPr>
            </w:pPr>
            <w:r w:rsidRPr="00AB5B49">
              <w:rPr>
                <w:rFonts w:ascii="Calibri" w:eastAsiaTheme="minorEastAsia" w:hAnsi="Calibri" w:cs="Calibri"/>
                <w:sz w:val="20"/>
                <w:lang w:eastAsia="en-AU"/>
              </w:rPr>
              <w:t>(1.8)</w:t>
            </w:r>
          </w:p>
        </w:tc>
      </w:tr>
      <w:tr w:rsidR="00B03921" w:rsidRPr="00AB5B49" w:rsidTr="001037D3">
        <w:trPr>
          <w:cantSplit/>
        </w:trPr>
        <w:tc>
          <w:tcPr>
            <w:tcW w:w="4638" w:type="dxa"/>
            <w:tcBorders>
              <w:top w:val="nil"/>
              <w:left w:val="nil"/>
              <w:bottom w:val="single" w:sz="6" w:space="0" w:color="auto"/>
              <w:right w:val="nil"/>
            </w:tcBorders>
          </w:tcPr>
          <w:p w:rsidR="00B03921" w:rsidRPr="00AB5B49" w:rsidRDefault="00B03921" w:rsidP="00016914">
            <w:pPr>
              <w:autoSpaceDE w:val="0"/>
              <w:autoSpaceDN w:val="0"/>
              <w:adjustRightInd w:val="0"/>
              <w:spacing w:after="0"/>
              <w:rPr>
                <w:rFonts w:ascii="Calibri" w:eastAsiaTheme="minorEastAsia" w:hAnsi="Calibri" w:cs="Calibri"/>
                <w:b/>
                <w:bCs/>
                <w:sz w:val="20"/>
                <w:lang w:eastAsia="en-AU"/>
              </w:rPr>
            </w:pPr>
            <w:r w:rsidRPr="00AB5B49">
              <w:rPr>
                <w:rFonts w:ascii="Calibri" w:eastAsiaTheme="minorEastAsia" w:hAnsi="Calibri" w:cs="Calibri"/>
                <w:b/>
                <w:bCs/>
                <w:sz w:val="20"/>
                <w:lang w:eastAsia="en-AU"/>
              </w:rPr>
              <w:t>Other</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 xml:space="preserve"> 26.2</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 xml:space="preserve"> 54.1</w:t>
            </w:r>
          </w:p>
        </w:tc>
        <w:tc>
          <w:tcPr>
            <w:tcW w:w="1040" w:type="dxa"/>
            <w:tcBorders>
              <w:top w:val="nil"/>
              <w:left w:val="nil"/>
              <w:bottom w:val="single" w:sz="6" w:space="0" w:color="auto"/>
              <w:right w:val="nil"/>
            </w:tcBorders>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106.9</w:t>
            </w:r>
          </w:p>
        </w:tc>
      </w:tr>
      <w:tr w:rsidR="00B03921" w:rsidRPr="00AB5B49" w:rsidTr="001037D3">
        <w:trPr>
          <w:cantSplit/>
        </w:trPr>
        <w:tc>
          <w:tcPr>
            <w:tcW w:w="4638" w:type="dxa"/>
            <w:tcBorders>
              <w:top w:val="single" w:sz="6" w:space="0" w:color="auto"/>
              <w:left w:val="nil"/>
              <w:bottom w:val="single" w:sz="12" w:space="0" w:color="000000"/>
              <w:right w:val="nil"/>
            </w:tcBorders>
            <w:shd w:val="clear" w:color="auto" w:fill="auto"/>
          </w:tcPr>
          <w:p w:rsidR="00B03921" w:rsidRPr="00AB5B49" w:rsidRDefault="00B03921" w:rsidP="00016914">
            <w:pPr>
              <w:autoSpaceDE w:val="0"/>
              <w:autoSpaceDN w:val="0"/>
              <w:adjustRightInd w:val="0"/>
              <w:spacing w:after="0"/>
              <w:rPr>
                <w:rFonts w:ascii="Calibri" w:eastAsiaTheme="minorEastAsia" w:hAnsi="Calibri" w:cs="Calibri"/>
                <w:b/>
                <w:bCs/>
                <w:sz w:val="20"/>
                <w:lang w:eastAsia="en-AU"/>
              </w:rPr>
            </w:pPr>
            <w:r w:rsidRPr="00AB5B49">
              <w:rPr>
                <w:rFonts w:ascii="Calibri" w:eastAsiaTheme="minorEastAsia" w:hAnsi="Calibri" w:cs="Calibri"/>
                <w:b/>
                <w:bCs/>
                <w:sz w:val="20"/>
                <w:lang w:eastAsia="en-AU"/>
              </w:rPr>
              <w:t>Total health services</w:t>
            </w:r>
          </w:p>
        </w:tc>
        <w:tc>
          <w:tcPr>
            <w:tcW w:w="1040" w:type="dxa"/>
            <w:tcBorders>
              <w:top w:val="single" w:sz="6" w:space="0" w:color="auto"/>
              <w:left w:val="nil"/>
              <w:bottom w:val="single" w:sz="12" w:space="0" w:color="000000"/>
              <w:right w:val="nil"/>
            </w:tcBorders>
            <w:shd w:val="clear" w:color="auto" w:fill="auto"/>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4 476.0</w:t>
            </w:r>
          </w:p>
        </w:tc>
        <w:tc>
          <w:tcPr>
            <w:tcW w:w="1040" w:type="dxa"/>
            <w:tcBorders>
              <w:top w:val="single" w:sz="6" w:space="0" w:color="auto"/>
              <w:left w:val="nil"/>
              <w:bottom w:val="single" w:sz="12" w:space="0" w:color="000000"/>
              <w:right w:val="nil"/>
            </w:tcBorders>
            <w:shd w:val="clear" w:color="auto" w:fill="auto"/>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4 705.8</w:t>
            </w:r>
          </w:p>
        </w:tc>
        <w:tc>
          <w:tcPr>
            <w:tcW w:w="1040" w:type="dxa"/>
            <w:tcBorders>
              <w:top w:val="single" w:sz="6" w:space="0" w:color="auto"/>
              <w:left w:val="nil"/>
              <w:bottom w:val="single" w:sz="12" w:space="0" w:color="000000"/>
              <w:right w:val="nil"/>
            </w:tcBorders>
            <w:shd w:val="clear" w:color="auto" w:fill="auto"/>
          </w:tcPr>
          <w:p w:rsidR="00B03921" w:rsidRPr="00AB5B49" w:rsidRDefault="00B03921" w:rsidP="00016914">
            <w:pPr>
              <w:autoSpaceDE w:val="0"/>
              <w:autoSpaceDN w:val="0"/>
              <w:adjustRightInd w:val="0"/>
              <w:spacing w:after="0"/>
              <w:jc w:val="right"/>
              <w:rPr>
                <w:rFonts w:ascii="Calibri" w:eastAsiaTheme="minorEastAsia" w:hAnsi="Calibri" w:cs="Calibri"/>
                <w:b/>
                <w:bCs/>
                <w:sz w:val="20"/>
                <w:lang w:eastAsia="en-AU"/>
              </w:rPr>
            </w:pPr>
            <w:r w:rsidRPr="00AB5B49">
              <w:rPr>
                <w:rFonts w:ascii="Calibri" w:eastAsiaTheme="minorEastAsia" w:hAnsi="Calibri" w:cs="Calibri"/>
                <w:b/>
                <w:bCs/>
                <w:sz w:val="20"/>
                <w:lang w:eastAsia="en-AU"/>
              </w:rPr>
              <w:t>5.1</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rsidRPr="00272BA2">
        <w:t xml:space="preserve">(a) </w:t>
      </w:r>
      <w:r>
        <w:tab/>
        <w:t>Per cent change between</w:t>
      </w:r>
      <w:r w:rsidRPr="00272BA2">
        <w:t xml:space="preserve"> 201</w:t>
      </w:r>
      <w:r>
        <w:t>4</w:t>
      </w:r>
      <w:r w:rsidRPr="00272BA2">
        <w:t>-1</w:t>
      </w:r>
      <w:r>
        <w:t>5</w:t>
      </w:r>
      <w:r w:rsidRPr="00272BA2">
        <w:t xml:space="preserve"> and 201</w:t>
      </w:r>
      <w:r>
        <w:t>5</w:t>
      </w:r>
      <w:r w:rsidRPr="00272BA2">
        <w:t>-1</w:t>
      </w:r>
      <w:r>
        <w:t>6</w:t>
      </w:r>
      <w:r w:rsidRPr="00272BA2">
        <w:t>.</w:t>
      </w:r>
    </w:p>
    <w:p w:rsidR="00B03921" w:rsidRDefault="00B03921" w:rsidP="00016914">
      <w:pPr>
        <w:pStyle w:val="Tableheading"/>
      </w:pPr>
      <w:r>
        <w:t>Table 4.12:</w:t>
      </w:r>
      <w:r>
        <w:tab/>
        <w:t>Payments for infrastructure services</w:t>
      </w:r>
    </w:p>
    <w:p w:rsidR="00B03921" w:rsidRPr="00DC2D28" w:rsidRDefault="00B03921" w:rsidP="00016914">
      <w:pPr>
        <w:pStyle w:val="million"/>
        <w:rPr>
          <w:rFonts w:ascii="Times New Roman" w:hAnsi="Times New Roman"/>
          <w:i w:val="0"/>
          <w:sz w:val="20"/>
          <w:szCs w:val="20"/>
          <w:lang w:eastAsia="en-AU"/>
        </w:rPr>
      </w:pPr>
      <w:r>
        <w:t>($ million)</w:t>
      </w:r>
    </w:p>
    <w:tbl>
      <w:tblPr>
        <w:tblW w:w="7772"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52"/>
      </w:tblGrid>
      <w:tr w:rsidR="001037D3" w:rsidRPr="00DC2D28" w:rsidTr="001037D3">
        <w:trPr>
          <w:trHeight w:val="503"/>
          <w:tblHeader/>
        </w:trPr>
        <w:tc>
          <w:tcPr>
            <w:tcW w:w="4640" w:type="dxa"/>
            <w:tcBorders>
              <w:top w:val="single" w:sz="6" w:space="0" w:color="auto"/>
              <w:left w:val="single" w:sz="6" w:space="0" w:color="auto"/>
              <w:right w:val="nil"/>
            </w:tcBorders>
            <w:shd w:val="clear" w:color="000000" w:fill="000000"/>
          </w:tcPr>
          <w:p w:rsidR="001037D3" w:rsidRPr="00DC2D28" w:rsidRDefault="001037D3" w:rsidP="00016914">
            <w:pPr>
              <w:pStyle w:val="Tabletext"/>
              <w:rPr>
                <w:rFonts w:eastAsiaTheme="minorEastAsia"/>
                <w:i/>
                <w:lang w:eastAsia="en-AU"/>
              </w:rPr>
            </w:pPr>
            <w:r w:rsidRPr="00DC2D28">
              <w:rPr>
                <w:rFonts w:eastAsiaTheme="minorEastAsia"/>
                <w:i/>
                <w:lang w:eastAsia="en-AU"/>
              </w:rPr>
              <w:t xml:space="preserve"> </w:t>
            </w:r>
          </w:p>
          <w:p w:rsidR="001037D3" w:rsidRPr="00DC2D28" w:rsidRDefault="001037D3" w:rsidP="00016914">
            <w:pPr>
              <w:pStyle w:val="Tabletext"/>
              <w:rPr>
                <w:rFonts w:eastAsiaTheme="minorEastAsia"/>
                <w:i/>
                <w:lang w:eastAsia="en-AU"/>
              </w:rPr>
            </w:pPr>
            <w:r w:rsidRPr="00DC2D28">
              <w:rPr>
                <w:rFonts w:eastAsiaTheme="minorEastAsia"/>
                <w:i/>
                <w:lang w:eastAsia="en-AU"/>
              </w:rPr>
              <w:t xml:space="preserve"> </w:t>
            </w:r>
          </w:p>
        </w:tc>
        <w:tc>
          <w:tcPr>
            <w:tcW w:w="1040" w:type="dxa"/>
            <w:tcBorders>
              <w:top w:val="single" w:sz="6" w:space="0" w:color="auto"/>
              <w:left w:val="nil"/>
              <w:right w:val="nil"/>
            </w:tcBorders>
            <w:shd w:val="clear" w:color="000000" w:fill="000000"/>
          </w:tcPr>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2014-15</w:t>
            </w:r>
          </w:p>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revised</w:t>
            </w:r>
          </w:p>
        </w:tc>
        <w:tc>
          <w:tcPr>
            <w:tcW w:w="1040" w:type="dxa"/>
            <w:tcBorders>
              <w:top w:val="single" w:sz="6" w:space="0" w:color="auto"/>
              <w:left w:val="nil"/>
              <w:right w:val="nil"/>
            </w:tcBorders>
            <w:shd w:val="clear" w:color="000000" w:fill="000000"/>
          </w:tcPr>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2015-16</w:t>
            </w:r>
          </w:p>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budget</w:t>
            </w:r>
          </w:p>
        </w:tc>
        <w:tc>
          <w:tcPr>
            <w:tcW w:w="1052" w:type="dxa"/>
            <w:tcBorders>
              <w:top w:val="single" w:sz="6" w:space="0" w:color="auto"/>
              <w:left w:val="nil"/>
              <w:right w:val="single" w:sz="6" w:space="0" w:color="auto"/>
            </w:tcBorders>
            <w:shd w:val="clear" w:color="000000" w:fill="000000"/>
          </w:tcPr>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Change</w:t>
            </w:r>
          </w:p>
          <w:p w:rsidR="001037D3" w:rsidRPr="00DC2D28" w:rsidRDefault="001037D3" w:rsidP="00016914">
            <w:pPr>
              <w:pStyle w:val="Tabletextheading"/>
              <w:rPr>
                <w:rFonts w:eastAsiaTheme="minorEastAsia"/>
                <w:color w:val="FFFFFF"/>
                <w:lang w:eastAsia="en-AU"/>
              </w:rPr>
            </w:pPr>
            <w:r w:rsidRPr="00DC2D28">
              <w:rPr>
                <w:rFonts w:eastAsiaTheme="minorEastAsia"/>
                <w:color w:val="FFFFFF"/>
                <w:lang w:eastAsia="en-AU"/>
              </w:rPr>
              <w:t xml:space="preserve">% </w:t>
            </w:r>
            <w:r w:rsidRPr="00DC2D28">
              <w:rPr>
                <w:rFonts w:eastAsiaTheme="minorEastAsia"/>
                <w:color w:val="FFFFFF"/>
                <w:vertAlign w:val="superscript"/>
                <w:lang w:eastAsia="en-AU"/>
              </w:rPr>
              <w:t>(a)</w:t>
            </w:r>
          </w:p>
        </w:tc>
      </w:tr>
      <w:tr w:rsidR="001037D3" w:rsidRPr="00DC2D28" w:rsidTr="001037D3">
        <w:tc>
          <w:tcPr>
            <w:tcW w:w="7772" w:type="dxa"/>
            <w:gridSpan w:val="4"/>
            <w:tcBorders>
              <w:top w:val="single" w:sz="6" w:space="0" w:color="auto"/>
              <w:left w:val="nil"/>
              <w:bottom w:val="nil"/>
              <w:right w:val="nil"/>
            </w:tcBorders>
          </w:tcPr>
          <w:p w:rsidR="001037D3" w:rsidRPr="00DC2D28" w:rsidRDefault="001037D3" w:rsidP="001037D3">
            <w:pPr>
              <w:pStyle w:val="Tabletext"/>
              <w:rPr>
                <w:rFonts w:eastAsiaTheme="minorEastAsia"/>
                <w:b/>
                <w:lang w:eastAsia="en-AU"/>
              </w:rPr>
            </w:pPr>
            <w:r w:rsidRPr="00DC2D28">
              <w:rPr>
                <w:rFonts w:eastAsiaTheme="minorEastAsia"/>
                <w:b/>
                <w:bCs/>
                <w:lang w:eastAsia="en-AU"/>
              </w:rPr>
              <w:t>National Partnerships</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Regional Rail Link</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In May 2009 the Commonwealth Government announced its contribution of $3.2 billion to the Regional Rail Link project.</w:t>
            </w:r>
          </w:p>
        </w:tc>
      </w:tr>
      <w:tr w:rsidR="00B03921" w:rsidRPr="00DC2D28" w:rsidTr="001037D3">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331.0</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w:t>
            </w:r>
          </w:p>
        </w:tc>
        <w:tc>
          <w:tcPr>
            <w:tcW w:w="1052"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(100.0)</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Commonwealth Infrastructure Investment Programme</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In 2014, the State and Commonwealth Governments signed a National Partnership Agreement on Land Transport Infrastructure Projects for agreed road and rail projects to be delivered under the Commonwealth Infrastructure Investment Programme. The agreement covers Commonwealth funding contributions to Victoria for agreed projects from 2014-15 to 2018</w:t>
            </w:r>
            <w:r>
              <w:rPr>
                <w:rFonts w:eastAsiaTheme="minorEastAsia"/>
                <w:lang w:eastAsia="en-AU"/>
              </w:rPr>
              <w:noBreakHyphen/>
            </w:r>
            <w:r w:rsidRPr="00DC2D28">
              <w:rPr>
                <w:rFonts w:eastAsiaTheme="minorEastAsia"/>
                <w:lang w:eastAsia="en-AU"/>
              </w:rPr>
              <w:t xml:space="preserve">19. </w:t>
            </w:r>
          </w:p>
        </w:tc>
      </w:tr>
      <w:tr w:rsidR="00B03921" w:rsidRPr="00DC2D28" w:rsidTr="001037D3">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494.4</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327.5</w:t>
            </w:r>
          </w:p>
        </w:tc>
        <w:tc>
          <w:tcPr>
            <w:tcW w:w="1052"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(33.8)</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b/>
                <w:lang w:eastAsia="en-AU"/>
              </w:rPr>
            </w:pPr>
            <w:r w:rsidRPr="00DC2D28">
              <w:rPr>
                <w:rFonts w:eastAsiaTheme="minorEastAsia"/>
                <w:b/>
                <w:bCs/>
                <w:lang w:eastAsia="en-AU"/>
              </w:rPr>
              <w:t>Other payments to the State</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Interstate Road Transport</w:t>
            </w:r>
          </w:p>
        </w:tc>
      </w:tr>
      <w:tr w:rsidR="001037D3" w:rsidRPr="00DC2D28" w:rsidTr="001037D3">
        <w:tc>
          <w:tcPr>
            <w:tcW w:w="7772"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The Federal Interstate Registration Scheme (FIRS) levies registration charges on vehicles engaged in interstate trade and commerce. The Commonwealth Government pays a share of revenue collected under the FIRS to states and territories, to cover the costs of maintenance and upkeep on roads used by these motor vehicles.</w:t>
            </w:r>
          </w:p>
        </w:tc>
      </w:tr>
      <w:tr w:rsidR="00B03921" w:rsidRPr="00DC2D28" w:rsidTr="001037D3">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19.0</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19.0</w:t>
            </w:r>
          </w:p>
        </w:tc>
        <w:tc>
          <w:tcPr>
            <w:tcW w:w="1052"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w:t>
            </w:r>
          </w:p>
        </w:tc>
      </w:tr>
      <w:tr w:rsidR="00B03921" w:rsidRPr="00DC2D28" w:rsidTr="001037D3">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vertAlign w:val="superscript"/>
                <w:lang w:eastAsia="en-AU"/>
              </w:rPr>
            </w:pPr>
            <w:r w:rsidRPr="00DC2D28">
              <w:rPr>
                <w:rFonts w:eastAsiaTheme="minorEastAsia"/>
                <w:b/>
                <w:bCs/>
                <w:lang w:eastAsia="en-AU"/>
              </w:rPr>
              <w:t>Other</w:t>
            </w:r>
            <w:r w:rsidRPr="00DC2D28">
              <w:rPr>
                <w:rFonts w:eastAsiaTheme="minorEastAsia"/>
                <w:vertAlign w:val="superscript"/>
                <w:lang w:eastAsia="en-AU"/>
              </w:rPr>
              <w:t xml:space="preserve"> (b)</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118.0</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339.8</w:t>
            </w:r>
          </w:p>
        </w:tc>
        <w:tc>
          <w:tcPr>
            <w:tcW w:w="1052" w:type="dxa"/>
            <w:tcBorders>
              <w:top w:val="single" w:sz="12" w:space="0" w:color="auto"/>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188.0</w:t>
            </w:r>
          </w:p>
        </w:tc>
      </w:tr>
      <w:tr w:rsidR="00B03921" w:rsidRPr="00DC2D28" w:rsidTr="001037D3">
        <w:tc>
          <w:tcPr>
            <w:tcW w:w="46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infrastructure services</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962.4</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686.3</w:t>
            </w:r>
          </w:p>
        </w:tc>
        <w:tc>
          <w:tcPr>
            <w:tcW w:w="1052"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(28.7)</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 xml:space="preserve">(a) </w:t>
      </w:r>
      <w:r>
        <w:tab/>
        <w:t>Per cent change between 2014-15 and 2015-16.</w:t>
      </w:r>
    </w:p>
    <w:p w:rsidR="00B03921" w:rsidRPr="00A21E5B" w:rsidRDefault="00B03921" w:rsidP="00016914">
      <w:pPr>
        <w:pStyle w:val="Notes"/>
      </w:pPr>
      <w:r w:rsidRPr="00A21E5B">
        <w:t xml:space="preserve">(b) </w:t>
      </w:r>
      <w:r w:rsidRPr="00A21E5B">
        <w:tab/>
        <w:t>Includes funding previously committed to the East West Link. Negotiations are in progress with the Commonwealth Government on the allocation of the funding to other infrastructure projects.</w:t>
      </w:r>
    </w:p>
    <w:p w:rsidR="00B03921" w:rsidRDefault="00B03921">
      <w:pPr>
        <w:spacing w:after="0"/>
      </w:pPr>
      <w:r>
        <w:br w:type="page"/>
      </w:r>
    </w:p>
    <w:p w:rsidR="00B03921" w:rsidRDefault="00B03921" w:rsidP="00016914">
      <w:pPr>
        <w:pStyle w:val="Tableheading"/>
      </w:pPr>
      <w:r>
        <w:t>Table 4.13:</w:t>
      </w:r>
      <w:r>
        <w:tab/>
        <w:t>Payments for contingent and other services</w:t>
      </w:r>
    </w:p>
    <w:p w:rsidR="00B03921" w:rsidRPr="00DC2D28"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1037D3" w:rsidRPr="00DC2D28" w:rsidTr="001037D3">
        <w:trPr>
          <w:trHeight w:val="503"/>
          <w:tblHeader/>
        </w:trPr>
        <w:tc>
          <w:tcPr>
            <w:tcW w:w="4640" w:type="dxa"/>
            <w:tcBorders>
              <w:top w:val="single" w:sz="6" w:space="0" w:color="auto"/>
              <w:left w:val="single" w:sz="6" w:space="0" w:color="auto"/>
              <w:right w:val="nil"/>
            </w:tcBorders>
            <w:shd w:val="clear" w:color="000000" w:fill="000000"/>
          </w:tcPr>
          <w:p w:rsidR="001037D3" w:rsidRPr="00DC2D28" w:rsidRDefault="001037D3" w:rsidP="00016914">
            <w:pPr>
              <w:pStyle w:val="Tabletext"/>
              <w:rPr>
                <w:rFonts w:eastAsiaTheme="minorEastAsia"/>
                <w:i/>
                <w:lang w:eastAsia="en-AU"/>
              </w:rPr>
            </w:pPr>
          </w:p>
        </w:tc>
        <w:tc>
          <w:tcPr>
            <w:tcW w:w="1040" w:type="dxa"/>
            <w:tcBorders>
              <w:top w:val="single" w:sz="6" w:space="0" w:color="auto"/>
              <w:left w:val="nil"/>
              <w:right w:val="nil"/>
            </w:tcBorders>
            <w:shd w:val="clear" w:color="000000" w:fill="000000"/>
          </w:tcPr>
          <w:p w:rsidR="001037D3" w:rsidRPr="00DC2D28" w:rsidRDefault="001037D3" w:rsidP="001037D3">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sidRPr="00DC2D28">
              <w:rPr>
                <w:rFonts w:eastAsiaTheme="minorEastAsia"/>
                <w:color w:val="FFFFFF"/>
                <w:lang w:eastAsia="en-AU"/>
              </w:rPr>
              <w:t>revised</w:t>
            </w:r>
          </w:p>
        </w:tc>
        <w:tc>
          <w:tcPr>
            <w:tcW w:w="1040" w:type="dxa"/>
            <w:tcBorders>
              <w:top w:val="single" w:sz="6" w:space="0" w:color="auto"/>
              <w:left w:val="nil"/>
              <w:right w:val="nil"/>
            </w:tcBorders>
            <w:shd w:val="clear" w:color="000000" w:fill="000000"/>
          </w:tcPr>
          <w:p w:rsidR="001037D3" w:rsidRPr="00DC2D28" w:rsidRDefault="001037D3" w:rsidP="001037D3">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t xml:space="preserve"> </w:t>
            </w:r>
            <w:r w:rsidRPr="00DC2D28">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1037D3" w:rsidRPr="00DC2D28" w:rsidRDefault="001037D3" w:rsidP="001037D3">
            <w:pPr>
              <w:pStyle w:val="Tabletextheading"/>
              <w:rPr>
                <w:rFonts w:eastAsiaTheme="minorEastAsia"/>
                <w:color w:val="FFFFFF"/>
                <w:lang w:eastAsia="en-AU"/>
              </w:rPr>
            </w:pPr>
            <w:r w:rsidRPr="00DC2D28">
              <w:rPr>
                <w:rFonts w:eastAsiaTheme="minorEastAsia"/>
                <w:color w:val="FFFFFF"/>
                <w:lang w:eastAsia="en-AU"/>
              </w:rPr>
              <w:t>Change</w:t>
            </w:r>
            <w:r>
              <w:rPr>
                <w:rFonts w:eastAsiaTheme="minorEastAsia"/>
                <w:color w:val="FFFFFF"/>
                <w:lang w:eastAsia="en-AU"/>
              </w:rPr>
              <w:br/>
            </w:r>
            <w:r w:rsidRPr="00DC2D28">
              <w:rPr>
                <w:rFonts w:eastAsiaTheme="minorEastAsia"/>
                <w:color w:val="FFFFFF"/>
                <w:lang w:eastAsia="en-AU"/>
              </w:rPr>
              <w:t>%</w:t>
            </w:r>
            <w:r w:rsidRPr="00DC2D28">
              <w:rPr>
                <w:rFonts w:eastAsiaTheme="minorEastAsia"/>
                <w:color w:val="FFFFFF"/>
                <w:vertAlign w:val="superscript"/>
                <w:lang w:eastAsia="en-AU"/>
              </w:rPr>
              <w:t>(a)</w:t>
            </w:r>
          </w:p>
        </w:tc>
      </w:tr>
      <w:tr w:rsidR="001037D3" w:rsidRPr="00DC2D28" w:rsidTr="001037D3">
        <w:tc>
          <w:tcPr>
            <w:tcW w:w="7760" w:type="dxa"/>
            <w:gridSpan w:val="4"/>
            <w:tcBorders>
              <w:top w:val="single" w:sz="6" w:space="0" w:color="auto"/>
              <w:left w:val="nil"/>
              <w:bottom w:val="nil"/>
              <w:right w:val="nil"/>
            </w:tcBorders>
          </w:tcPr>
          <w:p w:rsidR="001037D3" w:rsidRPr="00DC2D28" w:rsidRDefault="001037D3" w:rsidP="001037D3">
            <w:pPr>
              <w:pStyle w:val="Tabletext"/>
              <w:rPr>
                <w:rFonts w:eastAsiaTheme="minorEastAsia"/>
                <w:b/>
                <w:lang w:eastAsia="en-AU"/>
              </w:rPr>
            </w:pPr>
            <w:r w:rsidRPr="00DC2D28">
              <w:rPr>
                <w:rFonts w:eastAsiaTheme="minorEastAsia"/>
                <w:b/>
                <w:bCs/>
                <w:lang w:eastAsia="en-AU"/>
              </w:rPr>
              <w:t>National Partnerships</w:t>
            </w:r>
          </w:p>
        </w:tc>
      </w:tr>
      <w:tr w:rsidR="001037D3" w:rsidRPr="00DC2D28" w:rsidTr="001037D3">
        <w:tc>
          <w:tcPr>
            <w:tcW w:w="7760"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Victoria Legal Aid</w:t>
            </w:r>
          </w:p>
        </w:tc>
      </w:tr>
      <w:tr w:rsidR="001037D3" w:rsidRPr="00DC2D28" w:rsidTr="001037D3">
        <w:tc>
          <w:tcPr>
            <w:tcW w:w="7760"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Funding for a share of the service delivery costs of Victoria Legal Aid on Commonwealth law matters.</w:t>
            </w:r>
          </w:p>
        </w:tc>
      </w:tr>
      <w:tr w:rsidR="00B03921" w:rsidRPr="00DC2D28" w:rsidTr="001037D3">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45.8</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46.6</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1.7</w:t>
            </w:r>
          </w:p>
        </w:tc>
      </w:tr>
      <w:tr w:rsidR="001037D3" w:rsidRPr="00DC2D28" w:rsidTr="001037D3">
        <w:tc>
          <w:tcPr>
            <w:tcW w:w="7760"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National Disaster Resilience Program</w:t>
            </w:r>
          </w:p>
        </w:tc>
      </w:tr>
      <w:tr w:rsidR="001037D3" w:rsidRPr="00DC2D28" w:rsidTr="001037D3">
        <w:tc>
          <w:tcPr>
            <w:tcW w:w="7760"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Funding to identify and address natural disaster risk priorities across the nation. Funding is provided by the Commonwealth for initiatives to create safer and sustainable communities by better enabling them to withstand the effects of floods, storms, fires and other natural disasters.</w:t>
            </w:r>
          </w:p>
        </w:tc>
      </w:tr>
      <w:tr w:rsidR="00B03921" w:rsidRPr="00DC2D28" w:rsidTr="001037D3">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6.3</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4.2</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(33.3)</w:t>
            </w:r>
          </w:p>
        </w:tc>
      </w:tr>
      <w:tr w:rsidR="001037D3" w:rsidRPr="00DC2D28" w:rsidTr="001037D3">
        <w:tc>
          <w:tcPr>
            <w:tcW w:w="7760" w:type="dxa"/>
            <w:gridSpan w:val="4"/>
            <w:tcBorders>
              <w:top w:val="nil"/>
              <w:left w:val="nil"/>
              <w:bottom w:val="nil"/>
              <w:right w:val="nil"/>
            </w:tcBorders>
          </w:tcPr>
          <w:p w:rsidR="001037D3" w:rsidRPr="00DC2D28" w:rsidRDefault="001037D3" w:rsidP="001037D3">
            <w:pPr>
              <w:pStyle w:val="Tabletext"/>
              <w:rPr>
                <w:rFonts w:eastAsiaTheme="minorEastAsia"/>
                <w:i/>
                <w:lang w:eastAsia="en-AU"/>
              </w:rPr>
            </w:pPr>
            <w:r w:rsidRPr="00DC2D28">
              <w:rPr>
                <w:rFonts w:eastAsiaTheme="minorEastAsia"/>
                <w:i/>
                <w:lang w:eastAsia="en-AU"/>
              </w:rPr>
              <w:t>Natural Disaster Relief</w:t>
            </w:r>
          </w:p>
        </w:tc>
      </w:tr>
      <w:tr w:rsidR="001037D3" w:rsidRPr="00DC2D28" w:rsidTr="001037D3">
        <w:tc>
          <w:tcPr>
            <w:tcW w:w="7758" w:type="dxa"/>
            <w:gridSpan w:val="4"/>
            <w:tcBorders>
              <w:top w:val="nil"/>
              <w:left w:val="nil"/>
              <w:bottom w:val="nil"/>
              <w:right w:val="nil"/>
            </w:tcBorders>
          </w:tcPr>
          <w:p w:rsidR="001037D3" w:rsidRPr="00DC2D28" w:rsidRDefault="001037D3" w:rsidP="001037D3">
            <w:pPr>
              <w:pStyle w:val="Tabletext"/>
              <w:rPr>
                <w:rFonts w:eastAsiaTheme="minorEastAsia"/>
                <w:lang w:eastAsia="en-AU"/>
              </w:rPr>
            </w:pPr>
            <w:r w:rsidRPr="00DC2D28">
              <w:rPr>
                <w:rFonts w:eastAsiaTheme="minorEastAsia"/>
                <w:lang w:eastAsia="en-AU"/>
              </w:rPr>
              <w:t>Funding for natural disasters declared in Victoria. The grants are driven by claims following bushfires around the beginning of 2015 and previous flood and storm events.</w:t>
            </w:r>
          </w:p>
        </w:tc>
      </w:tr>
      <w:tr w:rsidR="00B03921" w:rsidRPr="00DC2D28" w:rsidTr="001037D3">
        <w:tc>
          <w:tcPr>
            <w:tcW w:w="4640" w:type="dxa"/>
            <w:tcBorders>
              <w:top w:val="nil"/>
              <w:left w:val="nil"/>
              <w:bottom w:val="single" w:sz="12"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 </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38.2</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w:t>
            </w:r>
          </w:p>
        </w:tc>
        <w:tc>
          <w:tcPr>
            <w:tcW w:w="1040" w:type="dxa"/>
            <w:tcBorders>
              <w:top w:val="nil"/>
              <w:left w:val="nil"/>
              <w:bottom w:val="single" w:sz="12"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(100.0)</w:t>
            </w:r>
          </w:p>
        </w:tc>
      </w:tr>
      <w:tr w:rsidR="00B03921" w:rsidRPr="00DC2D28" w:rsidTr="001037D3">
        <w:tc>
          <w:tcPr>
            <w:tcW w:w="4640" w:type="dxa"/>
            <w:tcBorders>
              <w:top w:val="nil"/>
              <w:left w:val="nil"/>
              <w:bottom w:val="single" w:sz="6" w:space="0" w:color="auto"/>
              <w:right w:val="nil"/>
            </w:tcBorders>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Other</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864.3</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879.3</w:t>
            </w:r>
          </w:p>
        </w:tc>
        <w:tc>
          <w:tcPr>
            <w:tcW w:w="1040" w:type="dxa"/>
            <w:tcBorders>
              <w:top w:val="nil"/>
              <w:left w:val="nil"/>
              <w:bottom w:val="single" w:sz="6" w:space="0" w:color="auto"/>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1.7</w:t>
            </w:r>
          </w:p>
        </w:tc>
      </w:tr>
      <w:tr w:rsidR="00B03921" w:rsidRPr="00DC2D28" w:rsidTr="001037D3">
        <w:tc>
          <w:tcPr>
            <w:tcW w:w="46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other services</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954.6</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930.1</w:t>
            </w:r>
          </w:p>
        </w:tc>
        <w:tc>
          <w:tcPr>
            <w:tcW w:w="104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(2.6)</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3B24E9" w:rsidRDefault="00B03921" w:rsidP="00016914">
      <w:pPr>
        <w:pStyle w:val="Notes"/>
      </w:pPr>
      <w:r w:rsidRPr="003B24E9">
        <w:t xml:space="preserve">(a) </w:t>
      </w:r>
      <w:r>
        <w:tab/>
        <w:t>Per cent change between</w:t>
      </w:r>
      <w:r w:rsidRPr="003B24E9">
        <w:t xml:space="preserve"> 201</w:t>
      </w:r>
      <w:r>
        <w:t>4</w:t>
      </w:r>
      <w:r w:rsidRPr="003B24E9">
        <w:t>-1</w:t>
      </w:r>
      <w:r>
        <w:t>5</w:t>
      </w:r>
      <w:r w:rsidRPr="003B24E9">
        <w:t xml:space="preserve"> and 201</w:t>
      </w:r>
      <w:r>
        <w:t>5</w:t>
      </w:r>
      <w:r w:rsidRPr="003B24E9">
        <w:t>-1</w:t>
      </w:r>
      <w:r>
        <w:t>6</w:t>
      </w:r>
      <w:r w:rsidRPr="003B24E9">
        <w:t>.</w:t>
      </w:r>
    </w:p>
    <w:p w:rsidR="00B03921" w:rsidRDefault="00B03921">
      <w:pPr>
        <w:spacing w:after="0"/>
        <w:rPr>
          <w:rFonts w:ascii="Calibri" w:hAnsi="Calibri"/>
          <w:b/>
          <w:caps/>
          <w:sz w:val="26"/>
          <w:szCs w:val="22"/>
        </w:rPr>
      </w:pPr>
      <w:r>
        <w:br w:type="page"/>
      </w:r>
    </w:p>
    <w:p w:rsidR="00B03921" w:rsidRDefault="00B03921" w:rsidP="00016914">
      <w:pPr>
        <w:pStyle w:val="Heading1"/>
      </w:pPr>
      <w:bookmarkStart w:id="131" w:name="_Toc418274771"/>
      <w:r>
        <w:t>Sales of goods and services</w:t>
      </w:r>
      <w:bookmarkEnd w:id="131"/>
    </w:p>
    <w:p w:rsidR="00B03921" w:rsidRDefault="00B03921" w:rsidP="00016914">
      <w:r w:rsidRPr="006F0EAE">
        <w:t>Revenue for the sales of goods and services is expected to</w:t>
      </w:r>
      <w:r>
        <w:t xml:space="preserve"> grow by 3.9 per cent in 2015-16 to $6.8 billion, before growth moderates to an average of 1.2 per cent a year</w:t>
      </w:r>
      <w:r w:rsidRPr="006F0EAE">
        <w:t xml:space="preserve"> over the forward estimates. The movement in sales of goods and services </w:t>
      </w:r>
      <w:r>
        <w:t>in 2015</w:t>
      </w:r>
      <w:r>
        <w:noBreakHyphen/>
        <w:t xml:space="preserve">16 </w:t>
      </w:r>
      <w:r w:rsidRPr="006F0EAE">
        <w:t xml:space="preserve">is </w:t>
      </w:r>
      <w:r>
        <w:t xml:space="preserve">largely </w:t>
      </w:r>
      <w:r w:rsidRPr="006F0EAE">
        <w:t>driven by an increase in the capital asset charge from VicTrac</w:t>
      </w:r>
      <w:r>
        <w:t>k reflecting an increase in the capital asset base for which there is an offset in grant expenses.</w:t>
      </w:r>
    </w:p>
    <w:p w:rsidR="00B03921" w:rsidRDefault="00B03921" w:rsidP="00016914">
      <w:pPr>
        <w:pStyle w:val="Tableheading"/>
      </w:pPr>
      <w:r>
        <w:t>Table 4.14:</w:t>
      </w:r>
      <w:r>
        <w:tab/>
        <w:t>Sales of goods and services</w:t>
      </w:r>
    </w:p>
    <w:p w:rsidR="00B03921" w:rsidRPr="00DC2D2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497EDD" w:rsidRPr="00DC2D28" w:rsidTr="00423972">
        <w:trPr>
          <w:trHeight w:val="503"/>
          <w:tblHeader/>
        </w:trPr>
        <w:tc>
          <w:tcPr>
            <w:tcW w:w="2790" w:type="dxa"/>
            <w:tcBorders>
              <w:top w:val="single" w:sz="6" w:space="0" w:color="auto"/>
              <w:left w:val="single" w:sz="6" w:space="0" w:color="auto"/>
              <w:right w:val="nil"/>
            </w:tcBorders>
            <w:shd w:val="clear" w:color="000000" w:fill="000000"/>
          </w:tcPr>
          <w:p w:rsidR="00497EDD" w:rsidRPr="00DC2D28" w:rsidRDefault="00497EDD" w:rsidP="00016914">
            <w:pPr>
              <w:pStyle w:val="Tabletext"/>
              <w:rPr>
                <w:rFonts w:eastAsiaTheme="minorEastAsia"/>
                <w:i/>
                <w:lang w:eastAsia="en-AU"/>
              </w:rPr>
            </w:pP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br/>
            </w:r>
            <w:r w:rsidRPr="00DC2D28">
              <w:rPr>
                <w:rFonts w:eastAsiaTheme="minorEastAsia"/>
                <w:color w:val="FFFFFF"/>
                <w:lang w:eastAsia="en-AU"/>
              </w:rPr>
              <w:t>revised</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br/>
            </w:r>
            <w:r w:rsidRPr="00DC2D28">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2016-17</w:t>
            </w:r>
            <w:r>
              <w:rPr>
                <w:rFonts w:eastAsiaTheme="minorEastAsia"/>
                <w:color w:val="FFFFFF"/>
                <w:lang w:eastAsia="en-AU"/>
              </w:rPr>
              <w:br/>
            </w:r>
            <w:r w:rsidRPr="00DC2D28">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2017-18</w:t>
            </w:r>
            <w:r>
              <w:rPr>
                <w:rFonts w:eastAsiaTheme="minorEastAsia"/>
                <w:color w:val="FFFFFF"/>
                <w:lang w:eastAsia="en-AU"/>
              </w:rPr>
              <w:br/>
            </w:r>
            <w:r w:rsidRPr="00DC2D28">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2018-19</w:t>
            </w:r>
            <w:r>
              <w:rPr>
                <w:rFonts w:eastAsiaTheme="minorEastAsia"/>
                <w:color w:val="FFFFFF"/>
                <w:lang w:eastAsia="en-AU"/>
              </w:rPr>
              <w:br/>
            </w:r>
            <w:r w:rsidRPr="00DC2D28">
              <w:rPr>
                <w:rFonts w:eastAsiaTheme="minorEastAsia"/>
                <w:color w:val="FFFFFF"/>
                <w:lang w:eastAsia="en-AU"/>
              </w:rPr>
              <w:t>estimate</w:t>
            </w:r>
          </w:p>
        </w:tc>
      </w:tr>
      <w:tr w:rsidR="00B03921" w:rsidRPr="00DC2D28" w:rsidTr="00016914">
        <w:tc>
          <w:tcPr>
            <w:tcW w:w="2790" w:type="dxa"/>
            <w:tcBorders>
              <w:top w:val="single" w:sz="6" w:space="0" w:color="auto"/>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Motor vehicle regulatory fees</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232.6</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228.6</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204.6</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180.2</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191.7</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regulatory fees</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473.5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501.1</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511.4</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522.8</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527.9</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Sale of goods</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73.6</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68.6</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67.9</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68.7</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69.4</w:t>
            </w:r>
          </w:p>
        </w:tc>
      </w:tr>
      <w:tr w:rsidR="00B03921" w:rsidRPr="00DC2D28" w:rsidTr="00016914">
        <w:tc>
          <w:tcPr>
            <w:tcW w:w="2790" w:type="dxa"/>
            <w:tcBorders>
              <w:top w:val="nil"/>
              <w:left w:val="nil"/>
              <w:bottom w:val="nil"/>
              <w:right w:val="nil"/>
            </w:tcBorders>
            <w:shd w:val="solid" w:color="FFFFFF" w:fill="auto"/>
          </w:tcPr>
          <w:p w:rsidR="00B03921" w:rsidRPr="00DC2D28" w:rsidRDefault="00B03921" w:rsidP="00016914">
            <w:pPr>
              <w:pStyle w:val="Tabletext"/>
              <w:rPr>
                <w:rFonts w:eastAsiaTheme="minorEastAsia"/>
                <w:vertAlign w:val="superscript"/>
                <w:lang w:eastAsia="en-AU"/>
              </w:rPr>
            </w:pPr>
            <w:r w:rsidRPr="00DC2D28">
              <w:rPr>
                <w:rFonts w:eastAsiaTheme="minorEastAsia"/>
                <w:lang w:eastAsia="en-AU"/>
              </w:rPr>
              <w:t>Provision of services</w:t>
            </w:r>
            <w:r w:rsidRPr="00DC2D28">
              <w:rPr>
                <w:rFonts w:eastAsiaTheme="minorEastAsia"/>
                <w:vertAlign w:val="superscript"/>
                <w:lang w:eastAsia="en-AU"/>
              </w:rPr>
              <w:t>(a)</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4 029.3</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4 </w:t>
            </w:r>
            <w:r w:rsidRPr="00DC2D28">
              <w:rPr>
                <w:rFonts w:eastAsiaTheme="minorEastAsia" w:cs="Calibri"/>
                <w:color w:val="000000"/>
                <w:lang w:eastAsia="en-AU"/>
              </w:rPr>
              <w:t>114.0</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4 </w:t>
            </w:r>
            <w:r w:rsidRPr="00DC2D28">
              <w:rPr>
                <w:rFonts w:eastAsiaTheme="minorEastAsia" w:cs="Calibri"/>
                <w:color w:val="000000"/>
                <w:lang w:eastAsia="en-AU"/>
              </w:rPr>
              <w:t>108.4</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4 </w:t>
            </w:r>
            <w:r w:rsidRPr="00DC2D28">
              <w:rPr>
                <w:rFonts w:eastAsiaTheme="minorEastAsia" w:cs="Calibri"/>
                <w:color w:val="000000"/>
                <w:lang w:eastAsia="en-AU"/>
              </w:rPr>
              <w:t>180.5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4 </w:t>
            </w:r>
            <w:r w:rsidRPr="00DC2D28">
              <w:rPr>
                <w:rFonts w:eastAsiaTheme="minorEastAsia" w:cs="Calibri"/>
                <w:color w:val="000000"/>
                <w:lang w:eastAsia="en-AU"/>
              </w:rPr>
              <w:t>150.6</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Rental</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59.6</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59.4</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59.5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59.5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59.5</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Refunds and reimbursements</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69.7</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55.5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55.5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55.5</w:t>
            </w:r>
          </w:p>
        </w:tc>
        <w:tc>
          <w:tcPr>
            <w:tcW w:w="994" w:type="dxa"/>
            <w:tcBorders>
              <w:top w:val="nil"/>
              <w:left w:val="nil"/>
              <w:bottom w:val="nil"/>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 55.5</w:t>
            </w:r>
          </w:p>
        </w:tc>
      </w:tr>
      <w:tr w:rsidR="00B03921" w:rsidRPr="00DC2D28" w:rsidTr="00016914">
        <w:tc>
          <w:tcPr>
            <w:tcW w:w="2790"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Inter-sector capital asset charge</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1 587.2</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1 </w:t>
            </w:r>
            <w:r w:rsidRPr="00DC2D28">
              <w:rPr>
                <w:rFonts w:eastAsiaTheme="minorEastAsia" w:cs="Calibri"/>
                <w:color w:val="000000"/>
                <w:lang w:eastAsia="en-AU"/>
              </w:rPr>
              <w:t>751.8</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1 </w:t>
            </w:r>
            <w:r w:rsidRPr="00DC2D28">
              <w:rPr>
                <w:rFonts w:eastAsiaTheme="minorEastAsia" w:cs="Calibri"/>
                <w:color w:val="000000"/>
                <w:lang w:eastAsia="en-AU"/>
              </w:rPr>
              <w:t>901.6</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1 </w:t>
            </w:r>
            <w:r w:rsidRPr="00DC2D28">
              <w:rPr>
                <w:rFonts w:eastAsiaTheme="minorEastAsia" w:cs="Calibri"/>
                <w:color w:val="000000"/>
                <w:lang w:eastAsia="en-AU"/>
              </w:rPr>
              <w:t>949.2</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cs="Calibri"/>
                <w:color w:val="000000"/>
                <w:lang w:eastAsia="en-AU"/>
              </w:rPr>
            </w:pPr>
            <w:r w:rsidRPr="00DC2D28">
              <w:rPr>
                <w:rFonts w:eastAsiaTheme="minorEastAsia"/>
                <w:lang w:eastAsia="en-AU"/>
              </w:rPr>
              <w:t xml:space="preserve">1 </w:t>
            </w:r>
            <w:r w:rsidRPr="00DC2D28">
              <w:rPr>
                <w:rFonts w:eastAsiaTheme="minorEastAsia" w:cs="Calibri"/>
                <w:color w:val="000000"/>
                <w:lang w:eastAsia="en-AU"/>
              </w:rPr>
              <w:t>971.2</w:t>
            </w:r>
          </w:p>
        </w:tc>
      </w:tr>
      <w:tr w:rsidR="00B03921" w:rsidRPr="00DC2D28" w:rsidTr="00016914">
        <w:tc>
          <w:tcPr>
            <w:tcW w:w="279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sales of goods and services</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6 525.5</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6 </w:t>
            </w:r>
            <w:r w:rsidRPr="00DC2D28">
              <w:rPr>
                <w:rFonts w:eastAsiaTheme="minorEastAsia" w:cs="Calibri"/>
                <w:b/>
                <w:bCs/>
                <w:color w:val="000000"/>
                <w:lang w:eastAsia="en-AU"/>
              </w:rPr>
              <w:t>779.1</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6 </w:t>
            </w:r>
            <w:r w:rsidRPr="00DC2D28">
              <w:rPr>
                <w:rFonts w:eastAsiaTheme="minorEastAsia" w:cs="Calibri"/>
                <w:b/>
                <w:bCs/>
                <w:color w:val="000000"/>
                <w:lang w:eastAsia="en-AU"/>
              </w:rPr>
              <w:t>908.9</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7 </w:t>
            </w:r>
            <w:r w:rsidRPr="00DC2D28">
              <w:rPr>
                <w:rFonts w:eastAsiaTheme="minorEastAsia" w:cs="Calibri"/>
                <w:b/>
                <w:bCs/>
                <w:color w:val="000000"/>
                <w:lang w:eastAsia="en-AU"/>
              </w:rPr>
              <w:t>016.3</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7 </w:t>
            </w:r>
            <w:r w:rsidRPr="00DC2D28">
              <w:rPr>
                <w:rFonts w:eastAsiaTheme="minorEastAsia" w:cs="Calibri"/>
                <w:b/>
                <w:bCs/>
                <w:color w:val="000000"/>
                <w:lang w:eastAsia="en-AU"/>
              </w:rPr>
              <w:t>025.7</w:t>
            </w:r>
          </w:p>
        </w:tc>
      </w:tr>
    </w:tbl>
    <w:p w:rsidR="00B03921" w:rsidRDefault="00B03921" w:rsidP="00016914">
      <w:pPr>
        <w:pStyle w:val="Source"/>
      </w:pPr>
      <w:r w:rsidRPr="00954300">
        <w:t>Source: Department of Treasury and Finance</w:t>
      </w:r>
    </w:p>
    <w:p w:rsidR="00B03921" w:rsidRDefault="00B03921" w:rsidP="00016914">
      <w:pPr>
        <w:pStyle w:val="Notes"/>
      </w:pPr>
      <w:r>
        <w:t>Note:</w:t>
      </w:r>
    </w:p>
    <w:p w:rsidR="00B03921" w:rsidRDefault="00B03921" w:rsidP="00016914">
      <w:pPr>
        <w:pStyle w:val="Notes"/>
      </w:pPr>
      <w:r>
        <w:t xml:space="preserve">(a) </w:t>
      </w:r>
      <w:r>
        <w:tab/>
        <w:t>Further disclosure on provision of services by department is available on the Department of Treasury and Finance</w:t>
      </w:r>
      <w:r w:rsidR="00BA5A16">
        <w:t>’</w:t>
      </w:r>
      <w:r>
        <w:t>s website.</w:t>
      </w:r>
    </w:p>
    <w:p w:rsidR="00B03921" w:rsidRDefault="00B03921" w:rsidP="00016914">
      <w:pPr>
        <w:pStyle w:val="Heading1"/>
      </w:pPr>
      <w:bookmarkStart w:id="132" w:name="_Toc418274772"/>
      <w:r>
        <w:t>Dividends, income tax equivalent and rate equivalent revenue</w:t>
      </w:r>
      <w:bookmarkEnd w:id="132"/>
    </w:p>
    <w:p w:rsidR="00B03921" w:rsidRDefault="00B03921" w:rsidP="00016914">
      <w:r>
        <w:t>This category comprises dividends, income tax and rate equivalent revenue received by the State from government business enterprises. Details are shown in Table 4.15.</w:t>
      </w:r>
    </w:p>
    <w:p w:rsidR="00B03921" w:rsidRDefault="00B03921" w:rsidP="00016914">
      <w:r>
        <w:t>Dividends, income tax and rate equivalent revenue is projected to be $1.1 billion in 2015</w:t>
      </w:r>
      <w:r>
        <w:noBreakHyphen/>
        <w:t>16, an increase of 11.6 per cent from 2014-15. The movement in revenue in 2015-16 is largely driven by the improved performance from the Public Financial Corporation (PFC) sector.</w:t>
      </w:r>
    </w:p>
    <w:p w:rsidR="00B03921" w:rsidRDefault="00B03921" w:rsidP="00016914">
      <w:r>
        <w:t>Consistent with previous commitments, the Government is not taking a dividend from WorkSafe Victoria across the budget and forward estimates. Instead, accumulated surpluses will be used to fund improvements to benefits for injured workers, lower premiums for Victorian businesses and programs to improve workplace safety and the health of the Victorian workforce. The Government has convened a WorkHealth advisory group to advise how best to meet these commitments before returning monies to the State in future years.</w:t>
      </w:r>
    </w:p>
    <w:p w:rsidR="00B03921" w:rsidRDefault="00B03921">
      <w:pPr>
        <w:spacing w:after="0"/>
        <w:rPr>
          <w:rFonts w:ascii="Calibri" w:hAnsi="Calibri"/>
          <w:b/>
        </w:rPr>
      </w:pPr>
      <w:r>
        <w:br w:type="page"/>
      </w:r>
    </w:p>
    <w:p w:rsidR="00B03921" w:rsidRPr="000D2305" w:rsidRDefault="00B03921" w:rsidP="00016914">
      <w:pPr>
        <w:pStyle w:val="Tableheading"/>
      </w:pPr>
      <w:r>
        <w:t>Table 4.15:</w:t>
      </w:r>
      <w:r>
        <w:tab/>
        <w:t>Dividends, income tax equivalent and rate equivalent revenue</w:t>
      </w:r>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497EDD" w:rsidRPr="00DC2D28" w:rsidTr="00423972">
        <w:trPr>
          <w:trHeight w:val="503"/>
          <w:tblHeader/>
        </w:trPr>
        <w:tc>
          <w:tcPr>
            <w:tcW w:w="2790" w:type="dxa"/>
            <w:tcBorders>
              <w:top w:val="single" w:sz="6" w:space="0" w:color="auto"/>
              <w:left w:val="single" w:sz="6" w:space="0" w:color="auto"/>
              <w:right w:val="nil"/>
            </w:tcBorders>
            <w:shd w:val="clear" w:color="000000" w:fill="000000"/>
          </w:tcPr>
          <w:p w:rsidR="00497EDD" w:rsidRPr="00DC2D28" w:rsidRDefault="00497EDD" w:rsidP="00016914">
            <w:pPr>
              <w:pStyle w:val="Tabletext"/>
              <w:rPr>
                <w:rFonts w:eastAsiaTheme="minorEastAsia"/>
                <w:i/>
                <w:lang w:eastAsia="en-AU"/>
              </w:rPr>
            </w:pPr>
            <w:r w:rsidRPr="00DC2D28">
              <w:rPr>
                <w:rFonts w:eastAsiaTheme="minorEastAsia"/>
                <w:i/>
                <w:lang w:eastAsia="en-AU"/>
              </w:rPr>
              <w:t xml:space="preserve"> </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2014-15</w:t>
            </w:r>
            <w:r>
              <w:rPr>
                <w:rFonts w:eastAsiaTheme="minorEastAsia"/>
                <w:color w:val="FFFFFF"/>
                <w:lang w:eastAsia="en-AU"/>
              </w:rPr>
              <w:t xml:space="preserve"> </w:t>
            </w:r>
            <w:r w:rsidRPr="00DC2D28">
              <w:rPr>
                <w:rFonts w:eastAsiaTheme="minorEastAsia"/>
                <w:color w:val="FFFFFF"/>
                <w:lang w:eastAsia="en-AU"/>
              </w:rPr>
              <w:t>revised</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2015-16</w:t>
            </w:r>
            <w:r>
              <w:rPr>
                <w:rFonts w:eastAsiaTheme="minorEastAsia"/>
                <w:color w:val="FFFFFF"/>
                <w:lang w:eastAsia="en-AU"/>
              </w:rPr>
              <w:t xml:space="preserve"> </w:t>
            </w:r>
            <w:r w:rsidRPr="00DC2D28">
              <w:rPr>
                <w:rFonts w:eastAsiaTheme="minorEastAsia"/>
                <w:color w:val="FFFFFF"/>
                <w:lang w:eastAsia="en-AU"/>
              </w:rPr>
              <w:t>budget</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2016-17</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2017-18</w:t>
            </w:r>
            <w:r>
              <w:rPr>
                <w:rFonts w:eastAsiaTheme="minorEastAsia"/>
                <w:color w:val="FFFFFF"/>
                <w:lang w:eastAsia="en-AU"/>
              </w:rPr>
              <w:t xml:space="preserve"> </w:t>
            </w:r>
            <w:r w:rsidRPr="00DC2D28">
              <w:rPr>
                <w:rFonts w:eastAsiaTheme="minorEastAsia"/>
                <w:color w:val="FFFFFF"/>
                <w:lang w:eastAsia="en-AU"/>
              </w:rPr>
              <w:t>estimate</w:t>
            </w:r>
          </w:p>
        </w:tc>
        <w:tc>
          <w:tcPr>
            <w:tcW w:w="994" w:type="dxa"/>
            <w:tcBorders>
              <w:top w:val="single" w:sz="6" w:space="0" w:color="auto"/>
              <w:left w:val="nil"/>
              <w:right w:val="single" w:sz="6" w:space="0" w:color="auto"/>
            </w:tcBorders>
            <w:shd w:val="clear" w:color="000000" w:fill="000000"/>
          </w:tcPr>
          <w:p w:rsidR="00497EDD" w:rsidRPr="00DC2D28" w:rsidRDefault="00497EDD" w:rsidP="00497EDD">
            <w:pPr>
              <w:pStyle w:val="Tabletextheading"/>
              <w:rPr>
                <w:rFonts w:eastAsiaTheme="minorEastAsia"/>
                <w:color w:val="FFFFFF"/>
                <w:lang w:eastAsia="en-AU"/>
              </w:rPr>
            </w:pPr>
            <w:r w:rsidRPr="00DC2D28">
              <w:rPr>
                <w:rFonts w:eastAsiaTheme="minorEastAsia"/>
                <w:color w:val="FFFFFF"/>
                <w:lang w:eastAsia="en-AU"/>
              </w:rPr>
              <w:t>2018-19</w:t>
            </w:r>
            <w:r>
              <w:rPr>
                <w:rFonts w:eastAsiaTheme="minorEastAsia"/>
                <w:color w:val="FFFFFF"/>
                <w:lang w:eastAsia="en-AU"/>
              </w:rPr>
              <w:t xml:space="preserve"> </w:t>
            </w:r>
            <w:r w:rsidRPr="00DC2D28">
              <w:rPr>
                <w:rFonts w:eastAsiaTheme="minorEastAsia"/>
                <w:color w:val="FFFFFF"/>
                <w:lang w:eastAsia="en-AU"/>
              </w:rPr>
              <w:t>estimate</w:t>
            </w:r>
          </w:p>
        </w:tc>
      </w:tr>
      <w:tr w:rsidR="00B03921" w:rsidRPr="00DC2D28" w:rsidTr="00016914">
        <w:tc>
          <w:tcPr>
            <w:tcW w:w="2790" w:type="dxa"/>
            <w:tcBorders>
              <w:top w:val="single" w:sz="6" w:space="0" w:color="auto"/>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Dividends</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844.0</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849.6</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733.3</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730.0</w:t>
            </w:r>
          </w:p>
        </w:tc>
        <w:tc>
          <w:tcPr>
            <w:tcW w:w="994" w:type="dxa"/>
            <w:tcBorders>
              <w:top w:val="single" w:sz="6" w:space="0" w:color="auto"/>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577.5</w:t>
            </w:r>
          </w:p>
        </w:tc>
      </w:tr>
      <w:tr w:rsidR="00B03921" w:rsidRPr="00DC2D28" w:rsidTr="00016914">
        <w:tc>
          <w:tcPr>
            <w:tcW w:w="2790"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Income tax equivalent revenue</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175.1</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287.1</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251.9</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276.9</w:t>
            </w:r>
          </w:p>
        </w:tc>
        <w:tc>
          <w:tcPr>
            <w:tcW w:w="994"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463.8</w:t>
            </w:r>
          </w:p>
        </w:tc>
      </w:tr>
      <w:tr w:rsidR="00B03921" w:rsidRPr="00DC2D28" w:rsidTr="00016914">
        <w:tc>
          <w:tcPr>
            <w:tcW w:w="2790" w:type="dxa"/>
            <w:tcBorders>
              <w:top w:val="nil"/>
              <w:left w:val="nil"/>
              <w:bottom w:val="single" w:sz="6" w:space="0" w:color="auto"/>
              <w:right w:val="nil"/>
            </w:tcBorders>
            <w:shd w:val="solid" w:color="FFFFFF" w:fill="auto"/>
          </w:tcPr>
          <w:p w:rsidR="00B03921" w:rsidRPr="00DC2D28" w:rsidRDefault="00B03921" w:rsidP="00016914">
            <w:pPr>
              <w:pStyle w:val="Tabletext"/>
              <w:rPr>
                <w:rFonts w:eastAsiaTheme="minorEastAsia"/>
                <w:lang w:eastAsia="en-AU"/>
              </w:rPr>
            </w:pPr>
            <w:r w:rsidRPr="00DC2D28">
              <w:rPr>
                <w:rFonts w:eastAsiaTheme="minorEastAsia"/>
                <w:lang w:eastAsia="en-AU"/>
              </w:rPr>
              <w:t>Local government rate equivalent revenue</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6.3</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7.5</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3.7</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4.9</w:t>
            </w:r>
          </w:p>
        </w:tc>
        <w:tc>
          <w:tcPr>
            <w:tcW w:w="994"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11.0</w:t>
            </w:r>
          </w:p>
        </w:tc>
      </w:tr>
      <w:tr w:rsidR="00B03921" w:rsidRPr="00DC2D28" w:rsidTr="00016914">
        <w:tc>
          <w:tcPr>
            <w:tcW w:w="2790"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dividends, income tax equivalent and rate equivalent revenue</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1 025.5</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1 </w:t>
            </w:r>
            <w:r w:rsidRPr="00DC2D28">
              <w:rPr>
                <w:rFonts w:eastAsiaTheme="minorEastAsia" w:cs="Calibri"/>
                <w:b/>
                <w:bCs/>
                <w:color w:val="000000"/>
                <w:lang w:eastAsia="en-AU"/>
              </w:rPr>
              <w:t>144.3</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 988.8</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1 </w:t>
            </w:r>
            <w:r w:rsidRPr="00DC2D28">
              <w:rPr>
                <w:rFonts w:eastAsiaTheme="minorEastAsia" w:cs="Calibri"/>
                <w:b/>
                <w:bCs/>
                <w:color w:val="000000"/>
                <w:lang w:eastAsia="en-AU"/>
              </w:rPr>
              <w:t>011.8</w:t>
            </w:r>
          </w:p>
        </w:tc>
        <w:tc>
          <w:tcPr>
            <w:tcW w:w="994"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cs="Calibri"/>
                <w:b/>
                <w:bCs/>
                <w:color w:val="000000"/>
                <w:lang w:eastAsia="en-AU"/>
              </w:rPr>
            </w:pPr>
            <w:r w:rsidRPr="00DC2D28">
              <w:rPr>
                <w:rFonts w:eastAsiaTheme="minorEastAsia"/>
                <w:b/>
                <w:bCs/>
                <w:lang w:eastAsia="en-AU"/>
              </w:rPr>
              <w:t xml:space="preserve">1 </w:t>
            </w:r>
            <w:r w:rsidRPr="00DC2D28">
              <w:rPr>
                <w:rFonts w:eastAsiaTheme="minorEastAsia" w:cs="Calibri"/>
                <w:b/>
                <w:bCs/>
                <w:color w:val="000000"/>
                <w:lang w:eastAsia="en-AU"/>
              </w:rPr>
              <w:t>052.4</w:t>
            </w:r>
          </w:p>
        </w:tc>
      </w:tr>
    </w:tbl>
    <w:p w:rsidR="00B03921" w:rsidRDefault="00B03921" w:rsidP="00016914">
      <w:pPr>
        <w:pStyle w:val="BodyText"/>
        <w:spacing w:after="0"/>
      </w:pPr>
      <w:r w:rsidRPr="00954300">
        <w:rPr>
          <w:rFonts w:ascii="Calibri" w:hAnsi="Calibri"/>
          <w:i/>
          <w:sz w:val="15"/>
        </w:rPr>
        <w:t>Source: Department of Treasury and Finance</w:t>
      </w:r>
    </w:p>
    <w:p w:rsidR="00B03921" w:rsidRDefault="00B03921" w:rsidP="00016914">
      <w:pPr>
        <w:pStyle w:val="Heading1"/>
      </w:pPr>
      <w:bookmarkStart w:id="133" w:name="_Toc418274773"/>
      <w:r>
        <w:t>Interest revenue</w:t>
      </w:r>
      <w:bookmarkEnd w:id="133"/>
    </w:p>
    <w:p w:rsidR="00B03921" w:rsidRDefault="00B03921" w:rsidP="00016914">
      <w:r>
        <w:t>Interest revenue is earned on holdings of cash and deposits across a number of general government sector agencies, including departments, hospitals and schools.</w:t>
      </w:r>
    </w:p>
    <w:p w:rsidR="00B03921" w:rsidRDefault="00B03921" w:rsidP="00016914">
      <w:r>
        <w:t>Interest revenue is expected to be $831 million in 2015-16, and grow by an average of 1.4 per cent a year over the forward estimates.</w:t>
      </w:r>
    </w:p>
    <w:p w:rsidR="00B03921" w:rsidRDefault="00B03921" w:rsidP="00016914">
      <w:pPr>
        <w:pStyle w:val="Heading1"/>
      </w:pPr>
      <w:bookmarkStart w:id="134" w:name="_Toc418274774"/>
      <w:r>
        <w:t>Other revenue</w:t>
      </w:r>
      <w:bookmarkEnd w:id="134"/>
    </w:p>
    <w:p w:rsidR="00B03921" w:rsidRPr="007E4E2E" w:rsidRDefault="00B03921" w:rsidP="00016914">
      <w:r>
        <w:t xml:space="preserve">Other revenue includes fines, donations and gifts and royalties, these are shown in Table 4.16. </w:t>
      </w:r>
      <w:r w:rsidRPr="00FA0F90">
        <w:t>Other revenue is projected</w:t>
      </w:r>
      <w:r w:rsidRPr="007E4E2E">
        <w:t xml:space="preserve"> to </w:t>
      </w:r>
      <w:r>
        <w:t>be $2.2 billion</w:t>
      </w:r>
      <w:r w:rsidRPr="007E4E2E">
        <w:t xml:space="preserve"> </w:t>
      </w:r>
      <w:r>
        <w:t>in 2015</w:t>
      </w:r>
      <w:r>
        <w:noBreakHyphen/>
        <w:t>16 and grow by an average of 1.8 per cent a year</w:t>
      </w:r>
      <w:r w:rsidRPr="007E4E2E">
        <w:t xml:space="preserve"> across the forward estimates.</w:t>
      </w:r>
    </w:p>
    <w:p w:rsidR="00B03921" w:rsidRDefault="00B03921" w:rsidP="00016914">
      <w:pPr>
        <w:pStyle w:val="Tableheading"/>
      </w:pPr>
      <w:r>
        <w:t>Table 4.16:</w:t>
      </w:r>
      <w:r>
        <w:tab/>
        <w:t>Other revenue</w:t>
      </w:r>
    </w:p>
    <w:p w:rsidR="00B03921" w:rsidRPr="00DC2D28"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181"/>
        <w:gridCol w:w="952"/>
        <w:gridCol w:w="882"/>
        <w:gridCol w:w="923"/>
        <w:gridCol w:w="896"/>
        <w:gridCol w:w="926"/>
      </w:tblGrid>
      <w:tr w:rsidR="00497EDD" w:rsidRPr="00DC2D28" w:rsidTr="00497EDD">
        <w:trPr>
          <w:trHeight w:val="503"/>
          <w:tblHeader/>
        </w:trPr>
        <w:tc>
          <w:tcPr>
            <w:tcW w:w="3181" w:type="dxa"/>
            <w:tcBorders>
              <w:top w:val="single" w:sz="6" w:space="0" w:color="auto"/>
              <w:left w:val="single" w:sz="6" w:space="0" w:color="auto"/>
              <w:right w:val="nil"/>
            </w:tcBorders>
            <w:shd w:val="clear" w:color="000000" w:fill="000000"/>
          </w:tcPr>
          <w:p w:rsidR="00497EDD" w:rsidRPr="00DC2D28" w:rsidRDefault="00497EDD" w:rsidP="00016914">
            <w:pPr>
              <w:pStyle w:val="Tabletext"/>
              <w:rPr>
                <w:rFonts w:eastAsiaTheme="minorEastAsia"/>
                <w:lang w:eastAsia="en-AU"/>
              </w:rPr>
            </w:pPr>
          </w:p>
        </w:tc>
        <w:tc>
          <w:tcPr>
            <w:tcW w:w="952"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iCs/>
                <w:color w:val="FFFFFF"/>
                <w:lang w:eastAsia="en-AU"/>
              </w:rPr>
            </w:pPr>
            <w:r w:rsidRPr="00DC2D28">
              <w:rPr>
                <w:rFonts w:eastAsiaTheme="minorEastAsia"/>
                <w:iCs/>
                <w:color w:val="FFFFFF"/>
                <w:lang w:eastAsia="en-AU"/>
              </w:rPr>
              <w:t>2014-15</w:t>
            </w:r>
            <w:r>
              <w:rPr>
                <w:rFonts w:eastAsiaTheme="minorEastAsia"/>
                <w:iCs/>
                <w:color w:val="FFFFFF"/>
                <w:lang w:eastAsia="en-AU"/>
              </w:rPr>
              <w:t xml:space="preserve"> </w:t>
            </w:r>
            <w:r w:rsidRPr="00DC2D28">
              <w:rPr>
                <w:rFonts w:eastAsiaTheme="minorEastAsia"/>
                <w:iCs/>
                <w:color w:val="FFFFFF"/>
                <w:lang w:eastAsia="en-AU"/>
              </w:rPr>
              <w:t>revised</w:t>
            </w:r>
          </w:p>
        </w:tc>
        <w:tc>
          <w:tcPr>
            <w:tcW w:w="882"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iCs/>
                <w:color w:val="FFFFFF"/>
                <w:lang w:eastAsia="en-AU"/>
              </w:rPr>
            </w:pPr>
            <w:r w:rsidRPr="00DC2D28">
              <w:rPr>
                <w:rFonts w:eastAsiaTheme="minorEastAsia"/>
                <w:iCs/>
                <w:color w:val="FFFFFF"/>
                <w:lang w:eastAsia="en-AU"/>
              </w:rPr>
              <w:t>2015-16</w:t>
            </w:r>
            <w:r>
              <w:rPr>
                <w:rFonts w:eastAsiaTheme="minorEastAsia"/>
                <w:iCs/>
                <w:color w:val="FFFFFF"/>
                <w:lang w:eastAsia="en-AU"/>
              </w:rPr>
              <w:t xml:space="preserve"> </w:t>
            </w:r>
            <w:r w:rsidRPr="00DC2D28">
              <w:rPr>
                <w:rFonts w:eastAsiaTheme="minorEastAsia"/>
                <w:iCs/>
                <w:color w:val="FFFFFF"/>
                <w:lang w:eastAsia="en-AU"/>
              </w:rPr>
              <w:t>budget</w:t>
            </w:r>
          </w:p>
        </w:tc>
        <w:tc>
          <w:tcPr>
            <w:tcW w:w="923"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iCs/>
                <w:color w:val="FFFFFF"/>
                <w:lang w:eastAsia="en-AU"/>
              </w:rPr>
            </w:pPr>
            <w:r w:rsidRPr="00DC2D28">
              <w:rPr>
                <w:rFonts w:eastAsiaTheme="minorEastAsia"/>
                <w:iCs/>
                <w:color w:val="FFFFFF"/>
                <w:lang w:eastAsia="en-AU"/>
              </w:rPr>
              <w:t>2016-17</w:t>
            </w:r>
            <w:r>
              <w:rPr>
                <w:rFonts w:eastAsiaTheme="minorEastAsia"/>
                <w:iCs/>
                <w:color w:val="FFFFFF"/>
                <w:lang w:eastAsia="en-AU"/>
              </w:rPr>
              <w:t xml:space="preserve"> </w:t>
            </w:r>
            <w:r w:rsidRPr="00DC2D28">
              <w:rPr>
                <w:rFonts w:eastAsiaTheme="minorEastAsia"/>
                <w:iCs/>
                <w:color w:val="FFFFFF"/>
                <w:lang w:eastAsia="en-AU"/>
              </w:rPr>
              <w:t>estimate</w:t>
            </w:r>
          </w:p>
        </w:tc>
        <w:tc>
          <w:tcPr>
            <w:tcW w:w="896" w:type="dxa"/>
            <w:tcBorders>
              <w:top w:val="single" w:sz="6" w:space="0" w:color="auto"/>
              <w:left w:val="nil"/>
              <w:right w:val="nil"/>
            </w:tcBorders>
            <w:shd w:val="clear" w:color="000000" w:fill="000000"/>
          </w:tcPr>
          <w:p w:rsidR="00497EDD" w:rsidRPr="00DC2D28" w:rsidRDefault="00497EDD" w:rsidP="00497EDD">
            <w:pPr>
              <w:pStyle w:val="Tabletextheading"/>
              <w:rPr>
                <w:rFonts w:eastAsiaTheme="minorEastAsia"/>
                <w:iCs/>
                <w:color w:val="FFFFFF"/>
                <w:lang w:eastAsia="en-AU"/>
              </w:rPr>
            </w:pPr>
            <w:r w:rsidRPr="00DC2D28">
              <w:rPr>
                <w:rFonts w:eastAsiaTheme="minorEastAsia"/>
                <w:iCs/>
                <w:color w:val="FFFFFF"/>
                <w:lang w:eastAsia="en-AU"/>
              </w:rPr>
              <w:t>2017-18</w:t>
            </w:r>
            <w:r>
              <w:rPr>
                <w:rFonts w:eastAsiaTheme="minorEastAsia"/>
                <w:iCs/>
                <w:color w:val="FFFFFF"/>
                <w:lang w:eastAsia="en-AU"/>
              </w:rPr>
              <w:t xml:space="preserve"> </w:t>
            </w:r>
            <w:r w:rsidRPr="00DC2D28">
              <w:rPr>
                <w:rFonts w:eastAsiaTheme="minorEastAsia"/>
                <w:iCs/>
                <w:color w:val="FFFFFF"/>
                <w:lang w:eastAsia="en-AU"/>
              </w:rPr>
              <w:t>estimate</w:t>
            </w:r>
          </w:p>
        </w:tc>
        <w:tc>
          <w:tcPr>
            <w:tcW w:w="926" w:type="dxa"/>
            <w:tcBorders>
              <w:top w:val="single" w:sz="6" w:space="0" w:color="auto"/>
              <w:left w:val="nil"/>
              <w:right w:val="single" w:sz="6" w:space="0" w:color="auto"/>
            </w:tcBorders>
            <w:shd w:val="clear" w:color="000000" w:fill="000000"/>
          </w:tcPr>
          <w:p w:rsidR="00497EDD" w:rsidRPr="00DC2D28" w:rsidRDefault="00497EDD" w:rsidP="00497EDD">
            <w:pPr>
              <w:pStyle w:val="Tabletextheading"/>
              <w:rPr>
                <w:rFonts w:eastAsiaTheme="minorEastAsia"/>
                <w:iCs/>
                <w:color w:val="FFFFFF"/>
                <w:lang w:eastAsia="en-AU"/>
              </w:rPr>
            </w:pPr>
            <w:r w:rsidRPr="00DC2D28">
              <w:rPr>
                <w:rFonts w:eastAsiaTheme="minorEastAsia"/>
                <w:iCs/>
                <w:color w:val="FFFFFF"/>
                <w:lang w:eastAsia="en-AU"/>
              </w:rPr>
              <w:t>2018-19</w:t>
            </w:r>
            <w:r>
              <w:rPr>
                <w:rFonts w:eastAsiaTheme="minorEastAsia"/>
                <w:iCs/>
                <w:color w:val="FFFFFF"/>
                <w:lang w:eastAsia="en-AU"/>
              </w:rPr>
              <w:t xml:space="preserve"> </w:t>
            </w:r>
            <w:r w:rsidRPr="00DC2D28">
              <w:rPr>
                <w:rFonts w:eastAsiaTheme="minorEastAsia"/>
                <w:iCs/>
                <w:color w:val="FFFFFF"/>
                <w:lang w:eastAsia="en-AU"/>
              </w:rPr>
              <w:t>estimate</w:t>
            </w:r>
          </w:p>
        </w:tc>
      </w:tr>
      <w:tr w:rsidR="00497EDD" w:rsidRPr="00DC2D28" w:rsidTr="00423972">
        <w:tc>
          <w:tcPr>
            <w:tcW w:w="7760" w:type="dxa"/>
            <w:gridSpan w:val="6"/>
            <w:tcBorders>
              <w:top w:val="single" w:sz="6" w:space="0" w:color="auto"/>
              <w:left w:val="nil"/>
              <w:bottom w:val="nil"/>
              <w:right w:val="nil"/>
            </w:tcBorders>
          </w:tcPr>
          <w:p w:rsidR="00497EDD" w:rsidRPr="00DC2D28" w:rsidRDefault="00497EDD" w:rsidP="00497EDD">
            <w:pPr>
              <w:pStyle w:val="Tabletext"/>
              <w:rPr>
                <w:rFonts w:eastAsiaTheme="minorEastAsia"/>
                <w:b/>
                <w:lang w:eastAsia="en-AU"/>
              </w:rPr>
            </w:pPr>
            <w:r w:rsidRPr="00DC2D28">
              <w:rPr>
                <w:rFonts w:eastAsiaTheme="minorEastAsia"/>
                <w:b/>
                <w:bCs/>
                <w:lang w:eastAsia="en-AU"/>
              </w:rPr>
              <w:t>Fines</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Road safety camera fines</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338.1</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345.8</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353.5</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361.5</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369.6</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Police on-the-spot fines</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177.2</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181.2</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185.3</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189.4</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193.7</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Toll road evasion fines</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149.6</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153.0</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156.4</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159.9</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163.5</w:t>
            </w:r>
          </w:p>
        </w:tc>
      </w:tr>
      <w:tr w:rsidR="00B03921" w:rsidRPr="00DC2D28" w:rsidTr="00497EDD">
        <w:tc>
          <w:tcPr>
            <w:tcW w:w="3181"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 xml:space="preserve">Non-traffic statutory and court fines </w:t>
            </w:r>
          </w:p>
        </w:tc>
        <w:tc>
          <w:tcPr>
            <w:tcW w:w="952"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90.8</w:t>
            </w:r>
          </w:p>
        </w:tc>
        <w:tc>
          <w:tcPr>
            <w:tcW w:w="882"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97.4</w:t>
            </w:r>
          </w:p>
        </w:tc>
        <w:tc>
          <w:tcPr>
            <w:tcW w:w="923"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104.1</w:t>
            </w:r>
          </w:p>
        </w:tc>
        <w:tc>
          <w:tcPr>
            <w:tcW w:w="896"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105.8</w:t>
            </w:r>
          </w:p>
        </w:tc>
        <w:tc>
          <w:tcPr>
            <w:tcW w:w="926"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105.5</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 xml:space="preserve">Total fines </w:t>
            </w:r>
          </w:p>
        </w:tc>
        <w:tc>
          <w:tcPr>
            <w:tcW w:w="952"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755.7</w:t>
            </w:r>
          </w:p>
        </w:tc>
        <w:tc>
          <w:tcPr>
            <w:tcW w:w="882"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777.3</w:t>
            </w:r>
          </w:p>
        </w:tc>
        <w:tc>
          <w:tcPr>
            <w:tcW w:w="923"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799.3</w:t>
            </w:r>
          </w:p>
        </w:tc>
        <w:tc>
          <w:tcPr>
            <w:tcW w:w="896"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816.7</w:t>
            </w:r>
          </w:p>
        </w:tc>
        <w:tc>
          <w:tcPr>
            <w:tcW w:w="926" w:type="dxa"/>
            <w:tcBorders>
              <w:top w:val="nil"/>
              <w:left w:val="nil"/>
              <w:bottom w:val="nil"/>
              <w:right w:val="nil"/>
            </w:tcBorders>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 xml:space="preserve"> 832.4</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Fair value of assets received free of charge or for nominal consideration</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95.4</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61.6</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61.8</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61.5</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59.5</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Royalties</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51.3</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51.2</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51.1</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51.1</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51.1</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Donations and gifts</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305.5</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304.2</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345.9</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299.5</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301.7</w:t>
            </w:r>
          </w:p>
        </w:tc>
      </w:tr>
      <w:tr w:rsidR="00B03921" w:rsidRPr="00DC2D28" w:rsidTr="00497EDD">
        <w:tc>
          <w:tcPr>
            <w:tcW w:w="3181" w:type="dxa"/>
            <w:tcBorders>
              <w:top w:val="nil"/>
              <w:left w:val="nil"/>
              <w:bottom w:val="nil"/>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non-property rental</w:t>
            </w:r>
          </w:p>
        </w:tc>
        <w:tc>
          <w:tcPr>
            <w:tcW w:w="95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20.1</w:t>
            </w:r>
          </w:p>
        </w:tc>
        <w:tc>
          <w:tcPr>
            <w:tcW w:w="882"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20.3</w:t>
            </w:r>
          </w:p>
        </w:tc>
        <w:tc>
          <w:tcPr>
            <w:tcW w:w="923"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20.4</w:t>
            </w:r>
          </w:p>
        </w:tc>
        <w:tc>
          <w:tcPr>
            <w:tcW w:w="89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20.4</w:t>
            </w:r>
          </w:p>
        </w:tc>
        <w:tc>
          <w:tcPr>
            <w:tcW w:w="926" w:type="dxa"/>
            <w:tcBorders>
              <w:top w:val="nil"/>
              <w:left w:val="nil"/>
              <w:bottom w:val="nil"/>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20.4</w:t>
            </w:r>
          </w:p>
        </w:tc>
      </w:tr>
      <w:tr w:rsidR="00B03921" w:rsidRPr="00DC2D28" w:rsidTr="00497EDD">
        <w:tc>
          <w:tcPr>
            <w:tcW w:w="3181" w:type="dxa"/>
            <w:tcBorders>
              <w:top w:val="nil"/>
              <w:left w:val="nil"/>
              <w:bottom w:val="single" w:sz="6" w:space="0" w:color="auto"/>
              <w:right w:val="nil"/>
            </w:tcBorders>
          </w:tcPr>
          <w:p w:rsidR="00B03921" w:rsidRPr="00DC2D28" w:rsidRDefault="00B03921" w:rsidP="00016914">
            <w:pPr>
              <w:pStyle w:val="Tabletext"/>
              <w:rPr>
                <w:rFonts w:eastAsiaTheme="minorEastAsia"/>
                <w:lang w:eastAsia="en-AU"/>
              </w:rPr>
            </w:pPr>
            <w:r w:rsidRPr="00DC2D28">
              <w:rPr>
                <w:rFonts w:eastAsiaTheme="minorEastAsia"/>
                <w:lang w:eastAsia="en-AU"/>
              </w:rPr>
              <w:t>Other miscellaneous revenue</w:t>
            </w:r>
          </w:p>
        </w:tc>
        <w:tc>
          <w:tcPr>
            <w:tcW w:w="952"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1 080.7</w:t>
            </w:r>
          </w:p>
        </w:tc>
        <w:tc>
          <w:tcPr>
            <w:tcW w:w="882"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956.0</w:t>
            </w:r>
          </w:p>
        </w:tc>
        <w:tc>
          <w:tcPr>
            <w:tcW w:w="923"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971.0</w:t>
            </w:r>
          </w:p>
        </w:tc>
        <w:tc>
          <w:tcPr>
            <w:tcW w:w="896"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 xml:space="preserve"> 986.2</w:t>
            </w:r>
          </w:p>
        </w:tc>
        <w:tc>
          <w:tcPr>
            <w:tcW w:w="926" w:type="dxa"/>
            <w:tcBorders>
              <w:top w:val="nil"/>
              <w:left w:val="nil"/>
              <w:bottom w:val="single" w:sz="6" w:space="0" w:color="auto"/>
              <w:right w:val="nil"/>
            </w:tcBorders>
          </w:tcPr>
          <w:p w:rsidR="00B03921" w:rsidRPr="00DC2D28" w:rsidRDefault="00B03921" w:rsidP="00016914">
            <w:pPr>
              <w:pStyle w:val="TableofFigures"/>
              <w:rPr>
                <w:rFonts w:eastAsiaTheme="minorEastAsia"/>
                <w:lang w:eastAsia="en-AU"/>
              </w:rPr>
            </w:pPr>
            <w:r w:rsidRPr="00DC2D28">
              <w:rPr>
                <w:rFonts w:eastAsiaTheme="minorEastAsia"/>
                <w:lang w:eastAsia="en-AU"/>
              </w:rPr>
              <w:t>1 024.1</w:t>
            </w:r>
          </w:p>
        </w:tc>
      </w:tr>
      <w:tr w:rsidR="00B03921" w:rsidRPr="00DC2D28" w:rsidTr="00497EDD">
        <w:tc>
          <w:tcPr>
            <w:tcW w:w="3181"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text"/>
              <w:rPr>
                <w:rFonts w:eastAsiaTheme="minorEastAsia"/>
                <w:b/>
                <w:bCs/>
                <w:lang w:eastAsia="en-AU"/>
              </w:rPr>
            </w:pPr>
            <w:r w:rsidRPr="00DC2D28">
              <w:rPr>
                <w:rFonts w:eastAsiaTheme="minorEastAsia"/>
                <w:b/>
                <w:bCs/>
                <w:lang w:eastAsia="en-AU"/>
              </w:rPr>
              <w:t>Total other revenue</w:t>
            </w:r>
          </w:p>
        </w:tc>
        <w:tc>
          <w:tcPr>
            <w:tcW w:w="952"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2 308.7</w:t>
            </w:r>
          </w:p>
        </w:tc>
        <w:tc>
          <w:tcPr>
            <w:tcW w:w="882"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2 170.6</w:t>
            </w:r>
          </w:p>
        </w:tc>
        <w:tc>
          <w:tcPr>
            <w:tcW w:w="923"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2 249.4</w:t>
            </w:r>
          </w:p>
        </w:tc>
        <w:tc>
          <w:tcPr>
            <w:tcW w:w="896"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2 235.4</w:t>
            </w:r>
          </w:p>
        </w:tc>
        <w:tc>
          <w:tcPr>
            <w:tcW w:w="926" w:type="dxa"/>
            <w:tcBorders>
              <w:top w:val="single" w:sz="6" w:space="0" w:color="auto"/>
              <w:left w:val="nil"/>
              <w:bottom w:val="single" w:sz="12" w:space="0" w:color="000000"/>
              <w:right w:val="nil"/>
            </w:tcBorders>
            <w:shd w:val="clear" w:color="auto" w:fill="auto"/>
          </w:tcPr>
          <w:p w:rsidR="00B03921" w:rsidRPr="00DC2D28" w:rsidRDefault="00B03921" w:rsidP="00016914">
            <w:pPr>
              <w:pStyle w:val="TableofFigures"/>
              <w:rPr>
                <w:rFonts w:eastAsiaTheme="minorEastAsia"/>
                <w:b/>
                <w:bCs/>
                <w:lang w:eastAsia="en-AU"/>
              </w:rPr>
            </w:pPr>
            <w:r w:rsidRPr="00DC2D28">
              <w:rPr>
                <w:rFonts w:eastAsiaTheme="minorEastAsia"/>
                <w:b/>
                <w:bCs/>
                <w:lang w:eastAsia="en-AU"/>
              </w:rPr>
              <w:t>2 289.1</w:t>
            </w:r>
          </w:p>
        </w:tc>
      </w:tr>
    </w:tbl>
    <w:p w:rsidR="00B03921" w:rsidRDefault="00B03921" w:rsidP="00016914">
      <w:pPr>
        <w:pStyle w:val="Source"/>
      </w:pPr>
      <w:r>
        <w:t>Source: Department of Treasury and Finance</w:t>
      </w:r>
    </w:p>
    <w:p w:rsidR="00E20B42" w:rsidRDefault="00E20B42" w:rsidP="00E20B42"/>
    <w:p w:rsidR="00B03921" w:rsidRDefault="00B03921" w:rsidP="00D22EC9"/>
    <w:p w:rsidR="00E20B42" w:rsidRDefault="00E20B42" w:rsidP="00D22EC9">
      <w:pPr>
        <w:sectPr w:rsidR="00E20B42" w:rsidSect="00C200B1">
          <w:footerReference w:type="even" r:id="rId73"/>
          <w:footerReference w:type="default" r:id="rId74"/>
          <w:type w:val="oddPage"/>
          <w:pgSz w:w="9979" w:h="14181" w:code="34"/>
          <w:pgMar w:top="1140" w:right="1140" w:bottom="1140" w:left="1140" w:header="720" w:footer="431" w:gutter="0"/>
          <w:cols w:space="708"/>
          <w:docGrid w:linePitch="360"/>
        </w:sectPr>
      </w:pPr>
    </w:p>
    <w:p w:rsidR="00B03921" w:rsidRDefault="00B03921" w:rsidP="00016914">
      <w:pPr>
        <w:pStyle w:val="ChapterHeading"/>
      </w:pPr>
      <w:bookmarkStart w:id="135" w:name="_Toc418274775"/>
      <w:r w:rsidRPr="0051682B">
        <w:t xml:space="preserve">Chapter </w:t>
      </w:r>
      <w:r>
        <w:t>5</w:t>
      </w:r>
      <w:r w:rsidRPr="0051682B">
        <w:t xml:space="preserve"> – </w:t>
      </w:r>
      <w:r>
        <w:t>Tax expenditures and concessions</w:t>
      </w:r>
      <w:bookmarkEnd w:id="135"/>
    </w:p>
    <w:p w:rsidR="00B03921" w:rsidRDefault="00B03921" w:rsidP="00016914">
      <w:r>
        <w:t xml:space="preserve">Tax expenditures and concessions are important because they represent foregone revenue to the State. They may take a number of different forms, for example, concessions, benefits and incentives delivered through the tax system. Regardless of form, they provide preferential financial benefit for certain taxpayers, activities or assets compared with normal taxation treatment. </w:t>
      </w:r>
    </w:p>
    <w:p w:rsidR="00B03921" w:rsidRDefault="00B03921" w:rsidP="00016914">
      <w:pPr>
        <w:pStyle w:val="Heading1"/>
      </w:pPr>
      <w:bookmarkStart w:id="136" w:name="_Toc418274776"/>
      <w:r>
        <w:t>Tax expenditures</w:t>
      </w:r>
      <w:bookmarkEnd w:id="136"/>
    </w:p>
    <w:p w:rsidR="00B03921" w:rsidRDefault="00B03921" w:rsidP="00016914">
      <w:r>
        <w:t>Over the past decade, the State has foregone $35.1 billion in revenue in the form of tax expenditures (excluding tax thresholds). In 2015</w:t>
      </w:r>
      <w:r>
        <w:noBreakHyphen/>
        <w:t xml:space="preserve">16, tax expenditures are forecast to be $5.1 billion, around a third of which will accrue to property owners. </w:t>
      </w:r>
    </w:p>
    <w:p w:rsidR="00B03921" w:rsidRDefault="00B03921" w:rsidP="00016914">
      <w:r>
        <w:t xml:space="preserve">Tax expenditures outlined below can include tax-free thresholds, exemptions or reduced rates, and deductions or rebates of a tax for a certain type of taxpayer, activity or asset. </w:t>
      </w:r>
    </w:p>
    <w:p w:rsidR="00B03921" w:rsidRDefault="00B03921" w:rsidP="00016914">
      <w:r>
        <w:t>Tax expenditures are estimated by taking the difference between the reduced tax paid by a person or entity receiving preferential treatment and the tax paid by similar taxpayers who do not receive that treatment. They exclude benefits arising from broadly applicable marginal tax rates as part of a tax scale.</w:t>
      </w:r>
    </w:p>
    <w:p w:rsidR="00B03921" w:rsidRDefault="00B03921" w:rsidP="00016914">
      <w:pPr>
        <w:keepNext/>
        <w:keepLines/>
      </w:pPr>
      <w:r>
        <w:t xml:space="preserve">This Budget introduces two new tax concessions to </w:t>
      </w:r>
      <w:r w:rsidRPr="00FE2852">
        <w:t xml:space="preserve">reduce </w:t>
      </w:r>
      <w:r>
        <w:t>the motor vehicle</w:t>
      </w:r>
      <w:r w:rsidRPr="006105C0">
        <w:t xml:space="preserve"> </w:t>
      </w:r>
      <w:r w:rsidRPr="00FE2852">
        <w:t>costs associated with running a business in Victoria.</w:t>
      </w:r>
      <w:r>
        <w:t xml:space="preserve"> These tax expenditures apply from 2015</w:t>
      </w:r>
      <w:r>
        <w:noBreakHyphen/>
        <w:t>16:</w:t>
      </w:r>
    </w:p>
    <w:p w:rsidR="00B03921" w:rsidRDefault="00B03921" w:rsidP="00016914">
      <w:pPr>
        <w:pStyle w:val="BulletText"/>
        <w:keepNext/>
        <w:keepLines/>
      </w:pPr>
      <w:r>
        <w:t xml:space="preserve">a 50 per cent discount to the vehicle </w:t>
      </w:r>
      <w:r w:rsidRPr="00B765E1">
        <w:t>registration fee for trade apprentices</w:t>
      </w:r>
      <w:r>
        <w:t xml:space="preserve"> who use their car for work; and</w:t>
      </w:r>
    </w:p>
    <w:p w:rsidR="00B03921" w:rsidRDefault="00B03921" w:rsidP="00016914">
      <w:pPr>
        <w:pStyle w:val="BulletText"/>
      </w:pPr>
      <w:r>
        <w:t xml:space="preserve">an exemption from </w:t>
      </w:r>
      <w:r w:rsidRPr="006105C0">
        <w:t xml:space="preserve">motor vehicle </w:t>
      </w:r>
      <w:r>
        <w:t xml:space="preserve">stamp duty for </w:t>
      </w:r>
      <w:r w:rsidRPr="006105C0">
        <w:t>vehicle</w:t>
      </w:r>
      <w:r>
        <w:t>s</w:t>
      </w:r>
      <w:r w:rsidRPr="006105C0">
        <w:t xml:space="preserve"> classified as mobile plant (under 4.5</w:t>
      </w:r>
      <w:r>
        <w:t> </w:t>
      </w:r>
      <w:r w:rsidRPr="006105C0">
        <w:t>tonnes) and plant based special purpose vehicles (over 4.5</w:t>
      </w:r>
      <w:r>
        <w:t> </w:t>
      </w:r>
      <w:r w:rsidRPr="006105C0">
        <w:t>tonnes)</w:t>
      </w:r>
      <w:r>
        <w:t>.</w:t>
      </w:r>
    </w:p>
    <w:p w:rsidR="00B03921" w:rsidRDefault="00B03921" w:rsidP="00016914">
      <w:r>
        <w:t>Table 5.1 shows aggregate tax expenditure estimates by the main tax categories for the period 2013</w:t>
      </w:r>
      <w:r>
        <w:noBreakHyphen/>
        <w:t>14 to 2018</w:t>
      </w:r>
      <w:r>
        <w:noBreakHyphen/>
        <w:t>19, excluding the effect of tax free thresholds for land tax and payroll tax, which are available to the entire community. In estimating tax expenditures, the simplifying assumption is made that taxpayer behaviour is unchanged by the concession.</w:t>
      </w:r>
    </w:p>
    <w:p w:rsidR="00B03921" w:rsidRDefault="00B03921" w:rsidP="00016914">
      <w:r w:rsidRPr="004130D6">
        <w:t xml:space="preserve">Growth in the value of </w:t>
      </w:r>
      <w:r>
        <w:t xml:space="preserve">Victorian </w:t>
      </w:r>
      <w:r w:rsidRPr="004130D6">
        <w:t>aggregate tax expenditures is largely determined by the growth profile of land tax expenditures</w:t>
      </w:r>
      <w:r>
        <w:t xml:space="preserve">. The </w:t>
      </w:r>
      <w:r w:rsidRPr="004130D6">
        <w:t>biennial</w:t>
      </w:r>
      <w:r>
        <w:t xml:space="preserve"> </w:t>
      </w:r>
      <w:r w:rsidRPr="004130D6">
        <w:t>revaluation cycle</w:t>
      </w:r>
      <w:r>
        <w:t xml:space="preserve"> drives growth in land tax expenditures. For example, a revaluation year such as 2014</w:t>
      </w:r>
      <w:r>
        <w:noBreakHyphen/>
        <w:t>15, sees strong growth in expenditures, with more muted growth in the following year, in this case 2015</w:t>
      </w:r>
      <w:r>
        <w:noBreakHyphen/>
        <w:t xml:space="preserve">16. </w:t>
      </w:r>
    </w:p>
    <w:p w:rsidR="00B03921" w:rsidRDefault="00B03921" w:rsidP="00016914">
      <w:pPr>
        <w:pStyle w:val="Tableheading"/>
        <w:rPr>
          <w:lang w:eastAsia="en-AU"/>
        </w:rPr>
      </w:pPr>
      <w:r w:rsidRPr="00090B87">
        <w:rPr>
          <w:lang w:eastAsia="en-AU"/>
        </w:rPr>
        <w:t xml:space="preserve">Table 5.1: </w:t>
      </w:r>
      <w:r>
        <w:rPr>
          <w:lang w:eastAsia="en-AU"/>
        </w:rPr>
        <w:tab/>
        <w:t>Estimates of a</w:t>
      </w:r>
      <w:r w:rsidRPr="00090B87">
        <w:rPr>
          <w:lang w:eastAsia="en-AU"/>
        </w:rPr>
        <w:t>ggregate tax expenditures (excluding thresholds) by type of tax</w:t>
      </w:r>
      <w:r w:rsidRPr="00D54730">
        <w:rPr>
          <w:vertAlign w:val="superscript"/>
          <w:lang w:eastAsia="en-AU"/>
        </w:rPr>
        <w:t>(a)</w:t>
      </w:r>
    </w:p>
    <w:p w:rsidR="00B03921" w:rsidRPr="00FB155B" w:rsidRDefault="00B03921" w:rsidP="00016914">
      <w:pPr>
        <w:pStyle w:val="million"/>
        <w:rPr>
          <w:rFonts w:ascii="Times New Roman" w:hAnsi="Times New Roman"/>
          <w:sz w:val="20"/>
          <w:lang w:eastAsia="en-AU"/>
        </w:rPr>
      </w:pPr>
      <w:r w:rsidRPr="00814CA2">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B03921" w:rsidRPr="00FB155B" w:rsidTr="00016914">
        <w:trPr>
          <w:tblHeader/>
        </w:trPr>
        <w:tc>
          <w:tcPr>
            <w:tcW w:w="2408" w:type="dxa"/>
            <w:tcBorders>
              <w:top w:val="single" w:sz="6" w:space="0" w:color="000000"/>
              <w:left w:val="single" w:sz="6" w:space="0" w:color="000000"/>
              <w:bottom w:val="single" w:sz="6" w:space="0" w:color="000000"/>
              <w:right w:val="nil"/>
            </w:tcBorders>
            <w:shd w:val="clear" w:color="000000" w:fill="000000"/>
          </w:tcPr>
          <w:p w:rsidR="00B03921" w:rsidRPr="00FB155B" w:rsidRDefault="00B03921" w:rsidP="00016914">
            <w:pPr>
              <w:pStyle w:val="Tabletext"/>
              <w:rPr>
                <w:rFonts w:eastAsiaTheme="minorEastAsia"/>
                <w:i/>
                <w:lang w:eastAsia="en-AU"/>
              </w:rPr>
            </w:pPr>
            <w:r w:rsidRPr="00FB155B">
              <w:rPr>
                <w:rFonts w:eastAsiaTheme="minorEastAsia"/>
                <w:i/>
                <w:lang w:eastAsia="en-AU"/>
              </w:rPr>
              <w:t>Description</w:t>
            </w:r>
          </w:p>
        </w:tc>
        <w:tc>
          <w:tcPr>
            <w:tcW w:w="892" w:type="dxa"/>
            <w:tcBorders>
              <w:top w:val="single" w:sz="6" w:space="0" w:color="000000"/>
              <w:left w:val="nil"/>
              <w:bottom w:val="single" w:sz="6" w:space="0" w:color="000000"/>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2013</w:t>
            </w:r>
            <w:r>
              <w:rPr>
                <w:rFonts w:eastAsiaTheme="minorEastAsia"/>
                <w:color w:val="FFFFFF"/>
                <w:lang w:eastAsia="en-AU"/>
              </w:rPr>
              <w:noBreakHyphen/>
            </w:r>
            <w:r w:rsidRPr="00FB155B">
              <w:rPr>
                <w:rFonts w:eastAsiaTheme="minorEastAsia"/>
                <w:color w:val="FFFFFF"/>
                <w:lang w:eastAsia="en-AU"/>
              </w:rPr>
              <w:t>14</w:t>
            </w:r>
          </w:p>
        </w:tc>
        <w:tc>
          <w:tcPr>
            <w:tcW w:w="892" w:type="dxa"/>
            <w:tcBorders>
              <w:top w:val="single" w:sz="6" w:space="0" w:color="000000"/>
              <w:left w:val="nil"/>
              <w:bottom w:val="single" w:sz="6" w:space="0" w:color="000000"/>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2014</w:t>
            </w:r>
            <w:r>
              <w:rPr>
                <w:rFonts w:eastAsiaTheme="minorEastAsia"/>
                <w:color w:val="FFFFFF"/>
                <w:lang w:eastAsia="en-AU"/>
              </w:rPr>
              <w:noBreakHyphen/>
            </w:r>
            <w:r w:rsidRPr="00FB155B">
              <w:rPr>
                <w:rFonts w:eastAsiaTheme="minorEastAsia"/>
                <w:color w:val="FFFFFF"/>
                <w:lang w:eastAsia="en-AU"/>
              </w:rPr>
              <w:t>15</w:t>
            </w:r>
          </w:p>
        </w:tc>
        <w:tc>
          <w:tcPr>
            <w:tcW w:w="892" w:type="dxa"/>
            <w:tcBorders>
              <w:top w:val="single" w:sz="6" w:space="0" w:color="000000"/>
              <w:left w:val="nil"/>
              <w:bottom w:val="single" w:sz="6" w:space="0" w:color="000000"/>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2015</w:t>
            </w:r>
            <w:r>
              <w:rPr>
                <w:rFonts w:eastAsiaTheme="minorEastAsia"/>
                <w:color w:val="FFFFFF"/>
                <w:lang w:eastAsia="en-AU"/>
              </w:rPr>
              <w:noBreakHyphen/>
            </w:r>
            <w:r w:rsidRPr="00FB155B">
              <w:rPr>
                <w:rFonts w:eastAsiaTheme="minorEastAsia"/>
                <w:color w:val="FFFFFF"/>
                <w:lang w:eastAsia="en-AU"/>
              </w:rPr>
              <w:t>16</w:t>
            </w:r>
          </w:p>
        </w:tc>
        <w:tc>
          <w:tcPr>
            <w:tcW w:w="892" w:type="dxa"/>
            <w:tcBorders>
              <w:top w:val="single" w:sz="6" w:space="0" w:color="000000"/>
              <w:left w:val="nil"/>
              <w:bottom w:val="single" w:sz="6" w:space="0" w:color="000000"/>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2016</w:t>
            </w:r>
            <w:r>
              <w:rPr>
                <w:rFonts w:eastAsiaTheme="minorEastAsia"/>
                <w:color w:val="FFFFFF"/>
                <w:lang w:eastAsia="en-AU"/>
              </w:rPr>
              <w:noBreakHyphen/>
            </w:r>
            <w:r w:rsidRPr="00FB155B">
              <w:rPr>
                <w:rFonts w:eastAsiaTheme="minorEastAsia"/>
                <w:color w:val="FFFFFF"/>
                <w:lang w:eastAsia="en-AU"/>
              </w:rPr>
              <w:t>17</w:t>
            </w:r>
          </w:p>
        </w:tc>
        <w:tc>
          <w:tcPr>
            <w:tcW w:w="892" w:type="dxa"/>
            <w:tcBorders>
              <w:top w:val="single" w:sz="6" w:space="0" w:color="000000"/>
              <w:left w:val="nil"/>
              <w:bottom w:val="single" w:sz="6" w:space="0" w:color="000000"/>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2017</w:t>
            </w:r>
            <w:r>
              <w:rPr>
                <w:rFonts w:eastAsiaTheme="minorEastAsia"/>
                <w:color w:val="FFFFFF"/>
                <w:lang w:eastAsia="en-AU"/>
              </w:rPr>
              <w:noBreakHyphen/>
            </w:r>
            <w:r w:rsidRPr="00FB155B">
              <w:rPr>
                <w:rFonts w:eastAsiaTheme="minorEastAsia"/>
                <w:color w:val="FFFFFF"/>
                <w:lang w:eastAsia="en-AU"/>
              </w:rPr>
              <w:t>18</w:t>
            </w:r>
          </w:p>
        </w:tc>
        <w:tc>
          <w:tcPr>
            <w:tcW w:w="892" w:type="dxa"/>
            <w:tcBorders>
              <w:top w:val="single" w:sz="6" w:space="0" w:color="000000"/>
              <w:left w:val="nil"/>
              <w:bottom w:val="single" w:sz="6" w:space="0" w:color="000000"/>
              <w:right w:val="single" w:sz="6" w:space="0" w:color="000000"/>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2018</w:t>
            </w:r>
            <w:r>
              <w:rPr>
                <w:rFonts w:eastAsiaTheme="minorEastAsia"/>
                <w:color w:val="FFFFFF"/>
                <w:lang w:eastAsia="en-AU"/>
              </w:rPr>
              <w:noBreakHyphen/>
            </w:r>
            <w:r w:rsidRPr="00FB155B">
              <w:rPr>
                <w:rFonts w:eastAsiaTheme="minorEastAsia"/>
                <w:color w:val="FFFFFF"/>
                <w:lang w:eastAsia="en-AU"/>
              </w:rPr>
              <w:t>19</w:t>
            </w:r>
          </w:p>
        </w:tc>
      </w:tr>
      <w:tr w:rsidR="00B03921" w:rsidRPr="00FB155B" w:rsidTr="00016914">
        <w:tc>
          <w:tcPr>
            <w:tcW w:w="2408" w:type="dxa"/>
            <w:tcBorders>
              <w:top w:val="single" w:sz="6" w:space="0" w:color="000000"/>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Land tax</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2 479.0</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2 987.8</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2 924.7</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3 315.8</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3 236.5</w:t>
            </w:r>
          </w:p>
        </w:tc>
        <w:tc>
          <w:tcPr>
            <w:tcW w:w="892" w:type="dxa"/>
            <w:tcBorders>
              <w:top w:val="single" w:sz="6" w:space="0" w:color="000000"/>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3 668.3</w:t>
            </w:r>
          </w:p>
        </w:tc>
      </w:tr>
      <w:tr w:rsidR="00B03921" w:rsidRPr="00FB155B" w:rsidTr="00016914">
        <w:tc>
          <w:tcPr>
            <w:tcW w:w="2408" w:type="dxa"/>
            <w:tcBorders>
              <w:top w:val="nil"/>
              <w:left w:val="nil"/>
              <w:bottom w:val="nil"/>
              <w:right w:val="nil"/>
            </w:tcBorders>
            <w:shd w:val="solid" w:color="FFFFFF" w:fill="auto"/>
          </w:tcPr>
          <w:p w:rsidR="00B03921" w:rsidRPr="00FB155B" w:rsidRDefault="00B03921" w:rsidP="00016914">
            <w:pPr>
              <w:pStyle w:val="Tabletext"/>
              <w:rPr>
                <w:rFonts w:eastAsiaTheme="minorEastAsia"/>
                <w:vertAlign w:val="superscript"/>
                <w:lang w:eastAsia="en-AU"/>
              </w:rPr>
            </w:pPr>
            <w:r w:rsidRPr="00FB155B">
              <w:rPr>
                <w:rFonts w:eastAsiaTheme="minorEastAsia"/>
                <w:lang w:eastAsia="en-AU"/>
              </w:rPr>
              <w:t>Fire Services Property Levy</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21.4</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21.6</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21.9</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22.1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22.3</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22.6</w:t>
            </w:r>
          </w:p>
        </w:tc>
      </w:tr>
      <w:tr w:rsidR="00B03921" w:rsidRPr="00FB155B" w:rsidTr="00016914">
        <w:tc>
          <w:tcPr>
            <w:tcW w:w="2408"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Payroll tax</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1 064.0</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1 084.3</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1 152.1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1 227.0</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1 297.4</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1 370.6</w:t>
            </w:r>
          </w:p>
        </w:tc>
      </w:tr>
      <w:tr w:rsidR="00B03921" w:rsidRPr="00FB155B" w:rsidTr="00016914">
        <w:tc>
          <w:tcPr>
            <w:tcW w:w="2408"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Gambling tax</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70.9</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74.4</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76.6</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75.8</w:t>
            </w:r>
          </w:p>
        </w:tc>
      </w:tr>
      <w:tr w:rsidR="00B03921" w:rsidRPr="00FB155B" w:rsidTr="00016914">
        <w:tc>
          <w:tcPr>
            <w:tcW w:w="2408" w:type="dxa"/>
            <w:tcBorders>
              <w:top w:val="nil"/>
              <w:left w:val="nil"/>
              <w:bottom w:val="nil"/>
              <w:right w:val="nil"/>
            </w:tcBorders>
            <w:shd w:val="solid" w:color="FFFFFF" w:fill="auto"/>
          </w:tcPr>
          <w:p w:rsidR="00B03921" w:rsidRPr="00FB155B" w:rsidRDefault="00B03921" w:rsidP="00016914">
            <w:pPr>
              <w:pStyle w:val="Tabletext"/>
              <w:rPr>
                <w:rFonts w:eastAsiaTheme="minorEastAsia" w:cs="Calibri"/>
                <w:color w:val="000000"/>
                <w:vertAlign w:val="superscript"/>
                <w:lang w:eastAsia="en-AU"/>
              </w:rPr>
            </w:pPr>
            <w:r w:rsidRPr="00FB155B">
              <w:rPr>
                <w:rFonts w:eastAsiaTheme="minorEastAsia"/>
                <w:lang w:eastAsia="en-AU"/>
              </w:rPr>
              <w:t>Motor vehicle taxes</w:t>
            </w:r>
            <w:r w:rsidRPr="00FB155B">
              <w:rPr>
                <w:rFonts w:eastAsiaTheme="minorEastAsia"/>
                <w:vertAlign w:val="superscript"/>
                <w:lang w:eastAsia="en-AU"/>
              </w:rPr>
              <w:t>(</w:t>
            </w:r>
            <w:r w:rsidRPr="00FB155B">
              <w:rPr>
                <w:rFonts w:eastAsiaTheme="minorEastAsia" w:cs="Calibri"/>
                <w:color w:val="000000"/>
                <w:vertAlign w:val="superscript"/>
                <w:lang w:eastAsia="en-AU"/>
              </w:rPr>
              <w:t>b)</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144.5</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163.0</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174.6</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187.8</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194.8</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202.0</w:t>
            </w:r>
          </w:p>
        </w:tc>
      </w:tr>
      <w:tr w:rsidR="00B03921" w:rsidRPr="00FB155B" w:rsidTr="00016914">
        <w:tc>
          <w:tcPr>
            <w:tcW w:w="2408"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Land transfer duties</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697.1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730.1</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748.6</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763.7</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776.8</w:t>
            </w:r>
          </w:p>
        </w:tc>
        <w:tc>
          <w:tcPr>
            <w:tcW w:w="89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790.0</w:t>
            </w:r>
          </w:p>
        </w:tc>
      </w:tr>
      <w:tr w:rsidR="00B03921" w:rsidRPr="00FB155B" w:rsidTr="00016914">
        <w:tc>
          <w:tcPr>
            <w:tcW w:w="2408" w:type="dxa"/>
            <w:tcBorders>
              <w:top w:val="nil"/>
              <w:left w:val="nil"/>
              <w:bottom w:val="single" w:sz="6" w:space="0" w:color="auto"/>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Congestion levy</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25.3</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42.7</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43.9</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45.1</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46.3</w:t>
            </w:r>
          </w:p>
        </w:tc>
        <w:tc>
          <w:tcPr>
            <w:tcW w:w="89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47.5</w:t>
            </w:r>
          </w:p>
        </w:tc>
      </w:tr>
      <w:tr w:rsidR="00B03921" w:rsidRPr="00FB155B" w:rsidTr="00016914">
        <w:tc>
          <w:tcPr>
            <w:tcW w:w="2408"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estimated tax expenditures</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4 502.2</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5 103.9</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5 140.7</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5 638.1</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5 652.2</w:t>
            </w:r>
          </w:p>
        </w:tc>
        <w:tc>
          <w:tcPr>
            <w:tcW w:w="89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6 176.8</w:t>
            </w:r>
          </w:p>
        </w:tc>
      </w:tr>
    </w:tbl>
    <w:p w:rsidR="00B03921" w:rsidRPr="003F52EF" w:rsidRDefault="00B03921" w:rsidP="00016914">
      <w:pPr>
        <w:pStyle w:val="Source"/>
        <w:rPr>
          <w:lang w:eastAsia="en-AU"/>
        </w:rPr>
      </w:pPr>
      <w:r w:rsidRPr="003F52EF">
        <w:rPr>
          <w:lang w:eastAsia="en-AU"/>
        </w:rPr>
        <w:t>Source: Department of Treasury and Finance</w:t>
      </w:r>
    </w:p>
    <w:p w:rsidR="00B03921" w:rsidRPr="00977AFE" w:rsidRDefault="00B03921" w:rsidP="00016914">
      <w:pPr>
        <w:pStyle w:val="Notes"/>
      </w:pPr>
      <w:r w:rsidRPr="00977AFE">
        <w:t>Note:</w:t>
      </w:r>
    </w:p>
    <w:p w:rsidR="00B03921" w:rsidRPr="00121228" w:rsidRDefault="00B03921" w:rsidP="00016914">
      <w:pPr>
        <w:pStyle w:val="Notes"/>
      </w:pPr>
      <w:r>
        <w:t>(a)</w:t>
      </w:r>
      <w:r>
        <w:tab/>
      </w:r>
      <w:r w:rsidRPr="00121228">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B03921" w:rsidRPr="00121228" w:rsidRDefault="00B03921" w:rsidP="00016914">
      <w:pPr>
        <w:pStyle w:val="Notes"/>
      </w:pPr>
      <w:r>
        <w:t>(b)</w:t>
      </w:r>
      <w:r>
        <w:tab/>
      </w:r>
      <w:r w:rsidRPr="00121228">
        <w:t>From 1 July 2015, mobile plants and plant based special purpose vehicles will be exempt from motor vehicle stamp duty. Apprentices who use their vehicles for work will be eligible for discounted vehicle registration fee from 1 January 2016.</w:t>
      </w:r>
    </w:p>
    <w:p w:rsidR="00B03921" w:rsidRDefault="00B03921">
      <w:pPr>
        <w:spacing w:after="0"/>
        <w:rPr>
          <w:lang w:eastAsia="en-AU"/>
        </w:rPr>
      </w:pPr>
    </w:p>
    <w:p w:rsidR="00B03921" w:rsidRDefault="00B03921" w:rsidP="00016914">
      <w:r>
        <w:t>Policy changes announced in previous budgets have also affected the 2014</w:t>
      </w:r>
      <w:r>
        <w:noBreakHyphen/>
        <w:t>15 tax expenditures estimates. In particular, the congestion levy now applies to a larger area from 1 January 2015 with these new parking spaces taxed at a concessional rate of $950 per car space per year, relative to $1 340 for inner city car spaces. In addition, the stamp duty concession for first homebuyers increased from 40 per cent to 50 per cent on 1 September 2014.</w:t>
      </w:r>
    </w:p>
    <w:p w:rsidR="00B03921" w:rsidRDefault="00B03921" w:rsidP="00016914">
      <w:r>
        <w:t>Table 5.2 lists a breakdown of the aggregate tax expenditures that can be costed by type of tax. As noted, the 2014 revaluation cycle has led to strong growth in the land tax expenditures in 2014</w:t>
      </w:r>
      <w:r>
        <w:noBreakHyphen/>
        <w:t>15. There has also been stronger than usual growth in land tax expenditures relating to land held by Government and local councils. The implementation of the Fire Services Property Levy resulted in non</w:t>
      </w:r>
      <w:r>
        <w:noBreakHyphen/>
        <w:t xml:space="preserve">rateable land being subject to the biennial revaluation process, improving the data available to estimate land tax expenditures. Prior to this, estimating these tax expenditures relied on a number of simplified assumptions. </w:t>
      </w:r>
    </w:p>
    <w:p w:rsidR="00B03921" w:rsidRDefault="00B03921">
      <w:pPr>
        <w:spacing w:after="0"/>
        <w:rPr>
          <w:rFonts w:ascii="Calibri" w:hAnsi="Calibri"/>
          <w:b/>
          <w:lang w:eastAsia="en-AU"/>
        </w:rPr>
      </w:pPr>
      <w:r>
        <w:rPr>
          <w:lang w:eastAsia="en-AU"/>
        </w:rPr>
        <w:br w:type="page"/>
      </w:r>
    </w:p>
    <w:p w:rsidR="00B03921" w:rsidRDefault="00B03921" w:rsidP="00016914">
      <w:pPr>
        <w:pStyle w:val="Tableheading"/>
        <w:rPr>
          <w:lang w:eastAsia="en-AU"/>
        </w:rPr>
      </w:pPr>
      <w:r w:rsidRPr="00BB30FF">
        <w:rPr>
          <w:lang w:eastAsia="en-AU"/>
        </w:rPr>
        <w:t xml:space="preserve">Table 5.2: </w:t>
      </w:r>
      <w:r>
        <w:rPr>
          <w:lang w:eastAsia="en-AU"/>
        </w:rPr>
        <w:tab/>
        <w:t xml:space="preserve">Estimates of </w:t>
      </w:r>
      <w:r w:rsidRPr="00BB30FF">
        <w:rPr>
          <w:lang w:eastAsia="en-AU"/>
        </w:rPr>
        <w:t>Tax expenditures that can be costed (including thresholds)</w:t>
      </w:r>
    </w:p>
    <w:p w:rsidR="00B03921" w:rsidRPr="00FB155B" w:rsidRDefault="00B03921" w:rsidP="00016914">
      <w:pPr>
        <w:pStyle w:val="million"/>
        <w:rPr>
          <w:rFonts w:ascii="Times New Roman" w:hAnsi="Times New Roman"/>
          <w:i w:val="0"/>
          <w:sz w:val="20"/>
          <w:szCs w:val="20"/>
          <w:lang w:eastAsia="en-AU"/>
        </w:rPr>
      </w:pPr>
      <w:r w:rsidRPr="00814CA2">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3128"/>
        <w:gridCol w:w="772"/>
        <w:gridCol w:w="772"/>
        <w:gridCol w:w="772"/>
        <w:gridCol w:w="772"/>
        <w:gridCol w:w="772"/>
        <w:gridCol w:w="772"/>
      </w:tblGrid>
      <w:tr w:rsidR="00B03921" w:rsidRPr="00FB155B" w:rsidTr="00016914">
        <w:trPr>
          <w:tblHeader/>
        </w:trPr>
        <w:tc>
          <w:tcPr>
            <w:tcW w:w="3128" w:type="dxa"/>
            <w:tcBorders>
              <w:top w:val="single" w:sz="6" w:space="0" w:color="auto"/>
              <w:left w:val="single" w:sz="6" w:space="0" w:color="auto"/>
              <w:bottom w:val="single" w:sz="6" w:space="0" w:color="auto"/>
              <w:right w:val="nil"/>
            </w:tcBorders>
            <w:shd w:val="clear" w:color="000000" w:fill="000000"/>
          </w:tcPr>
          <w:p w:rsidR="00B03921" w:rsidRPr="00FB155B" w:rsidRDefault="00B03921" w:rsidP="00016914">
            <w:pPr>
              <w:pStyle w:val="Tabletext"/>
              <w:rPr>
                <w:rFonts w:eastAsiaTheme="minorEastAsia"/>
                <w:i/>
                <w:lang w:eastAsia="en-AU"/>
              </w:rPr>
            </w:pPr>
            <w:r w:rsidRPr="00FB155B">
              <w:rPr>
                <w:rFonts w:eastAsiaTheme="minorEastAsia"/>
                <w:i/>
                <w:lang w:eastAsia="en-AU"/>
              </w:rPr>
              <w:t>Description</w:t>
            </w:r>
          </w:p>
        </w:tc>
        <w:tc>
          <w:tcPr>
            <w:tcW w:w="77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2013-14</w:t>
            </w:r>
          </w:p>
        </w:tc>
        <w:tc>
          <w:tcPr>
            <w:tcW w:w="77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2014-15</w:t>
            </w:r>
          </w:p>
        </w:tc>
        <w:tc>
          <w:tcPr>
            <w:tcW w:w="77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2015-16</w:t>
            </w:r>
          </w:p>
        </w:tc>
        <w:tc>
          <w:tcPr>
            <w:tcW w:w="77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2016-17</w:t>
            </w:r>
          </w:p>
        </w:tc>
        <w:tc>
          <w:tcPr>
            <w:tcW w:w="77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2017-18</w:t>
            </w:r>
          </w:p>
        </w:tc>
        <w:tc>
          <w:tcPr>
            <w:tcW w:w="772" w:type="dxa"/>
            <w:tcBorders>
              <w:top w:val="single" w:sz="6" w:space="0" w:color="auto"/>
              <w:left w:val="nil"/>
              <w:bottom w:val="single" w:sz="6" w:space="0" w:color="auto"/>
              <w:right w:val="single" w:sz="6" w:space="0" w:color="auto"/>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2018-19</w:t>
            </w:r>
          </w:p>
        </w:tc>
      </w:tr>
      <w:tr w:rsidR="00B238F4" w:rsidRPr="00FB155B" w:rsidTr="00423972">
        <w:tc>
          <w:tcPr>
            <w:tcW w:w="7760" w:type="dxa"/>
            <w:gridSpan w:val="7"/>
            <w:tcBorders>
              <w:top w:val="single" w:sz="6" w:space="0" w:color="auto"/>
              <w:bottom w:val="nil"/>
            </w:tcBorders>
            <w:shd w:val="clear" w:color="000000" w:fill="auto"/>
          </w:tcPr>
          <w:p w:rsidR="00B238F4" w:rsidRPr="00FB155B" w:rsidRDefault="00B238F4" w:rsidP="00B238F4">
            <w:pPr>
              <w:pStyle w:val="Tabletext"/>
              <w:rPr>
                <w:rFonts w:eastAsiaTheme="minorEastAsia"/>
                <w:lang w:eastAsia="en-AU"/>
              </w:rPr>
            </w:pPr>
            <w:r w:rsidRPr="00FB155B">
              <w:rPr>
                <w:rFonts w:eastAsiaTheme="minorEastAsia"/>
                <w:b/>
                <w:bCs/>
                <w:lang w:eastAsia="en-AU"/>
              </w:rPr>
              <w:t>Land tax</w:t>
            </w:r>
          </w:p>
        </w:tc>
      </w:tr>
      <w:tr w:rsidR="00B03921" w:rsidRPr="00FB155B" w:rsidTr="00016914">
        <w:tc>
          <w:tcPr>
            <w:tcW w:w="3128" w:type="dxa"/>
            <w:tcBorders>
              <w:top w:val="nil"/>
              <w:bottom w:val="nil"/>
              <w:right w:val="nil"/>
            </w:tcBorders>
            <w:shd w:val="clear" w:color="000000" w:fill="auto"/>
          </w:tcPr>
          <w:p w:rsidR="00B03921" w:rsidRPr="00FB155B" w:rsidRDefault="00B03921" w:rsidP="00016914">
            <w:pPr>
              <w:pStyle w:val="Tabletext"/>
            </w:pPr>
            <w:r w:rsidRPr="00FB155B">
              <w:t>Crown property (right of Victoria)</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227.5</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395.4</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387.1</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438.8</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428.4</w:t>
            </w:r>
          </w:p>
        </w:tc>
        <w:tc>
          <w:tcPr>
            <w:tcW w:w="772" w:type="dxa"/>
            <w:tcBorders>
              <w:top w:val="nil"/>
              <w:left w:val="nil"/>
              <w:bottom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485.5</w:t>
            </w:r>
          </w:p>
        </w:tc>
      </w:tr>
      <w:tr w:rsidR="00B03921" w:rsidRPr="00FB155B" w:rsidTr="00016914">
        <w:tc>
          <w:tcPr>
            <w:tcW w:w="3128" w:type="dxa"/>
            <w:tcBorders>
              <w:top w:val="nil"/>
              <w:bottom w:val="nil"/>
              <w:right w:val="nil"/>
            </w:tcBorders>
            <w:shd w:val="clear" w:color="000000" w:fill="auto"/>
          </w:tcPr>
          <w:p w:rsidR="00B03921" w:rsidRPr="00FB155B" w:rsidRDefault="00B03921" w:rsidP="00016914">
            <w:pPr>
              <w:pStyle w:val="Tabletext"/>
            </w:pPr>
            <w:r w:rsidRPr="00FB155B">
              <w:t>Principal place of residence</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1 221.7</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1 369.3</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1 340.4</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1 519.6</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1 483.3</w:t>
            </w:r>
          </w:p>
        </w:tc>
        <w:tc>
          <w:tcPr>
            <w:tcW w:w="772" w:type="dxa"/>
            <w:tcBorders>
              <w:top w:val="nil"/>
              <w:left w:val="nil"/>
              <w:bottom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1 681.1</w:t>
            </w:r>
          </w:p>
        </w:tc>
      </w:tr>
      <w:tr w:rsidR="00B03921" w:rsidRPr="00FB155B" w:rsidTr="00016914">
        <w:tc>
          <w:tcPr>
            <w:tcW w:w="3128" w:type="dxa"/>
            <w:tcBorders>
              <w:top w:val="nil"/>
              <w:bottom w:val="nil"/>
              <w:right w:val="nil"/>
            </w:tcBorders>
            <w:shd w:val="clear" w:color="000000" w:fill="auto"/>
          </w:tcPr>
          <w:p w:rsidR="00B03921" w:rsidRPr="00FB155B" w:rsidRDefault="00B03921" w:rsidP="00016914">
            <w:pPr>
              <w:pStyle w:val="Tabletext"/>
            </w:pPr>
            <w:r w:rsidRPr="00FB155B">
              <w:t>Land held in trust for public or municipal purposes or vested in any municipality</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123.2</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207.0</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202.6</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229.7</w:t>
            </w:r>
          </w:p>
        </w:tc>
        <w:tc>
          <w:tcPr>
            <w:tcW w:w="772" w:type="dxa"/>
            <w:tcBorders>
              <w:top w:val="nil"/>
              <w:left w:val="nil"/>
              <w:bottom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224.2</w:t>
            </w:r>
          </w:p>
        </w:tc>
        <w:tc>
          <w:tcPr>
            <w:tcW w:w="772" w:type="dxa"/>
            <w:tcBorders>
              <w:top w:val="nil"/>
              <w:left w:val="nil"/>
              <w:bottom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254.1</w:t>
            </w:r>
          </w:p>
        </w:tc>
      </w:tr>
      <w:tr w:rsidR="00B03921" w:rsidRPr="00FB155B" w:rsidTr="00016914">
        <w:tc>
          <w:tcPr>
            <w:tcW w:w="3128" w:type="dxa"/>
            <w:tcBorders>
              <w:top w:val="nil"/>
              <w:right w:val="nil"/>
            </w:tcBorders>
            <w:shd w:val="clear" w:color="000000" w:fill="auto"/>
          </w:tcPr>
          <w:p w:rsidR="00B03921" w:rsidRPr="00FB155B" w:rsidRDefault="00B03921" w:rsidP="00016914">
            <w:pPr>
              <w:pStyle w:val="Tabletext"/>
            </w:pPr>
            <w:r w:rsidRPr="00FB155B">
              <w:t>Land used by charitable institutions</w:t>
            </w:r>
          </w:p>
        </w:tc>
        <w:tc>
          <w:tcPr>
            <w:tcW w:w="772" w:type="dxa"/>
            <w:tcBorders>
              <w:top w:val="nil"/>
              <w:left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80.7</w:t>
            </w:r>
          </w:p>
        </w:tc>
        <w:tc>
          <w:tcPr>
            <w:tcW w:w="772" w:type="dxa"/>
            <w:tcBorders>
              <w:top w:val="nil"/>
              <w:left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137.8</w:t>
            </w:r>
          </w:p>
        </w:tc>
        <w:tc>
          <w:tcPr>
            <w:tcW w:w="772" w:type="dxa"/>
            <w:tcBorders>
              <w:top w:val="nil"/>
              <w:left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134.9</w:t>
            </w:r>
          </w:p>
        </w:tc>
        <w:tc>
          <w:tcPr>
            <w:tcW w:w="772" w:type="dxa"/>
            <w:tcBorders>
              <w:top w:val="nil"/>
              <w:left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152.9</w:t>
            </w:r>
          </w:p>
        </w:tc>
        <w:tc>
          <w:tcPr>
            <w:tcW w:w="772" w:type="dxa"/>
            <w:tcBorders>
              <w:top w:val="nil"/>
              <w:left w:val="nil"/>
              <w:righ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149.2</w:t>
            </w:r>
          </w:p>
        </w:tc>
        <w:tc>
          <w:tcPr>
            <w:tcW w:w="772" w:type="dxa"/>
            <w:tcBorders>
              <w:top w:val="nil"/>
              <w:left w:val="nil"/>
            </w:tcBorders>
            <w:shd w:val="clear" w:color="000000"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169.2</w:t>
            </w:r>
          </w:p>
        </w:tc>
      </w:tr>
      <w:tr w:rsidR="00B03921" w:rsidRPr="00FB155B" w:rsidTr="00016914">
        <w:tc>
          <w:tcPr>
            <w:tcW w:w="3128" w:type="dxa"/>
            <w:tcBorders>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Commonwealth land</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194.5</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211.8</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207.3</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235.0</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229.4</w:t>
            </w:r>
          </w:p>
        </w:tc>
        <w:tc>
          <w:tcPr>
            <w:tcW w:w="772" w:type="dxa"/>
            <w:tcBorders>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260.0</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used for primary production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348.9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363.3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355.6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403.1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393.5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446.0</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vested in public statutory authorities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165.3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166.7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189.0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184.5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209.1</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used for the CityLink network</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28.4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31.5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 xml:space="preserve">Assessment on a single holding basis for land owned by a municipality </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14.0</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Partial exemption for non-profit organisations solely for social, sporting, cultural or literary purposes; or horse, pony or harness racing</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Assessment on a single holding basis for land owned by charities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Retirement villages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25.9</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Non-profit organisations providing outdoor cultural or sporting recreation (excluding horse, pony or harness racing)</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tax exemption for friendly societies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Associations of ex-servicemen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Aggregated site value below tax-free threshold</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69.9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70.5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69.0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76.4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86.6</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Caravan parks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6.1</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Residential care facilities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Low cost accommodation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0.9</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tax exemption for mining</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0.4</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land tax expenditures</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2 548.9</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3 058.3</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2 993.7</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3 394.0</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3 312.9</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3 754.8</w:t>
            </w:r>
          </w:p>
        </w:tc>
      </w:tr>
      <w:tr w:rsidR="00B238F4" w:rsidRPr="00FB155B" w:rsidTr="00423972">
        <w:trPr>
          <w:trHeight w:hRule="exact" w:val="120"/>
        </w:trPr>
        <w:tc>
          <w:tcPr>
            <w:tcW w:w="7760" w:type="dxa"/>
            <w:gridSpan w:val="7"/>
            <w:tcBorders>
              <w:top w:val="nil"/>
              <w:left w:val="nil"/>
              <w:bottom w:val="nil"/>
              <w:right w:val="nil"/>
            </w:tcBorders>
          </w:tcPr>
          <w:p w:rsidR="00B238F4" w:rsidRPr="00FB155B" w:rsidRDefault="00B238F4" w:rsidP="00016914">
            <w:pPr>
              <w:pStyle w:val="TableofFigures"/>
              <w:rPr>
                <w:rFonts w:eastAsiaTheme="minorEastAsia"/>
                <w:b/>
                <w:bCs/>
                <w:lang w:eastAsia="en-AU"/>
              </w:rPr>
            </w:pP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text"/>
              <w:rPr>
                <w:rFonts w:eastAsiaTheme="minorEastAsia"/>
                <w:b/>
                <w:bCs/>
                <w:lang w:eastAsia="en-AU"/>
              </w:rPr>
            </w:pPr>
            <w:r w:rsidRPr="00FB155B">
              <w:rPr>
                <w:rFonts w:eastAsiaTheme="minorEastAsia"/>
                <w:b/>
                <w:bCs/>
                <w:lang w:eastAsia="en-AU"/>
              </w:rPr>
              <w:t>Fire Services Property Levy</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Fire Services Property Levy concession for pensioners and Department of Veteran Affairs cardholders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22.6</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Fire Services Property Levy expenditures</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21.4</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21.6</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21.9</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22.1</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22.3</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22.6</w:t>
            </w:r>
          </w:p>
        </w:tc>
      </w:tr>
    </w:tbl>
    <w:p w:rsidR="0081536C" w:rsidRDefault="0081536C">
      <w:pPr>
        <w:spacing w:after="0"/>
        <w:rPr>
          <w:rFonts w:ascii="Calibri" w:hAnsi="Calibri"/>
          <w:b/>
        </w:rPr>
      </w:pPr>
    </w:p>
    <w:p w:rsidR="0081536C" w:rsidRDefault="0081536C" w:rsidP="0081536C">
      <w:pPr>
        <w:pStyle w:val="Tableheadingcontinued"/>
      </w:pPr>
      <w:r>
        <w:t xml:space="preserve">Tale 5.2: </w:t>
      </w:r>
      <w:r>
        <w:tab/>
        <w:t xml:space="preserve">Estimates of Tax expenditures that can be costed (including thresholds) </w:t>
      </w:r>
      <w:r w:rsidRPr="0081536C">
        <w:rPr>
          <w:i/>
        </w:rPr>
        <w:t>(continued)</w:t>
      </w:r>
    </w:p>
    <w:p w:rsidR="0081536C" w:rsidRDefault="0081536C" w:rsidP="0081536C">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128"/>
        <w:gridCol w:w="772"/>
        <w:gridCol w:w="772"/>
        <w:gridCol w:w="772"/>
        <w:gridCol w:w="772"/>
        <w:gridCol w:w="772"/>
        <w:gridCol w:w="772"/>
      </w:tblGrid>
      <w:tr w:rsidR="0081536C" w:rsidRPr="00FB155B" w:rsidTr="00423972">
        <w:trPr>
          <w:tblHeader/>
        </w:trPr>
        <w:tc>
          <w:tcPr>
            <w:tcW w:w="3128" w:type="dxa"/>
            <w:tcBorders>
              <w:top w:val="single" w:sz="6" w:space="0" w:color="auto"/>
              <w:left w:val="single" w:sz="6" w:space="0" w:color="auto"/>
              <w:bottom w:val="single" w:sz="6" w:space="0" w:color="auto"/>
              <w:right w:val="nil"/>
            </w:tcBorders>
            <w:shd w:val="clear" w:color="000000" w:fill="000000"/>
          </w:tcPr>
          <w:p w:rsidR="0081536C" w:rsidRPr="00FB155B" w:rsidRDefault="0081536C" w:rsidP="00423972">
            <w:pPr>
              <w:pStyle w:val="Tabletext"/>
              <w:rPr>
                <w:rFonts w:eastAsiaTheme="minorEastAsia"/>
                <w:i/>
                <w:lang w:eastAsia="en-AU"/>
              </w:rPr>
            </w:pPr>
            <w:r w:rsidRPr="00FB155B">
              <w:rPr>
                <w:rFonts w:eastAsiaTheme="minorEastAsia"/>
                <w:i/>
                <w:lang w:eastAsia="en-AU"/>
              </w:rPr>
              <w:t>Description</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2013-14</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2014-15</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2015-16</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2016-17</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2017-18</w:t>
            </w:r>
          </w:p>
        </w:tc>
        <w:tc>
          <w:tcPr>
            <w:tcW w:w="772" w:type="dxa"/>
            <w:tcBorders>
              <w:top w:val="single" w:sz="6" w:space="0" w:color="auto"/>
              <w:left w:val="nil"/>
              <w:bottom w:val="single" w:sz="6" w:space="0" w:color="auto"/>
              <w:right w:val="single" w:sz="6" w:space="0" w:color="auto"/>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2018-19</w:t>
            </w: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ofFigures"/>
              <w:jc w:val="left"/>
              <w:rPr>
                <w:rFonts w:eastAsiaTheme="minorEastAsia"/>
                <w:b/>
                <w:lang w:eastAsia="en-AU"/>
              </w:rPr>
            </w:pPr>
            <w:r w:rsidRPr="00FB155B">
              <w:rPr>
                <w:rFonts w:eastAsiaTheme="minorEastAsia"/>
                <w:b/>
                <w:bCs/>
                <w:lang w:eastAsia="en-AU"/>
              </w:rPr>
              <w:t>Payroll Tax</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Wages paid by public hospitals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341.3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347.5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369.1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393.0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415.4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438.7</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Wages paid by public benevolent institutions/charities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274.5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279.5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296.9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316.1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334.1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352.8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Wages paid by non-profit non-government schools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151.4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154.2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163.8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174.4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184.3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194.7</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Commonwealth departments/agencies (excluding transport and communication)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81.2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86.2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91.8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97.0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102.5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Wages paid by non-profit hospitals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Municipal councils (not wages for trading activities)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139.5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142.1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150.9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169.8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179.3</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 xml:space="preserve">Fringe benefits excluded from </w:t>
            </w:r>
            <w:r w:rsidRPr="00FB155B">
              <w:rPr>
                <w:rFonts w:eastAsiaTheme="minorEastAsia"/>
                <w:i/>
                <w:lang w:eastAsia="en-AU"/>
              </w:rPr>
              <w:t>Fringe Benefits Tax Assessment Act 1986</w:t>
            </w:r>
            <w:r w:rsidRPr="00FB155B">
              <w:rPr>
                <w:rFonts w:eastAsiaTheme="minorEastAsia"/>
                <w:lang w:eastAsia="en-AU"/>
              </w:rPr>
              <w:t xml:space="preserve"> (Commonwealth)</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Religious institutions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Construction industry leave entitlements paid by CoINVEST</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4.9</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Paid maternity leave</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25.0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26.3</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Wages paid to employees participating in voluntary emergency service work</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0.8</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Employers</w:t>
            </w:r>
            <w:r w:rsidR="00BA5A16">
              <w:rPr>
                <w:rFonts w:eastAsiaTheme="minorEastAsia"/>
                <w:lang w:eastAsia="en-AU"/>
              </w:rPr>
              <w:t>’</w:t>
            </w:r>
            <w:r w:rsidRPr="00FB155B">
              <w:rPr>
                <w:rFonts w:eastAsiaTheme="minorEastAsia"/>
                <w:lang w:eastAsia="en-AU"/>
              </w:rPr>
              <w:t xml:space="preserve"> payroll below $550 000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1 981.8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2 043.9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2 138.2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2 245.9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2 358.8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2 477.4</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payroll tax expenditures</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3 045.8</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3 128.2</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3 290.3</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3 472.8</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3 656.2</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3 848.0</w:t>
            </w:r>
          </w:p>
        </w:tc>
      </w:tr>
      <w:tr w:rsidR="00B238F4" w:rsidRPr="00FB155B" w:rsidTr="00423972">
        <w:trPr>
          <w:trHeight w:hRule="exact" w:val="120"/>
        </w:trPr>
        <w:tc>
          <w:tcPr>
            <w:tcW w:w="7760" w:type="dxa"/>
            <w:gridSpan w:val="7"/>
            <w:tcBorders>
              <w:top w:val="nil"/>
              <w:left w:val="nil"/>
              <w:bottom w:val="nil"/>
              <w:right w:val="nil"/>
            </w:tcBorders>
          </w:tcPr>
          <w:p w:rsidR="00B238F4" w:rsidRPr="00FB155B" w:rsidRDefault="00B238F4" w:rsidP="00016914">
            <w:pPr>
              <w:pStyle w:val="TableofFigures"/>
              <w:rPr>
                <w:rFonts w:eastAsiaTheme="minorEastAsia"/>
                <w:b/>
                <w:bCs/>
                <w:lang w:eastAsia="en-AU"/>
              </w:rPr>
            </w:pP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text"/>
              <w:rPr>
                <w:rFonts w:eastAsiaTheme="minorEastAsia"/>
                <w:b/>
                <w:lang w:eastAsia="en-AU"/>
              </w:rPr>
            </w:pPr>
            <w:r w:rsidRPr="00FB155B">
              <w:rPr>
                <w:rFonts w:eastAsiaTheme="minorEastAsia"/>
                <w:b/>
                <w:bCs/>
                <w:lang w:eastAsia="en-AU"/>
              </w:rPr>
              <w:t>Congestion levy tax</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Residential</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9.1</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Commercial and private</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38.4</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congestion levy tax expenditures</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25.3</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42.7</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43.9</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45.1</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46.3</w:t>
            </w:r>
          </w:p>
        </w:tc>
        <w:tc>
          <w:tcPr>
            <w:tcW w:w="772"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47.5</w:t>
            </w:r>
          </w:p>
        </w:tc>
      </w:tr>
      <w:tr w:rsidR="00B238F4" w:rsidRPr="00FB155B" w:rsidTr="00423972">
        <w:trPr>
          <w:trHeight w:hRule="exact" w:val="120"/>
        </w:trPr>
        <w:tc>
          <w:tcPr>
            <w:tcW w:w="7760" w:type="dxa"/>
            <w:gridSpan w:val="7"/>
            <w:tcBorders>
              <w:top w:val="nil"/>
              <w:left w:val="nil"/>
              <w:bottom w:val="nil"/>
              <w:right w:val="nil"/>
            </w:tcBorders>
          </w:tcPr>
          <w:p w:rsidR="00B238F4" w:rsidRPr="00FB155B" w:rsidRDefault="00B238F4" w:rsidP="00B238F4">
            <w:pPr>
              <w:pStyle w:val="Tabletext"/>
              <w:rPr>
                <w:rFonts w:eastAsiaTheme="minorEastAsia"/>
                <w:lang w:eastAsia="en-AU"/>
              </w:rPr>
            </w:pPr>
            <w:r w:rsidRPr="00FB155B">
              <w:rPr>
                <w:rFonts w:eastAsiaTheme="minorEastAsia"/>
                <w:lang w:eastAsia="en-AU"/>
              </w:rPr>
              <w:t xml:space="preserve"> </w:t>
            </w: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text"/>
              <w:rPr>
                <w:rFonts w:eastAsiaTheme="minorEastAsia"/>
                <w:b/>
                <w:lang w:eastAsia="en-AU"/>
              </w:rPr>
            </w:pPr>
            <w:r w:rsidRPr="00FB155B">
              <w:rPr>
                <w:rFonts w:eastAsiaTheme="minorEastAsia"/>
                <w:b/>
                <w:bCs/>
                <w:lang w:eastAsia="en-AU"/>
              </w:rPr>
              <w:t>Gambling tax</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Clubs pay lower tax rate on net cash balance (electronic gaming machines)</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70.9</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74.4</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75.1</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76.6</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78.1</w:t>
            </w:r>
          </w:p>
        </w:tc>
        <w:tc>
          <w:tcPr>
            <w:tcW w:w="772"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gambling tax expenditures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70.9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74.4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75.1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76.6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78.1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75.8</w:t>
            </w:r>
          </w:p>
        </w:tc>
      </w:tr>
    </w:tbl>
    <w:p w:rsidR="0081536C" w:rsidRDefault="0081536C"/>
    <w:p w:rsidR="0081536C" w:rsidRDefault="0081536C">
      <w:pPr>
        <w:spacing w:after="0"/>
        <w:rPr>
          <w:rFonts w:ascii="Calibri" w:hAnsi="Calibri"/>
          <w:b/>
        </w:rPr>
      </w:pPr>
      <w:r>
        <w:br w:type="page"/>
      </w:r>
    </w:p>
    <w:p w:rsidR="0081536C" w:rsidRDefault="0081536C" w:rsidP="0081536C">
      <w:pPr>
        <w:pStyle w:val="Tableheadingcontinued"/>
      </w:pPr>
      <w:r>
        <w:t xml:space="preserve">Tale 5.2: </w:t>
      </w:r>
      <w:r>
        <w:tab/>
        <w:t xml:space="preserve">Estimates of Tax expenditures that can be costed (including thresholds) </w:t>
      </w:r>
      <w:r w:rsidRPr="0081536C">
        <w:rPr>
          <w:i/>
        </w:rPr>
        <w:t>(continued)</w:t>
      </w:r>
    </w:p>
    <w:p w:rsidR="0081536C" w:rsidRDefault="0081536C" w:rsidP="0081536C">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128"/>
        <w:gridCol w:w="772"/>
        <w:gridCol w:w="772"/>
        <w:gridCol w:w="772"/>
        <w:gridCol w:w="772"/>
        <w:gridCol w:w="772"/>
        <w:gridCol w:w="772"/>
      </w:tblGrid>
      <w:tr w:rsidR="0081536C" w:rsidRPr="00FB155B" w:rsidTr="00423972">
        <w:trPr>
          <w:tblHeader/>
        </w:trPr>
        <w:tc>
          <w:tcPr>
            <w:tcW w:w="3128" w:type="dxa"/>
            <w:tcBorders>
              <w:top w:val="single" w:sz="6" w:space="0" w:color="auto"/>
              <w:left w:val="single" w:sz="6" w:space="0" w:color="auto"/>
              <w:bottom w:val="single" w:sz="6" w:space="0" w:color="auto"/>
              <w:right w:val="nil"/>
            </w:tcBorders>
            <w:shd w:val="clear" w:color="000000" w:fill="000000"/>
          </w:tcPr>
          <w:p w:rsidR="0081536C" w:rsidRPr="00FB155B" w:rsidRDefault="0081536C" w:rsidP="00423972">
            <w:pPr>
              <w:pStyle w:val="Tabletext"/>
              <w:rPr>
                <w:rFonts w:eastAsiaTheme="minorEastAsia"/>
                <w:i/>
                <w:lang w:eastAsia="en-AU"/>
              </w:rPr>
            </w:pPr>
            <w:r w:rsidRPr="00FB155B">
              <w:rPr>
                <w:rFonts w:eastAsiaTheme="minorEastAsia"/>
                <w:i/>
                <w:lang w:eastAsia="en-AU"/>
              </w:rPr>
              <w:t>Description</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2013-14</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2014-15</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2015-16</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2016-17</w:t>
            </w:r>
          </w:p>
        </w:tc>
        <w:tc>
          <w:tcPr>
            <w:tcW w:w="772" w:type="dxa"/>
            <w:tcBorders>
              <w:top w:val="single" w:sz="6" w:space="0" w:color="auto"/>
              <w:left w:val="nil"/>
              <w:bottom w:val="single" w:sz="6" w:space="0" w:color="auto"/>
              <w:right w:val="nil"/>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2017-18</w:t>
            </w:r>
          </w:p>
        </w:tc>
        <w:tc>
          <w:tcPr>
            <w:tcW w:w="772" w:type="dxa"/>
            <w:tcBorders>
              <w:top w:val="single" w:sz="6" w:space="0" w:color="auto"/>
              <w:left w:val="nil"/>
              <w:bottom w:val="single" w:sz="6" w:space="0" w:color="auto"/>
              <w:right w:val="single" w:sz="6" w:space="0" w:color="auto"/>
            </w:tcBorders>
            <w:shd w:val="clear" w:color="000000" w:fill="000000"/>
          </w:tcPr>
          <w:p w:rsidR="0081536C" w:rsidRPr="00FB155B" w:rsidRDefault="0081536C" w:rsidP="00423972">
            <w:pPr>
              <w:pStyle w:val="Tabletextheading"/>
              <w:rPr>
                <w:rFonts w:eastAsiaTheme="minorEastAsia"/>
                <w:color w:val="FFFFFF"/>
                <w:lang w:eastAsia="en-AU"/>
              </w:rPr>
            </w:pPr>
            <w:r w:rsidRPr="00FB155B">
              <w:rPr>
                <w:rFonts w:eastAsiaTheme="minorEastAsia"/>
                <w:color w:val="FFFFFF"/>
                <w:lang w:eastAsia="en-AU"/>
              </w:rPr>
              <w:t>2018-19</w:t>
            </w: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text"/>
              <w:rPr>
                <w:rFonts w:eastAsiaTheme="minorEastAsia"/>
                <w:b/>
                <w:lang w:eastAsia="en-AU"/>
              </w:rPr>
            </w:pPr>
            <w:r w:rsidRPr="00FB155B">
              <w:rPr>
                <w:rFonts w:eastAsiaTheme="minorEastAsia"/>
                <w:b/>
                <w:bCs/>
                <w:lang w:eastAsia="en-AU"/>
              </w:rPr>
              <w:t>Motor vehicle taxes</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Discounted registration fee for vehicles operated by Health Care Card holders and pensioners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100.6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116.8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122.5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130.9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137.0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143.5</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Discounted registration fee for vehicles operated by totally and permanently Incapacitated persons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 xml:space="preserve">Discounted registration fee for light vehicles operated by primary producers </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 xml:space="preserve">Discounted registration fee for heavy vehicles operated by primary producers </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36.4</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38.8</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Discounted registration for hybrid or electric cars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4.6</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Discounted registration fee for trade apprentices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Pr>
                <w:rFonts w:eastAsiaTheme="minorEastAsia"/>
                <w:lang w:eastAsia="en-AU"/>
              </w:rPr>
              <w:t>..</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Pr>
                <w:rFonts w:eastAsiaTheme="minorEastAsia"/>
                <w:lang w:eastAsia="en-AU"/>
              </w:rPr>
              <w:t>..</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0.9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w:t>
            </w:r>
          </w:p>
        </w:tc>
      </w:tr>
      <w:tr w:rsidR="00B03921" w:rsidRPr="00FB155B" w:rsidTr="00016914">
        <w:tc>
          <w:tcPr>
            <w:tcW w:w="312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Stamp duty exemption on mobile plant registration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Pr>
                <w:rFonts w:eastAsiaTheme="minorEastAsia"/>
                <w:lang w:eastAsia="en-AU"/>
              </w:rPr>
              <w:t>..</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Pr>
                <w:rFonts w:eastAsiaTheme="minorEastAsia"/>
                <w:lang w:eastAsia="en-AU"/>
              </w:rPr>
              <w:t>..</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w:t>
            </w:r>
          </w:p>
        </w:tc>
      </w:tr>
      <w:tr w:rsidR="00B03921" w:rsidRPr="00FB155B" w:rsidTr="00016914">
        <w:tc>
          <w:tcPr>
            <w:tcW w:w="3128" w:type="dxa"/>
            <w:tcBorders>
              <w:top w:val="single" w:sz="6" w:space="0" w:color="auto"/>
              <w:left w:val="nil"/>
              <w:bottom w:val="single" w:sz="6" w:space="0" w:color="auto"/>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motor vehicle taxes expenditures</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144.5</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163.0</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174.6</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187.8</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194.8</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202.0</w:t>
            </w:r>
          </w:p>
        </w:tc>
      </w:tr>
      <w:tr w:rsidR="00B238F4" w:rsidRPr="00FB155B" w:rsidTr="00423972">
        <w:trPr>
          <w:trHeight w:hRule="exact" w:val="120"/>
        </w:trPr>
        <w:tc>
          <w:tcPr>
            <w:tcW w:w="7760" w:type="dxa"/>
            <w:gridSpan w:val="7"/>
            <w:tcBorders>
              <w:top w:val="nil"/>
              <w:left w:val="nil"/>
              <w:bottom w:val="nil"/>
              <w:right w:val="nil"/>
            </w:tcBorders>
          </w:tcPr>
          <w:p w:rsidR="00B238F4" w:rsidRPr="00FB155B" w:rsidRDefault="00B238F4" w:rsidP="00016914">
            <w:pPr>
              <w:pStyle w:val="TableofFigures"/>
              <w:rPr>
                <w:rFonts w:eastAsiaTheme="minorEastAsia"/>
                <w:b/>
                <w:bCs/>
                <w:lang w:eastAsia="en-AU"/>
              </w:rPr>
            </w:pPr>
          </w:p>
        </w:tc>
      </w:tr>
      <w:tr w:rsidR="00B238F4" w:rsidRPr="00FB155B" w:rsidTr="00423972">
        <w:tc>
          <w:tcPr>
            <w:tcW w:w="7760" w:type="dxa"/>
            <w:gridSpan w:val="7"/>
            <w:tcBorders>
              <w:top w:val="nil"/>
              <w:left w:val="nil"/>
              <w:bottom w:val="nil"/>
              <w:right w:val="nil"/>
            </w:tcBorders>
          </w:tcPr>
          <w:p w:rsidR="00B238F4" w:rsidRPr="00FB155B" w:rsidRDefault="00B238F4" w:rsidP="00B238F4">
            <w:pPr>
              <w:pStyle w:val="Tabletext"/>
              <w:rPr>
                <w:rFonts w:eastAsiaTheme="minorEastAsia"/>
                <w:b/>
                <w:lang w:eastAsia="en-AU"/>
              </w:rPr>
            </w:pPr>
            <w:r w:rsidRPr="00FB155B">
              <w:rPr>
                <w:rFonts w:eastAsiaTheme="minorEastAsia"/>
                <w:b/>
                <w:bCs/>
                <w:lang w:eastAsia="en-AU"/>
              </w:rPr>
              <w:t>Land transfer duties</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transfer duty concession for first homebuyers of properties valued up to $600 000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133.1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164.3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167.8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170.3</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173.7</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Land transfer duty concession for farmers under 35 years of age</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2.0</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Stamp duty for corporate reconstruction</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357.0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333.7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343.1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352.1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361.2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370.2</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Conveyance duty concession for pensioners and concession cardholders</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87.1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118.2</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120.7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122.5</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123.7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124.9</w:t>
            </w:r>
          </w:p>
        </w:tc>
      </w:tr>
      <w:tr w:rsidR="00B03921" w:rsidRPr="00FB155B" w:rsidTr="00016914">
        <w:tc>
          <w:tcPr>
            <w:tcW w:w="312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Stamp duty for principal place of residence</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119.0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112.7</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115.1</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116.8</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118.0</w:t>
            </w:r>
          </w:p>
        </w:tc>
        <w:tc>
          <w:tcPr>
            <w:tcW w:w="772"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119.2</w:t>
            </w:r>
          </w:p>
        </w:tc>
      </w:tr>
      <w:tr w:rsidR="00B03921" w:rsidRPr="00FB155B" w:rsidTr="00016914">
        <w:tc>
          <w:tcPr>
            <w:tcW w:w="3128" w:type="dxa"/>
            <w:tcBorders>
              <w:top w:val="single" w:sz="6" w:space="0" w:color="auto"/>
              <w:left w:val="nil"/>
              <w:bottom w:val="single" w:sz="6" w:space="0" w:color="auto"/>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land transfer duties expenditures</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697.1</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730.1</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748.6</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763.7</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776.8</w:t>
            </w:r>
          </w:p>
        </w:tc>
        <w:tc>
          <w:tcPr>
            <w:tcW w:w="772" w:type="dxa"/>
            <w:tcBorders>
              <w:top w:val="single" w:sz="6" w:space="0" w:color="auto"/>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790.0</w:t>
            </w:r>
          </w:p>
        </w:tc>
      </w:tr>
      <w:tr w:rsidR="00B03921" w:rsidRPr="00FB155B" w:rsidTr="00016914">
        <w:tc>
          <w:tcPr>
            <w:tcW w:w="3128" w:type="dxa"/>
            <w:tcBorders>
              <w:top w:val="single" w:sz="6" w:space="0" w:color="auto"/>
              <w:left w:val="nil"/>
              <w:bottom w:val="single" w:sz="12" w:space="0" w:color="000000"/>
              <w:right w:val="nil"/>
            </w:tcBorders>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estimated tax expenditures</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6 553.9</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7 218.3</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7 348.0</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7 962.2</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8 087.4</w:t>
            </w:r>
          </w:p>
        </w:tc>
        <w:tc>
          <w:tcPr>
            <w:tcW w:w="772"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8 740.8</w:t>
            </w:r>
          </w:p>
        </w:tc>
      </w:tr>
    </w:tbl>
    <w:p w:rsidR="00B03921" w:rsidRDefault="00B03921" w:rsidP="00016914">
      <w:pPr>
        <w:pStyle w:val="Source"/>
      </w:pPr>
      <w:r w:rsidRPr="00AA0197">
        <w:t>Source: Department of Treasury and Finance</w:t>
      </w:r>
    </w:p>
    <w:p w:rsidR="00B03921" w:rsidRDefault="00B03921" w:rsidP="00016914"/>
    <w:p w:rsidR="00B03921" w:rsidRDefault="00B03921">
      <w:pPr>
        <w:spacing w:after="0"/>
      </w:pPr>
      <w:r>
        <w:br w:type="page"/>
      </w:r>
    </w:p>
    <w:p w:rsidR="00B03921" w:rsidRDefault="00B03921" w:rsidP="00016914">
      <w:r w:rsidRPr="00AA0197">
        <w:t xml:space="preserve">Table 5.3 </w:t>
      </w:r>
      <w:r>
        <w:t xml:space="preserve">shows the ratio of </w:t>
      </w:r>
      <w:r w:rsidRPr="00AA0197">
        <w:t>tax expenditure</w:t>
      </w:r>
      <w:r>
        <w:t>s</w:t>
      </w:r>
      <w:r w:rsidRPr="00AA0197">
        <w:t xml:space="preserve"> </w:t>
      </w:r>
      <w:r>
        <w:t xml:space="preserve">to </w:t>
      </w:r>
      <w:r w:rsidRPr="00AA0197">
        <w:t>revenue by the main categories of tax</w:t>
      </w:r>
      <w:r>
        <w:t>. Overall, the ratio is relatively unchanged at 27 </w:t>
      </w:r>
      <w:r w:rsidRPr="00AA0197">
        <w:t>per</w:t>
      </w:r>
      <w:r>
        <w:t> </w:t>
      </w:r>
      <w:r w:rsidRPr="00AA0197">
        <w:t>cent</w:t>
      </w:r>
      <w:r>
        <w:t xml:space="preserve"> in 2015</w:t>
      </w:r>
      <w:r>
        <w:noBreakHyphen/>
        <w:t>16, compared to 28 per cent in 2014</w:t>
      </w:r>
      <w:r>
        <w:noBreakHyphen/>
        <w:t xml:space="preserve">15. </w:t>
      </w:r>
    </w:p>
    <w:p w:rsidR="00B03921" w:rsidRDefault="00B03921" w:rsidP="00016914">
      <w:pPr>
        <w:pStyle w:val="Tableheading"/>
        <w:rPr>
          <w:rStyle w:val="TableheadingChar"/>
          <w:b/>
          <w:vertAlign w:val="superscript"/>
        </w:rPr>
      </w:pPr>
      <w:r>
        <w:rPr>
          <w:lang w:eastAsia="en-AU"/>
        </w:rPr>
        <w:t xml:space="preserve">Table </w:t>
      </w:r>
      <w:r w:rsidRPr="009977E0">
        <w:rPr>
          <w:lang w:eastAsia="en-AU"/>
        </w:rPr>
        <w:t>5.</w:t>
      </w:r>
      <w:r>
        <w:rPr>
          <w:lang w:eastAsia="en-AU"/>
        </w:rPr>
        <w:t>3</w:t>
      </w:r>
      <w:r w:rsidRPr="009977E0">
        <w:rPr>
          <w:lang w:eastAsia="en-AU"/>
        </w:rPr>
        <w:t>:</w:t>
      </w:r>
      <w:r>
        <w:rPr>
          <w:lang w:eastAsia="en-AU"/>
        </w:rPr>
        <w:t xml:space="preserve"> </w:t>
      </w:r>
      <w:r>
        <w:rPr>
          <w:lang w:eastAsia="en-AU"/>
        </w:rPr>
        <w:tab/>
      </w:r>
      <w:r w:rsidRPr="008A47E8">
        <w:rPr>
          <w:lang w:eastAsia="en-AU"/>
        </w:rPr>
        <w:t>Estimated aggregate tax expenditures (excluding thresholds) and tax revenue in 2015</w:t>
      </w:r>
      <w:r>
        <w:rPr>
          <w:lang w:eastAsia="en-AU"/>
        </w:rPr>
        <w:noBreakHyphen/>
      </w:r>
      <w:r w:rsidRPr="008A47E8">
        <w:rPr>
          <w:lang w:eastAsia="en-AU"/>
        </w:rPr>
        <w:t>16</w:t>
      </w:r>
      <w:r w:rsidRPr="007D3C9B">
        <w:rPr>
          <w:rStyle w:val="TableheadingChar"/>
          <w:b/>
          <w:vertAlign w:val="superscript"/>
        </w:rPr>
        <w:t>(a)</w:t>
      </w:r>
    </w:p>
    <w:p w:rsidR="00B03921" w:rsidRPr="00CF6B88" w:rsidRDefault="00B03921" w:rsidP="00016914">
      <w:pPr>
        <w:pStyle w:val="million"/>
        <w:rPr>
          <w:rFonts w:ascii="Times New Roman" w:hAnsi="Times New Roman"/>
          <w:i w:val="0"/>
          <w:sz w:val="20"/>
          <w:szCs w:val="20"/>
          <w:lang w:eastAsia="en-AU"/>
        </w:rPr>
      </w:pPr>
      <w:r w:rsidRPr="00E4596E">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3845"/>
        <w:gridCol w:w="1520"/>
        <w:gridCol w:w="1355"/>
        <w:gridCol w:w="1040"/>
      </w:tblGrid>
      <w:tr w:rsidR="0081536C" w:rsidRPr="00CF6B88" w:rsidTr="00423972">
        <w:trPr>
          <w:trHeight w:val="503"/>
        </w:trPr>
        <w:tc>
          <w:tcPr>
            <w:tcW w:w="3845" w:type="dxa"/>
            <w:tcBorders>
              <w:top w:val="single" w:sz="6" w:space="0" w:color="auto"/>
              <w:left w:val="single" w:sz="6" w:space="0" w:color="auto"/>
              <w:right w:val="nil"/>
            </w:tcBorders>
            <w:shd w:val="clear" w:color="000000" w:fill="000000"/>
          </w:tcPr>
          <w:p w:rsidR="0081536C" w:rsidRPr="00CF6B88" w:rsidRDefault="0081536C" w:rsidP="00016914">
            <w:pPr>
              <w:pStyle w:val="Tabletext"/>
              <w:rPr>
                <w:rFonts w:eastAsiaTheme="minorEastAsia"/>
                <w:lang w:eastAsia="en-AU"/>
              </w:rPr>
            </w:pPr>
          </w:p>
          <w:p w:rsidR="0081536C" w:rsidRPr="00CF6B88" w:rsidRDefault="0081536C" w:rsidP="00016914">
            <w:pPr>
              <w:pStyle w:val="Tabletext"/>
              <w:rPr>
                <w:rFonts w:eastAsiaTheme="minorEastAsia"/>
                <w:lang w:eastAsia="en-AU"/>
              </w:rPr>
            </w:pPr>
            <w:r w:rsidRPr="00CF6B88">
              <w:rPr>
                <w:rFonts w:eastAsiaTheme="minorEastAsia"/>
                <w:i/>
                <w:iCs/>
                <w:lang w:eastAsia="en-AU"/>
              </w:rPr>
              <w:t>Description</w:t>
            </w:r>
          </w:p>
        </w:tc>
        <w:tc>
          <w:tcPr>
            <w:tcW w:w="1520" w:type="dxa"/>
            <w:tcBorders>
              <w:top w:val="single" w:sz="6" w:space="0" w:color="auto"/>
              <w:left w:val="nil"/>
              <w:right w:val="nil"/>
            </w:tcBorders>
            <w:shd w:val="clear" w:color="000000" w:fill="000000"/>
          </w:tcPr>
          <w:p w:rsidR="0081536C" w:rsidRPr="00CF6B88" w:rsidRDefault="0081536C" w:rsidP="0081536C">
            <w:pPr>
              <w:pStyle w:val="Tabletextheading"/>
              <w:rPr>
                <w:rFonts w:eastAsiaTheme="minorEastAsia"/>
                <w:iCs/>
                <w:color w:val="FFFFFF"/>
                <w:lang w:eastAsia="en-AU"/>
              </w:rPr>
            </w:pPr>
            <w:r w:rsidRPr="00CF6B88">
              <w:rPr>
                <w:rFonts w:eastAsiaTheme="minorEastAsia"/>
                <w:iCs/>
                <w:color w:val="FFFFFF"/>
                <w:lang w:eastAsia="en-AU"/>
              </w:rPr>
              <w:t>Tax</w:t>
            </w:r>
            <w:r>
              <w:rPr>
                <w:rFonts w:eastAsiaTheme="minorEastAsia"/>
                <w:iCs/>
                <w:color w:val="FFFFFF"/>
                <w:lang w:eastAsia="en-AU"/>
              </w:rPr>
              <w:t xml:space="preserve"> </w:t>
            </w:r>
            <w:r>
              <w:rPr>
                <w:rFonts w:eastAsiaTheme="minorEastAsia"/>
                <w:iCs/>
                <w:color w:val="FFFFFF"/>
                <w:lang w:eastAsia="en-AU"/>
              </w:rPr>
              <w:br/>
            </w:r>
            <w:r w:rsidRPr="00CF6B88">
              <w:rPr>
                <w:rFonts w:eastAsiaTheme="minorEastAsia"/>
                <w:iCs/>
                <w:color w:val="FFFFFF"/>
                <w:lang w:eastAsia="en-AU"/>
              </w:rPr>
              <w:t>expenditure</w:t>
            </w:r>
          </w:p>
        </w:tc>
        <w:tc>
          <w:tcPr>
            <w:tcW w:w="1355" w:type="dxa"/>
            <w:tcBorders>
              <w:top w:val="single" w:sz="6" w:space="0" w:color="auto"/>
              <w:left w:val="nil"/>
              <w:right w:val="nil"/>
            </w:tcBorders>
            <w:shd w:val="clear" w:color="000000" w:fill="000000"/>
          </w:tcPr>
          <w:p w:rsidR="0081536C" w:rsidRPr="00CF6B88" w:rsidRDefault="0081536C" w:rsidP="0081536C">
            <w:pPr>
              <w:pStyle w:val="Tabletextheading"/>
              <w:rPr>
                <w:rFonts w:eastAsiaTheme="minorEastAsia"/>
                <w:iCs/>
                <w:color w:val="FFFFFF"/>
                <w:lang w:eastAsia="en-AU"/>
              </w:rPr>
            </w:pPr>
            <w:r w:rsidRPr="00CF6B88">
              <w:rPr>
                <w:rFonts w:eastAsiaTheme="minorEastAsia"/>
                <w:iCs/>
                <w:color w:val="FFFFFF"/>
                <w:lang w:eastAsia="en-AU"/>
              </w:rPr>
              <w:t>Tax</w:t>
            </w:r>
            <w:r>
              <w:rPr>
                <w:rFonts w:eastAsiaTheme="minorEastAsia"/>
                <w:iCs/>
                <w:color w:val="FFFFFF"/>
                <w:lang w:eastAsia="en-AU"/>
              </w:rPr>
              <w:br/>
            </w:r>
            <w:r w:rsidRPr="00CF6B88">
              <w:rPr>
                <w:rFonts w:eastAsiaTheme="minorEastAsia"/>
                <w:iCs/>
                <w:color w:val="FFFFFF"/>
                <w:lang w:eastAsia="en-AU"/>
              </w:rPr>
              <w:t>revenue</w:t>
            </w:r>
          </w:p>
        </w:tc>
        <w:tc>
          <w:tcPr>
            <w:tcW w:w="1040" w:type="dxa"/>
            <w:tcBorders>
              <w:top w:val="single" w:sz="6" w:space="0" w:color="auto"/>
              <w:left w:val="nil"/>
              <w:right w:val="single" w:sz="6" w:space="0" w:color="auto"/>
            </w:tcBorders>
            <w:shd w:val="clear" w:color="000000" w:fill="000000"/>
          </w:tcPr>
          <w:p w:rsidR="0081536C" w:rsidRDefault="0081536C" w:rsidP="00016914">
            <w:pPr>
              <w:pStyle w:val="Tabletextheading"/>
              <w:rPr>
                <w:rFonts w:eastAsiaTheme="minorEastAsia"/>
                <w:iCs/>
                <w:color w:val="FFFFFF"/>
                <w:lang w:eastAsia="en-AU"/>
              </w:rPr>
            </w:pPr>
          </w:p>
          <w:p w:rsidR="0081536C" w:rsidRPr="00CF6B88" w:rsidRDefault="0081536C" w:rsidP="00016914">
            <w:pPr>
              <w:pStyle w:val="Tabletextheading"/>
              <w:rPr>
                <w:rFonts w:eastAsiaTheme="minorEastAsia"/>
                <w:iCs/>
                <w:color w:val="FFFFFF"/>
                <w:lang w:eastAsia="en-AU"/>
              </w:rPr>
            </w:pPr>
            <w:r w:rsidRPr="00CF6B88">
              <w:rPr>
                <w:rFonts w:eastAsiaTheme="minorEastAsia"/>
                <w:iCs/>
                <w:color w:val="FFFFFF"/>
                <w:lang w:eastAsia="en-AU"/>
              </w:rPr>
              <w:t>Ratio</w:t>
            </w:r>
          </w:p>
        </w:tc>
      </w:tr>
      <w:tr w:rsidR="00B03921" w:rsidRPr="00CF6B88" w:rsidTr="00016914">
        <w:tc>
          <w:tcPr>
            <w:tcW w:w="3845" w:type="dxa"/>
            <w:tcBorders>
              <w:top w:val="single" w:sz="6" w:space="0" w:color="auto"/>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Land tax</w:t>
            </w:r>
          </w:p>
        </w:tc>
        <w:tc>
          <w:tcPr>
            <w:tcW w:w="1520" w:type="dxa"/>
            <w:tcBorders>
              <w:top w:val="single" w:sz="6" w:space="0" w:color="auto"/>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2 924.7</w:t>
            </w:r>
          </w:p>
        </w:tc>
        <w:tc>
          <w:tcPr>
            <w:tcW w:w="1355" w:type="dxa"/>
            <w:tcBorders>
              <w:top w:val="single" w:sz="6" w:space="0" w:color="auto"/>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1 769.7</w:t>
            </w:r>
          </w:p>
        </w:tc>
        <w:tc>
          <w:tcPr>
            <w:tcW w:w="1040" w:type="dxa"/>
            <w:tcBorders>
              <w:top w:val="single" w:sz="6" w:space="0" w:color="auto"/>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1.65</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Payroll tax</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1 152.1</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5 407.5</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0.21</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Gambling tax</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75.1</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1 861.3</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0.04</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Motor vehicle taxes</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174.6</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2 202.2</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0.08</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Land transfer duties</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748.6</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5 028.1</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0.15</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Congestion levy</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43.9</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120.2</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0.36</w:t>
            </w:r>
          </w:p>
        </w:tc>
      </w:tr>
      <w:tr w:rsidR="00B03921" w:rsidRPr="00CF6B88" w:rsidTr="00016914">
        <w:tc>
          <w:tcPr>
            <w:tcW w:w="3845" w:type="dxa"/>
            <w:tcBorders>
              <w:top w:val="nil"/>
              <w:left w:val="nil"/>
              <w:bottom w:val="nil"/>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Fire Services Property Levy</w:t>
            </w:r>
          </w:p>
        </w:tc>
        <w:tc>
          <w:tcPr>
            <w:tcW w:w="152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 xml:space="preserve"> 21.9</w:t>
            </w:r>
          </w:p>
        </w:tc>
        <w:tc>
          <w:tcPr>
            <w:tcW w:w="1355"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627.9</w:t>
            </w:r>
          </w:p>
        </w:tc>
        <w:tc>
          <w:tcPr>
            <w:tcW w:w="1040" w:type="dxa"/>
            <w:tcBorders>
              <w:top w:val="nil"/>
              <w:left w:val="nil"/>
              <w:bottom w:val="nil"/>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0.03</w:t>
            </w:r>
          </w:p>
        </w:tc>
      </w:tr>
      <w:tr w:rsidR="00B03921" w:rsidRPr="00CF6B88" w:rsidTr="00016914">
        <w:tc>
          <w:tcPr>
            <w:tcW w:w="3845" w:type="dxa"/>
            <w:tcBorders>
              <w:top w:val="nil"/>
              <w:left w:val="nil"/>
              <w:bottom w:val="single" w:sz="6" w:space="0" w:color="auto"/>
              <w:right w:val="nil"/>
            </w:tcBorders>
            <w:shd w:val="solid" w:color="FFFFFF" w:fill="auto"/>
          </w:tcPr>
          <w:p w:rsidR="00B03921" w:rsidRPr="00CF6B88" w:rsidRDefault="00B03921" w:rsidP="00016914">
            <w:pPr>
              <w:pStyle w:val="Tabletext"/>
              <w:rPr>
                <w:rFonts w:eastAsiaTheme="minorEastAsia"/>
                <w:lang w:eastAsia="en-AU"/>
              </w:rPr>
            </w:pPr>
            <w:r w:rsidRPr="00CF6B88">
              <w:rPr>
                <w:rFonts w:eastAsiaTheme="minorEastAsia"/>
                <w:lang w:eastAsia="en-AU"/>
              </w:rPr>
              <w:t>Other/miscellaneous</w:t>
            </w:r>
          </w:p>
        </w:tc>
        <w:tc>
          <w:tcPr>
            <w:tcW w:w="1520" w:type="dxa"/>
            <w:tcBorders>
              <w:top w:val="nil"/>
              <w:left w:val="nil"/>
              <w:bottom w:val="single" w:sz="6" w:space="0" w:color="auto"/>
              <w:right w:val="nil"/>
            </w:tcBorders>
            <w:shd w:val="solid" w:color="FFFFFF" w:fill="auto"/>
          </w:tcPr>
          <w:p w:rsidR="00B03921" w:rsidRPr="00CF6B88" w:rsidRDefault="00B03921" w:rsidP="00016914">
            <w:pPr>
              <w:pStyle w:val="TableofFigures"/>
              <w:rPr>
                <w:rFonts w:eastAsiaTheme="minorEastAsia"/>
                <w:lang w:eastAsia="en-AU"/>
              </w:rPr>
            </w:pPr>
            <w:r>
              <w:rPr>
                <w:rFonts w:eastAsiaTheme="minorEastAsia"/>
                <w:lang w:eastAsia="en-AU"/>
              </w:rPr>
              <w:t>..</w:t>
            </w:r>
          </w:p>
        </w:tc>
        <w:tc>
          <w:tcPr>
            <w:tcW w:w="1355" w:type="dxa"/>
            <w:tcBorders>
              <w:top w:val="nil"/>
              <w:left w:val="nil"/>
              <w:bottom w:val="single" w:sz="6" w:space="0" w:color="auto"/>
              <w:right w:val="nil"/>
            </w:tcBorders>
            <w:shd w:val="solid" w:color="FFFFFF" w:fill="auto"/>
          </w:tcPr>
          <w:p w:rsidR="00B03921" w:rsidRPr="00CF6B88" w:rsidRDefault="00B03921" w:rsidP="00016914">
            <w:pPr>
              <w:pStyle w:val="TableofFigures"/>
              <w:rPr>
                <w:rFonts w:eastAsiaTheme="minorEastAsia"/>
                <w:lang w:eastAsia="en-AU"/>
              </w:rPr>
            </w:pPr>
            <w:r w:rsidRPr="00CF6B88">
              <w:rPr>
                <w:rFonts w:eastAsiaTheme="minorEastAsia"/>
                <w:lang w:eastAsia="en-AU"/>
              </w:rPr>
              <w:t>2 007.5</w:t>
            </w:r>
          </w:p>
        </w:tc>
        <w:tc>
          <w:tcPr>
            <w:tcW w:w="1040" w:type="dxa"/>
            <w:tcBorders>
              <w:top w:val="nil"/>
              <w:left w:val="nil"/>
              <w:bottom w:val="single" w:sz="6" w:space="0" w:color="auto"/>
              <w:right w:val="nil"/>
            </w:tcBorders>
            <w:shd w:val="solid" w:color="FFFFFF" w:fill="auto"/>
          </w:tcPr>
          <w:p w:rsidR="00B03921" w:rsidRPr="00CF6B88" w:rsidRDefault="00B03921" w:rsidP="00016914">
            <w:pPr>
              <w:pStyle w:val="TableofFigures"/>
              <w:rPr>
                <w:rFonts w:eastAsiaTheme="minorEastAsia"/>
                <w:lang w:eastAsia="en-AU"/>
              </w:rPr>
            </w:pPr>
            <w:r>
              <w:rPr>
                <w:rFonts w:eastAsiaTheme="minorEastAsia"/>
                <w:lang w:eastAsia="en-AU"/>
              </w:rPr>
              <w:t>..</w:t>
            </w:r>
          </w:p>
        </w:tc>
      </w:tr>
      <w:tr w:rsidR="00B03921" w:rsidRPr="00CF6B88" w:rsidTr="00016914">
        <w:tc>
          <w:tcPr>
            <w:tcW w:w="3845" w:type="dxa"/>
            <w:tcBorders>
              <w:top w:val="single" w:sz="6" w:space="0" w:color="auto"/>
              <w:left w:val="nil"/>
              <w:bottom w:val="single" w:sz="12" w:space="0" w:color="000000"/>
              <w:right w:val="nil"/>
            </w:tcBorders>
            <w:shd w:val="solid" w:color="FFFFFF" w:fill="auto"/>
          </w:tcPr>
          <w:p w:rsidR="00B03921" w:rsidRPr="00CF6B88" w:rsidRDefault="00B03921" w:rsidP="00016914">
            <w:pPr>
              <w:pStyle w:val="Tabletext"/>
              <w:rPr>
                <w:rFonts w:eastAsiaTheme="minorEastAsia"/>
                <w:b/>
                <w:bCs/>
                <w:lang w:eastAsia="en-AU"/>
              </w:rPr>
            </w:pPr>
            <w:r w:rsidRPr="00CF6B88">
              <w:rPr>
                <w:rFonts w:eastAsiaTheme="minorEastAsia"/>
                <w:b/>
                <w:bCs/>
                <w:lang w:eastAsia="en-AU"/>
              </w:rPr>
              <w:t>Total for items estimated</w:t>
            </w:r>
          </w:p>
        </w:tc>
        <w:tc>
          <w:tcPr>
            <w:tcW w:w="1520" w:type="dxa"/>
            <w:tcBorders>
              <w:top w:val="single" w:sz="6" w:space="0" w:color="auto"/>
              <w:left w:val="nil"/>
              <w:bottom w:val="single" w:sz="12" w:space="0" w:color="000000"/>
              <w:right w:val="nil"/>
            </w:tcBorders>
            <w:shd w:val="solid" w:color="FFFFFF" w:fill="auto"/>
          </w:tcPr>
          <w:p w:rsidR="00B03921" w:rsidRPr="00CF6B88" w:rsidRDefault="00B03921" w:rsidP="00016914">
            <w:pPr>
              <w:pStyle w:val="TableofFigures"/>
              <w:rPr>
                <w:rFonts w:eastAsiaTheme="minorEastAsia"/>
                <w:b/>
                <w:bCs/>
                <w:lang w:eastAsia="en-AU"/>
              </w:rPr>
            </w:pPr>
            <w:r w:rsidRPr="00CF6B88">
              <w:rPr>
                <w:rFonts w:eastAsiaTheme="minorEastAsia"/>
                <w:b/>
                <w:bCs/>
                <w:lang w:eastAsia="en-AU"/>
              </w:rPr>
              <w:t>5 140.7</w:t>
            </w:r>
          </w:p>
        </w:tc>
        <w:tc>
          <w:tcPr>
            <w:tcW w:w="1355" w:type="dxa"/>
            <w:tcBorders>
              <w:top w:val="single" w:sz="6" w:space="0" w:color="auto"/>
              <w:left w:val="nil"/>
              <w:bottom w:val="single" w:sz="12" w:space="0" w:color="000000"/>
              <w:right w:val="nil"/>
            </w:tcBorders>
            <w:shd w:val="solid" w:color="FFFFFF" w:fill="auto"/>
          </w:tcPr>
          <w:p w:rsidR="00B03921" w:rsidRPr="00CF6B88" w:rsidRDefault="00B03921" w:rsidP="00016914">
            <w:pPr>
              <w:pStyle w:val="TableofFigures"/>
              <w:rPr>
                <w:rFonts w:eastAsiaTheme="minorEastAsia"/>
                <w:b/>
                <w:bCs/>
                <w:lang w:eastAsia="en-AU"/>
              </w:rPr>
            </w:pPr>
            <w:r w:rsidRPr="00CF6B88">
              <w:rPr>
                <w:rFonts w:eastAsiaTheme="minorEastAsia"/>
                <w:b/>
                <w:bCs/>
                <w:lang w:eastAsia="en-AU"/>
              </w:rPr>
              <w:t>19 024.5</w:t>
            </w:r>
          </w:p>
        </w:tc>
        <w:tc>
          <w:tcPr>
            <w:tcW w:w="1040" w:type="dxa"/>
            <w:tcBorders>
              <w:top w:val="single" w:sz="6" w:space="0" w:color="auto"/>
              <w:left w:val="nil"/>
              <w:bottom w:val="single" w:sz="12" w:space="0" w:color="000000"/>
              <w:right w:val="nil"/>
            </w:tcBorders>
            <w:shd w:val="solid" w:color="FFFFFF" w:fill="auto"/>
          </w:tcPr>
          <w:p w:rsidR="00B03921" w:rsidRPr="00CF6B88" w:rsidRDefault="00B03921" w:rsidP="00016914">
            <w:pPr>
              <w:pStyle w:val="TableofFigures"/>
              <w:rPr>
                <w:rFonts w:eastAsiaTheme="minorEastAsia"/>
                <w:b/>
                <w:bCs/>
                <w:lang w:eastAsia="en-AU"/>
              </w:rPr>
            </w:pPr>
            <w:r w:rsidRPr="00CF6B88">
              <w:rPr>
                <w:rFonts w:eastAsiaTheme="minorEastAsia"/>
                <w:b/>
                <w:bCs/>
                <w:lang w:eastAsia="en-AU"/>
              </w:rPr>
              <w:t>0.27</w:t>
            </w:r>
          </w:p>
        </w:tc>
      </w:tr>
    </w:tbl>
    <w:p w:rsidR="00B03921" w:rsidRPr="00694012" w:rsidRDefault="00B03921" w:rsidP="00016914">
      <w:pPr>
        <w:pStyle w:val="Source"/>
      </w:pPr>
      <w:r w:rsidRPr="00694012">
        <w:t>Source: Department of Treasury and Finance</w:t>
      </w:r>
    </w:p>
    <w:p w:rsidR="00B03921" w:rsidRPr="00694012" w:rsidRDefault="00B03921" w:rsidP="00016914">
      <w:pPr>
        <w:pStyle w:val="Notes"/>
      </w:pPr>
      <w:r w:rsidRPr="00694012">
        <w:t>Note:</w:t>
      </w:r>
    </w:p>
    <w:p w:rsidR="00B03921" w:rsidRPr="00694012" w:rsidRDefault="00B03921" w:rsidP="00016914">
      <w:pPr>
        <w:pStyle w:val="Notes"/>
      </w:pPr>
      <w:r w:rsidRPr="00694012">
        <w:t>(a)</w:t>
      </w:r>
      <w:r w:rsidRPr="00694012">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B03921" w:rsidRDefault="00B03921" w:rsidP="00016914"/>
    <w:p w:rsidR="00B03921" w:rsidRDefault="00B03921">
      <w:pPr>
        <w:spacing w:after="0"/>
      </w:pPr>
      <w:r>
        <w:br w:type="page"/>
      </w:r>
    </w:p>
    <w:p w:rsidR="00B03921" w:rsidRDefault="00B03921" w:rsidP="00016914">
      <w:r w:rsidRPr="00945BB5">
        <w:t xml:space="preserve">Table 5.4 provides an estimate of tax expenditures for groups of potential taxpayers based on the legal incidence of state taxes. </w:t>
      </w:r>
    </w:p>
    <w:p w:rsidR="00B03921" w:rsidRDefault="00B03921" w:rsidP="00016914">
      <w:r>
        <w:t>The largest beneficiaries of Victorian tax expenditures are property owners, mainly in the form of the primary place of residence being exempt from land tax. Revenue foregone for this group is expected to be around $1 633 million in 2015</w:t>
      </w:r>
      <w:r>
        <w:noBreakHyphen/>
        <w:t xml:space="preserve">16. </w:t>
      </w:r>
    </w:p>
    <w:p w:rsidR="00B03921" w:rsidRDefault="00B03921" w:rsidP="00016914">
      <w:pPr>
        <w:pStyle w:val="Tableheading"/>
        <w:rPr>
          <w:vertAlign w:val="superscript"/>
          <w:lang w:eastAsia="en-AU"/>
        </w:rPr>
      </w:pPr>
      <w:r>
        <w:rPr>
          <w:lang w:eastAsia="en-AU"/>
        </w:rPr>
        <w:t xml:space="preserve">Table 5.4: </w:t>
      </w:r>
      <w:r>
        <w:rPr>
          <w:lang w:eastAsia="en-AU"/>
        </w:rPr>
        <w:tab/>
        <w:t>Estimated a</w:t>
      </w:r>
      <w:r w:rsidRPr="00AA0197">
        <w:rPr>
          <w:lang w:eastAsia="en-AU"/>
        </w:rPr>
        <w:t>ggregate tax expenditures (excluding thresholds) classified by persons or entities affected</w:t>
      </w:r>
      <w:r w:rsidRPr="00D6027B">
        <w:rPr>
          <w:vertAlign w:val="superscript"/>
          <w:lang w:eastAsia="en-AU"/>
        </w:rPr>
        <w:t>(a)</w:t>
      </w:r>
    </w:p>
    <w:p w:rsidR="00B03921" w:rsidRPr="00FB155B" w:rsidRDefault="00B03921" w:rsidP="00016914">
      <w:pPr>
        <w:pStyle w:val="million"/>
        <w:rPr>
          <w:rFonts w:ascii="Times New Roman" w:hAnsi="Times New Roman"/>
          <w:sz w:val="20"/>
          <w:lang w:eastAsia="en-AU"/>
        </w:rPr>
      </w:pPr>
      <w:r w:rsidRPr="00E4596E">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B03921" w:rsidRPr="00FB155B" w:rsidTr="00016914">
        <w:trPr>
          <w:tblHeader/>
        </w:trPr>
        <w:tc>
          <w:tcPr>
            <w:tcW w:w="2408" w:type="dxa"/>
            <w:tcBorders>
              <w:top w:val="single" w:sz="6" w:space="0" w:color="auto"/>
              <w:left w:val="single" w:sz="6" w:space="0" w:color="auto"/>
              <w:bottom w:val="single" w:sz="6" w:space="0" w:color="auto"/>
              <w:right w:val="nil"/>
            </w:tcBorders>
            <w:shd w:val="clear" w:color="000000" w:fill="000000"/>
          </w:tcPr>
          <w:p w:rsidR="00B03921" w:rsidRPr="00FB155B" w:rsidRDefault="00B03921" w:rsidP="00016914">
            <w:pPr>
              <w:pStyle w:val="Tabletext"/>
              <w:rPr>
                <w:rFonts w:eastAsiaTheme="minorEastAsia"/>
                <w:i/>
                <w:lang w:eastAsia="en-AU"/>
              </w:rPr>
            </w:pPr>
            <w:r w:rsidRPr="00FB155B">
              <w:rPr>
                <w:rFonts w:eastAsiaTheme="minorEastAsia"/>
                <w:i/>
                <w:lang w:eastAsia="en-AU"/>
              </w:rPr>
              <w:t>Description</w:t>
            </w:r>
          </w:p>
        </w:tc>
        <w:tc>
          <w:tcPr>
            <w:tcW w:w="89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2013-14</w:t>
            </w:r>
          </w:p>
        </w:tc>
        <w:tc>
          <w:tcPr>
            <w:tcW w:w="89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2014-15</w:t>
            </w:r>
          </w:p>
        </w:tc>
        <w:tc>
          <w:tcPr>
            <w:tcW w:w="89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2015-16</w:t>
            </w:r>
          </w:p>
        </w:tc>
        <w:tc>
          <w:tcPr>
            <w:tcW w:w="89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2016-17</w:t>
            </w:r>
          </w:p>
        </w:tc>
        <w:tc>
          <w:tcPr>
            <w:tcW w:w="892" w:type="dxa"/>
            <w:tcBorders>
              <w:top w:val="single" w:sz="6" w:space="0" w:color="auto"/>
              <w:left w:val="nil"/>
              <w:bottom w:val="single" w:sz="6" w:space="0" w:color="auto"/>
              <w:right w:val="nil"/>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2017-18</w:t>
            </w:r>
          </w:p>
        </w:tc>
        <w:tc>
          <w:tcPr>
            <w:tcW w:w="892" w:type="dxa"/>
            <w:tcBorders>
              <w:top w:val="single" w:sz="6" w:space="0" w:color="auto"/>
              <w:left w:val="nil"/>
              <w:bottom w:val="single" w:sz="6" w:space="0" w:color="auto"/>
              <w:right w:val="single" w:sz="6" w:space="0" w:color="auto"/>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2018-19</w:t>
            </w:r>
          </w:p>
        </w:tc>
      </w:tr>
      <w:tr w:rsidR="00B03921" w:rsidRPr="00FB155B" w:rsidTr="00016914">
        <w:tc>
          <w:tcPr>
            <w:tcW w:w="2408" w:type="dxa"/>
            <w:tcBorders>
              <w:top w:val="single" w:sz="6" w:space="0" w:color="auto"/>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Business not elsewhere included</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426.7</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423.4</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437.5</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453.6</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464.8</w:t>
            </w:r>
          </w:p>
        </w:tc>
        <w:tc>
          <w:tcPr>
            <w:tcW w:w="892" w:type="dxa"/>
            <w:tcBorders>
              <w:top w:val="single" w:sz="6" w:space="0" w:color="auto"/>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481.5</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Construction industry</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4.9</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Charitable organisations other than religious institutions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366.9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434.8</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448.9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488.4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502.3</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543.4</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Educational institutions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151.4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154.2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163.8</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174.4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184.3</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194.7</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Gambling clubs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70.9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74.4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76.6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78.1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75.8</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Commonwealth and State Governments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666.2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858.7</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847.3</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954.7</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939.3</w:t>
            </w:r>
          </w:p>
        </w:tc>
        <w:tc>
          <w:tcPr>
            <w:tcW w:w="892" w:type="dxa"/>
            <w:tcBorders>
              <w:top w:val="nil"/>
              <w:left w:val="nil"/>
              <w:bottom w:val="nil"/>
              <w:right w:val="nil"/>
            </w:tcBorders>
          </w:tcPr>
          <w:p w:rsidR="00B03921" w:rsidRPr="00FB155B" w:rsidRDefault="00B03921" w:rsidP="00016914">
            <w:pPr>
              <w:pStyle w:val="TableofFigures"/>
              <w:rPr>
                <w:rFonts w:eastAsiaTheme="minorEastAsia" w:cs="Calibri"/>
                <w:color w:val="000000"/>
                <w:lang w:eastAsia="en-AU"/>
              </w:rPr>
            </w:pPr>
            <w:r w:rsidRPr="00FB155B">
              <w:rPr>
                <w:rFonts w:eastAsiaTheme="minorEastAsia"/>
                <w:lang w:eastAsia="en-AU"/>
              </w:rPr>
              <w:t>1 057.1</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Local government</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268.8</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360.4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364.6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403.0</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406.3</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447.4</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Hospitals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376.2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383.1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406.8</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433.2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457.9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483.5</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Pensioners/concession cardholders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230.3</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281.4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289.5</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303.0</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310.1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321.4</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Property owners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1 483.9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1 656.7</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1 633.4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1 818.2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1 784.5</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1 986.8</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Primary producers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390.2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406.4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401.1</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451.6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442.0</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494.6</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Religious institutions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2.9</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3.2</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3.4</w:t>
            </w:r>
          </w:p>
        </w:tc>
      </w:tr>
      <w:tr w:rsidR="00B03921" w:rsidRPr="00FB155B" w:rsidTr="00016914">
        <w:tc>
          <w:tcPr>
            <w:tcW w:w="2408" w:type="dxa"/>
            <w:tcBorders>
              <w:top w:val="nil"/>
              <w:left w:val="nil"/>
              <w:bottom w:val="nil"/>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Sporting, recreation and cultural organisations</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41.0</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39.4</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38.5</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43.7</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42.6</w:t>
            </w:r>
          </w:p>
        </w:tc>
        <w:tc>
          <w:tcPr>
            <w:tcW w:w="892" w:type="dxa"/>
            <w:tcBorders>
              <w:top w:val="nil"/>
              <w:left w:val="nil"/>
              <w:bottom w:val="nil"/>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48.3</w:t>
            </w:r>
          </w:p>
        </w:tc>
      </w:tr>
      <w:tr w:rsidR="00B03921" w:rsidRPr="00FB155B" w:rsidTr="00016914">
        <w:tc>
          <w:tcPr>
            <w:tcW w:w="2408" w:type="dxa"/>
            <w:tcBorders>
              <w:top w:val="nil"/>
              <w:left w:val="nil"/>
              <w:bottom w:val="single" w:sz="6" w:space="0" w:color="auto"/>
              <w:right w:val="nil"/>
            </w:tcBorders>
          </w:tcPr>
          <w:p w:rsidR="00B03921" w:rsidRPr="00FB155B" w:rsidRDefault="00B03921" w:rsidP="00016914">
            <w:pPr>
              <w:pStyle w:val="Tabletext"/>
              <w:rPr>
                <w:rFonts w:eastAsiaTheme="minorEastAsia"/>
                <w:lang w:eastAsia="en-AU"/>
              </w:rPr>
            </w:pPr>
            <w:r w:rsidRPr="00FB155B">
              <w:rPr>
                <w:rFonts w:eastAsiaTheme="minorEastAsia"/>
                <w:lang w:eastAsia="en-AU"/>
              </w:rPr>
              <w:t>Other</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23.3</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24.4</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27.1</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30.2</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32.1</w:t>
            </w:r>
          </w:p>
        </w:tc>
        <w:tc>
          <w:tcPr>
            <w:tcW w:w="892" w:type="dxa"/>
            <w:tcBorders>
              <w:top w:val="nil"/>
              <w:left w:val="nil"/>
              <w:bottom w:val="single" w:sz="6" w:space="0" w:color="auto"/>
              <w:right w:val="nil"/>
            </w:tcBorders>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33.9</w:t>
            </w:r>
          </w:p>
        </w:tc>
      </w:tr>
      <w:tr w:rsidR="00B03921" w:rsidRPr="00FB155B" w:rsidTr="00016914">
        <w:tc>
          <w:tcPr>
            <w:tcW w:w="2408"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for items estimated</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4 502.2</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5 103.9</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5 140.7</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5 638.1</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5 652.2</w:t>
            </w:r>
          </w:p>
        </w:tc>
        <w:tc>
          <w:tcPr>
            <w:tcW w:w="892" w:type="dxa"/>
            <w:tcBorders>
              <w:top w:val="single" w:sz="6" w:space="0" w:color="auto"/>
              <w:left w:val="nil"/>
              <w:bottom w:val="single" w:sz="12" w:space="0" w:color="000000"/>
              <w:right w:val="nil"/>
            </w:tcBorders>
            <w:shd w:val="clear" w:color="auto"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6 176.8</w:t>
            </w:r>
          </w:p>
        </w:tc>
      </w:tr>
    </w:tbl>
    <w:p w:rsidR="00B03921" w:rsidRPr="007018C4" w:rsidRDefault="00B03921" w:rsidP="00016914">
      <w:pPr>
        <w:pStyle w:val="Source"/>
      </w:pPr>
      <w:r w:rsidRPr="007018C4">
        <w:t>Source: Department of Treasury and Finance</w:t>
      </w:r>
    </w:p>
    <w:p w:rsidR="00B03921" w:rsidRDefault="00B03921" w:rsidP="00016914">
      <w:pPr>
        <w:pStyle w:val="Notes"/>
        <w:rPr>
          <w:lang w:eastAsia="en-AU"/>
        </w:rPr>
      </w:pPr>
      <w:r>
        <w:rPr>
          <w:lang w:eastAsia="en-AU"/>
        </w:rPr>
        <w:t>Note:</w:t>
      </w:r>
    </w:p>
    <w:p w:rsidR="00B03921" w:rsidRDefault="00B03921" w:rsidP="00016914">
      <w:pPr>
        <w:pStyle w:val="Notes"/>
        <w:rPr>
          <w:lang w:eastAsia="en-AU"/>
        </w:rPr>
      </w:pPr>
      <w:r>
        <w:rPr>
          <w:lang w:eastAsia="en-AU"/>
        </w:rPr>
        <w:t>(a)</w:t>
      </w:r>
      <w:r>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B03921" w:rsidRDefault="00B03921">
      <w:pPr>
        <w:spacing w:after="0"/>
        <w:rPr>
          <w:rFonts w:ascii="Calibri" w:hAnsi="Calibri"/>
          <w:b/>
          <w:caps/>
          <w:sz w:val="26"/>
          <w:szCs w:val="22"/>
        </w:rPr>
      </w:pPr>
    </w:p>
    <w:p w:rsidR="00B03921" w:rsidRDefault="00B03921">
      <w:pPr>
        <w:spacing w:after="0"/>
        <w:rPr>
          <w:rFonts w:ascii="Calibri" w:hAnsi="Calibri"/>
          <w:b/>
          <w:caps/>
          <w:sz w:val="26"/>
          <w:szCs w:val="22"/>
        </w:rPr>
      </w:pPr>
      <w:r>
        <w:br w:type="page"/>
      </w:r>
    </w:p>
    <w:p w:rsidR="00B03921" w:rsidRDefault="00B03921" w:rsidP="00016914">
      <w:pPr>
        <w:pStyle w:val="Heading1"/>
      </w:pPr>
      <w:bookmarkStart w:id="137" w:name="_Toc418274777"/>
      <w:r>
        <w:t>Concessions</w:t>
      </w:r>
      <w:bookmarkEnd w:id="137"/>
    </w:p>
    <w:p w:rsidR="00B03921" w:rsidRDefault="00B03921" w:rsidP="00016914">
      <w:r>
        <w:t xml:space="preserve">Concessions are a direct budget outlay or reduction in government charges that have the effect of reducing the price of a good or service for particular groups. Over the past decade, the State has provided $13.3 billion in concessions expenditure. </w:t>
      </w:r>
    </w:p>
    <w:p w:rsidR="00B03921" w:rsidRDefault="00B03921" w:rsidP="00016914">
      <w:r>
        <w:t>Certain characteristics of the consumer, such as possession of a Commonwealth Government pension card or Health Care Card, are the basis for entitlement. Concessions allow certain groups in the community to access or purchase important amenities like energy, education, health and transportation at a reduced or zero cost.</w:t>
      </w:r>
    </w:p>
    <w:p w:rsidR="00B03921" w:rsidRDefault="00B03921" w:rsidP="00016914">
      <w:r>
        <w:t>Chart 5.1 shows the estimated distribution of concessions by category for 2015</w:t>
      </w:r>
      <w:r>
        <w:noBreakHyphen/>
        <w:t xml:space="preserve">16. </w:t>
      </w:r>
      <w:r>
        <w:rPr>
          <w:lang w:val="en-US"/>
        </w:rPr>
        <w:t>T</w:t>
      </w:r>
      <w:r>
        <w:t>he two largest concession categories account for more than two thirds of total concessions:</w:t>
      </w:r>
    </w:p>
    <w:p w:rsidR="00B03921" w:rsidRPr="006105C0" w:rsidRDefault="00B03921" w:rsidP="00016914">
      <w:pPr>
        <w:pStyle w:val="BulletText"/>
      </w:pPr>
      <w:r w:rsidRPr="006105C0">
        <w:t>health (including ambulance, dental and community health programs); and</w:t>
      </w:r>
    </w:p>
    <w:p w:rsidR="00B03921" w:rsidRPr="006105C0" w:rsidRDefault="00B03921" w:rsidP="00016914">
      <w:pPr>
        <w:pStyle w:val="BulletText"/>
      </w:pPr>
      <w:r w:rsidRPr="006105C0">
        <w:t>energy, municipal rates, water and sewerage.</w:t>
      </w:r>
    </w:p>
    <w:p w:rsidR="00B03921" w:rsidRDefault="00B03921" w:rsidP="00016914">
      <w:pPr>
        <w:pStyle w:val="Chartheading"/>
        <w:rPr>
          <w:lang w:eastAsia="en-AU"/>
        </w:rPr>
      </w:pPr>
      <w:r w:rsidRPr="00AA0197">
        <w:rPr>
          <w:lang w:eastAsia="en-AU"/>
        </w:rPr>
        <w:t>Chart 5.1:</w:t>
      </w:r>
      <w:r w:rsidRPr="00AA0197">
        <w:rPr>
          <w:lang w:eastAsia="en-AU"/>
        </w:rPr>
        <w:tab/>
        <w:t>Estimated concessions by category 2015</w:t>
      </w:r>
      <w:r>
        <w:rPr>
          <w:lang w:eastAsia="en-AU"/>
        </w:rPr>
        <w:noBreakHyphen/>
      </w:r>
      <w:r w:rsidRPr="00AA0197">
        <w:rPr>
          <w:lang w:eastAsia="en-AU"/>
        </w:rPr>
        <w:t>16</w:t>
      </w:r>
    </w:p>
    <w:p w:rsidR="00B03921" w:rsidRDefault="00B03921" w:rsidP="00016914">
      <w:pPr>
        <w:rPr>
          <w:szCs w:val="22"/>
          <w:lang w:eastAsia="en-AU"/>
        </w:rPr>
      </w:pPr>
      <w:r>
        <w:rPr>
          <w:noProof/>
          <w:lang w:eastAsia="en-AU"/>
        </w:rPr>
        <w:drawing>
          <wp:inline distT="0" distB="0" distL="0" distR="0" wp14:anchorId="30C9F884" wp14:editId="4F4F9C1F">
            <wp:extent cx="4888865" cy="2857061"/>
            <wp:effectExtent l="0" t="0" r="698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03921" w:rsidRDefault="00B03921" w:rsidP="00016914">
      <w:pPr>
        <w:rPr>
          <w:szCs w:val="22"/>
          <w:lang w:eastAsia="en-AU"/>
        </w:rPr>
      </w:pPr>
    </w:p>
    <w:p w:rsidR="00B03921" w:rsidRDefault="00B03921" w:rsidP="00016914">
      <w:pPr>
        <w:spacing w:after="100"/>
        <w:rPr>
          <w:szCs w:val="22"/>
          <w:lang w:eastAsia="en-AU"/>
        </w:rPr>
      </w:pPr>
    </w:p>
    <w:p w:rsidR="00B03921" w:rsidRDefault="00B03921" w:rsidP="00016914">
      <w:pPr>
        <w:spacing w:after="100"/>
        <w:rPr>
          <w:szCs w:val="22"/>
          <w:lang w:eastAsia="en-AU"/>
        </w:rPr>
      </w:pPr>
      <w:r w:rsidRPr="00945BB5">
        <w:rPr>
          <w:szCs w:val="22"/>
          <w:lang w:eastAsia="en-AU"/>
        </w:rPr>
        <w:t>Table 5.5 classifies the</w:t>
      </w:r>
      <w:r>
        <w:rPr>
          <w:szCs w:val="22"/>
          <w:lang w:eastAsia="en-AU"/>
        </w:rPr>
        <w:t xml:space="preserve"> major concessions by category.</w:t>
      </w:r>
    </w:p>
    <w:p w:rsidR="00B03921" w:rsidRDefault="00B03921" w:rsidP="00016914">
      <w:pPr>
        <w:spacing w:after="100"/>
        <w:rPr>
          <w:lang w:eastAsia="en-AU"/>
        </w:rPr>
      </w:pPr>
      <w:r>
        <w:rPr>
          <w:lang w:eastAsia="en-AU"/>
        </w:rPr>
        <w:t xml:space="preserve">Eligible concession card holders receive reduced bills for energy, municipal rates, water and sewerage, funded by the State and paid to service providers. </w:t>
      </w:r>
    </w:p>
    <w:p w:rsidR="00B03921" w:rsidRDefault="00B03921" w:rsidP="00016914">
      <w:pPr>
        <w:spacing w:after="100"/>
      </w:pPr>
      <w:r>
        <w:t xml:space="preserve">Education concessions include concessions for preschool and for vocational education and training. </w:t>
      </w:r>
    </w:p>
    <w:p w:rsidR="00B03921" w:rsidRDefault="00B03921">
      <w:pPr>
        <w:spacing w:after="0"/>
      </w:pPr>
      <w:r>
        <w:br w:type="page"/>
      </w:r>
    </w:p>
    <w:p w:rsidR="00B03921" w:rsidRDefault="00B03921" w:rsidP="00016914">
      <w:pPr>
        <w:spacing w:after="100"/>
      </w:pPr>
      <w:r>
        <w:t xml:space="preserve">Hardship schemes include the Utility Relief Grants Scheme and payment to State Trustees through a Community Service Agreement. The Utility Relief Grants Scheme assists Victorians unable to pay utility bills due to </w:t>
      </w:r>
      <w:r w:rsidRPr="00B8748C">
        <w:t>temporary financial crisis</w:t>
      </w:r>
      <w:r>
        <w:t xml:space="preserve">. State Trustees provide trustee services, including managing the legal and financial affairs of Victorians unable to do so independently. </w:t>
      </w:r>
    </w:p>
    <w:p w:rsidR="00B03921" w:rsidRDefault="00B03921" w:rsidP="00016914">
      <w:pPr>
        <w:spacing w:after="100"/>
      </w:pPr>
      <w:r>
        <w:t>The social and community services category includes assistance to non</w:t>
      </w:r>
      <w:r>
        <w:noBreakHyphen/>
        <w:t xml:space="preserve">profit organisations such as the Bereavement Assistance Limited, the Charity Freight Service and food relief organisations. </w:t>
      </w:r>
    </w:p>
    <w:p w:rsidR="00B03921" w:rsidRDefault="00B03921" w:rsidP="00016914">
      <w:pPr>
        <w:spacing w:after="100"/>
      </w:pPr>
      <w:r>
        <w:t>Private transport concessions consist of a discount on Transport Accident Commission premiums and funding of the Multi Purpose Taxi Program.</w:t>
      </w:r>
    </w:p>
    <w:p w:rsidR="00B03921" w:rsidRDefault="00B03921">
      <w:pPr>
        <w:spacing w:after="0"/>
        <w:rPr>
          <w:szCs w:val="22"/>
          <w:lang w:eastAsia="en-AU"/>
        </w:rPr>
      </w:pPr>
    </w:p>
    <w:p w:rsidR="00B03921" w:rsidRDefault="00B03921" w:rsidP="00016914">
      <w:pPr>
        <w:pStyle w:val="Tableheading"/>
        <w:spacing w:before="200" w:after="80"/>
        <w:rPr>
          <w:lang w:eastAsia="en-AU"/>
        </w:rPr>
      </w:pPr>
      <w:r w:rsidRPr="00DC2793">
        <w:rPr>
          <w:lang w:eastAsia="en-AU"/>
        </w:rPr>
        <w:t xml:space="preserve">Table 5.5: </w:t>
      </w:r>
      <w:r>
        <w:rPr>
          <w:lang w:eastAsia="en-AU"/>
        </w:rPr>
        <w:tab/>
      </w:r>
      <w:r w:rsidRPr="00DC2793">
        <w:rPr>
          <w:lang w:eastAsia="en-AU"/>
        </w:rPr>
        <w:t>Concessions by category</w:t>
      </w:r>
      <w:r w:rsidRPr="00DC2793">
        <w:rPr>
          <w:vertAlign w:val="superscript"/>
          <w:lang w:eastAsia="en-AU"/>
        </w:rPr>
        <w:t>(a)</w:t>
      </w:r>
    </w:p>
    <w:p w:rsidR="00B03921" w:rsidRPr="00FB155B" w:rsidRDefault="00B03921" w:rsidP="00016914">
      <w:pPr>
        <w:pStyle w:val="million"/>
        <w:rPr>
          <w:rFonts w:ascii="Times New Roman" w:hAnsi="Times New Roman"/>
          <w:sz w:val="20"/>
          <w:lang w:eastAsia="en-AU"/>
        </w:rPr>
      </w:pPr>
      <w:r w:rsidRPr="00E4596E">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B03921" w:rsidRPr="00FB155B" w:rsidTr="00016914">
        <w:trPr>
          <w:tblHeader/>
        </w:trPr>
        <w:tc>
          <w:tcPr>
            <w:tcW w:w="4640" w:type="dxa"/>
            <w:tcBorders>
              <w:top w:val="single" w:sz="6" w:space="0" w:color="auto"/>
              <w:left w:val="single" w:sz="6" w:space="0" w:color="auto"/>
              <w:bottom w:val="single" w:sz="6" w:space="0" w:color="auto"/>
            </w:tcBorders>
            <w:shd w:val="clear" w:color="000000" w:fill="000000"/>
          </w:tcPr>
          <w:p w:rsidR="00B03921" w:rsidRPr="00FB155B" w:rsidRDefault="00B03921" w:rsidP="00016914">
            <w:pPr>
              <w:pStyle w:val="Tabletext"/>
              <w:rPr>
                <w:rFonts w:eastAsiaTheme="minorEastAsia"/>
                <w:i/>
                <w:lang w:eastAsia="en-AU"/>
              </w:rPr>
            </w:pPr>
            <w:r w:rsidRPr="00FB155B">
              <w:rPr>
                <w:rFonts w:eastAsiaTheme="minorEastAsia"/>
                <w:i/>
                <w:lang w:eastAsia="en-AU"/>
              </w:rPr>
              <w:t>Description</w:t>
            </w:r>
          </w:p>
        </w:tc>
        <w:tc>
          <w:tcPr>
            <w:tcW w:w="1040" w:type="dxa"/>
            <w:tcBorders>
              <w:top w:val="single" w:sz="6" w:space="0" w:color="auto"/>
              <w:bottom w:val="single" w:sz="6" w:space="0" w:color="auto"/>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2013-14</w:t>
            </w:r>
          </w:p>
        </w:tc>
        <w:tc>
          <w:tcPr>
            <w:tcW w:w="1040" w:type="dxa"/>
            <w:tcBorders>
              <w:top w:val="single" w:sz="6" w:space="0" w:color="auto"/>
              <w:bottom w:val="single" w:sz="6" w:space="0" w:color="auto"/>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2014-15</w:t>
            </w:r>
          </w:p>
        </w:tc>
        <w:tc>
          <w:tcPr>
            <w:tcW w:w="1040" w:type="dxa"/>
            <w:tcBorders>
              <w:top w:val="single" w:sz="6" w:space="0" w:color="auto"/>
              <w:bottom w:val="single" w:sz="6" w:space="0" w:color="auto"/>
              <w:right w:val="single" w:sz="6" w:space="0" w:color="auto"/>
            </w:tcBorders>
            <w:shd w:val="clear" w:color="000000" w:fill="000000"/>
          </w:tcPr>
          <w:p w:rsidR="00B03921" w:rsidRPr="00FB155B" w:rsidRDefault="00B03921" w:rsidP="00016914">
            <w:pPr>
              <w:pStyle w:val="Tabletextheading"/>
              <w:rPr>
                <w:rFonts w:eastAsiaTheme="minorEastAsia"/>
                <w:color w:val="FFFFFF"/>
                <w:lang w:eastAsia="en-AU"/>
              </w:rPr>
            </w:pPr>
            <w:r w:rsidRPr="00FB155B">
              <w:rPr>
                <w:rFonts w:eastAsiaTheme="minorEastAsia"/>
                <w:color w:val="FFFFFF"/>
                <w:lang w:eastAsia="en-AU"/>
              </w:rPr>
              <w:t>2015-16</w:t>
            </w:r>
          </w:p>
        </w:tc>
      </w:tr>
      <w:tr w:rsidR="00B03921" w:rsidRPr="00FB155B" w:rsidTr="00016914">
        <w:tc>
          <w:tcPr>
            <w:tcW w:w="4640" w:type="dxa"/>
            <w:tcBorders>
              <w:top w:val="single" w:sz="6" w:space="0" w:color="auto"/>
              <w:left w:val="nil"/>
              <w:bottom w:val="nil"/>
              <w:right w:val="nil"/>
            </w:tcBorders>
            <w:shd w:val="solid" w:color="FFFFFF" w:fill="auto"/>
          </w:tcPr>
          <w:p w:rsidR="00B03921" w:rsidRPr="00FB155B" w:rsidRDefault="00B03921" w:rsidP="00016914">
            <w:pPr>
              <w:pStyle w:val="Tabletext"/>
              <w:rPr>
                <w:rFonts w:eastAsiaTheme="minorEastAsia"/>
                <w:vertAlign w:val="superscript"/>
                <w:lang w:eastAsia="en-AU"/>
              </w:rPr>
            </w:pPr>
            <w:r w:rsidRPr="00FB155B">
              <w:rPr>
                <w:rFonts w:eastAsiaTheme="minorEastAsia"/>
                <w:lang w:eastAsia="en-AU"/>
              </w:rPr>
              <w:t>Electricity</w:t>
            </w:r>
            <w:r w:rsidRPr="00FB155B">
              <w:rPr>
                <w:rFonts w:eastAsiaTheme="minorEastAsia"/>
                <w:vertAlign w:val="superscript"/>
                <w:lang w:eastAsia="en-AU"/>
              </w:rPr>
              <w:t>(b)</w:t>
            </w:r>
          </w:p>
        </w:tc>
        <w:tc>
          <w:tcPr>
            <w:tcW w:w="1040"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176.0</w:t>
            </w:r>
          </w:p>
        </w:tc>
        <w:tc>
          <w:tcPr>
            <w:tcW w:w="1040"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151.2</w:t>
            </w:r>
          </w:p>
        </w:tc>
        <w:tc>
          <w:tcPr>
            <w:tcW w:w="1040" w:type="dxa"/>
            <w:tcBorders>
              <w:top w:val="single" w:sz="6" w:space="0" w:color="auto"/>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169.1</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Mains gas</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58.3</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55.4</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62.0</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Municipal rates</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88.4</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90.6</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93.9</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Water and sewerage</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156.2</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159.2</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167.9</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energy, municipal rates, water and sewerage</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478.9</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456.4</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492.9</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vertAlign w:val="superscript"/>
                <w:lang w:eastAsia="en-AU"/>
              </w:rPr>
            </w:pPr>
            <w:r w:rsidRPr="00FB155B">
              <w:rPr>
                <w:rFonts w:eastAsiaTheme="minorEastAsia"/>
                <w:lang w:eastAsia="en-AU"/>
              </w:rPr>
              <w:t>Ambulance</w:t>
            </w:r>
            <w:r w:rsidRPr="00FB155B">
              <w:rPr>
                <w:rFonts w:eastAsiaTheme="minorEastAsia"/>
                <w:vertAlign w:val="superscript"/>
                <w:lang w:eastAsia="en-AU"/>
              </w:rPr>
              <w:t>(c)</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389.3</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365.5</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377.2</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vertAlign w:val="superscript"/>
                <w:lang w:eastAsia="en-AU"/>
              </w:rPr>
            </w:pPr>
            <w:r w:rsidRPr="00FB155B">
              <w:rPr>
                <w:rFonts w:eastAsiaTheme="minorEastAsia"/>
                <w:lang w:eastAsia="en-AU"/>
              </w:rPr>
              <w:t>Dental services and spectacles</w:t>
            </w:r>
            <w:r w:rsidRPr="00FB155B">
              <w:rPr>
                <w:rFonts w:eastAsiaTheme="minorEastAsia"/>
                <w:vertAlign w:val="superscript"/>
                <w:lang w:eastAsia="en-AU"/>
              </w:rPr>
              <w:t>(d)</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163.9</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148.3</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119.9</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lang w:eastAsia="en-AU"/>
              </w:rPr>
            </w:pPr>
            <w:r w:rsidRPr="00FB155B">
              <w:rPr>
                <w:rFonts w:eastAsiaTheme="minorEastAsia"/>
                <w:lang w:eastAsia="en-AU"/>
              </w:rPr>
              <w:t>Community health programs</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100.7</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103.1</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lang w:eastAsia="en-AU"/>
              </w:rPr>
            </w:pPr>
            <w:r w:rsidRPr="00FB155B">
              <w:rPr>
                <w:rFonts w:eastAsiaTheme="minorEastAsia"/>
                <w:lang w:eastAsia="en-AU"/>
              </w:rPr>
              <w:t xml:space="preserve"> 105.2</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health</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653.9</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617.0</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602.3</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cs="Calibri"/>
                <w:b/>
                <w:bCs/>
                <w:color w:val="000000"/>
                <w:vertAlign w:val="superscript"/>
                <w:lang w:eastAsia="en-AU"/>
              </w:rPr>
            </w:pPr>
            <w:r w:rsidRPr="00FB155B">
              <w:rPr>
                <w:rFonts w:eastAsiaTheme="minorEastAsia"/>
                <w:b/>
                <w:bCs/>
                <w:lang w:eastAsia="en-AU"/>
              </w:rPr>
              <w:t>Education</w:t>
            </w:r>
            <w:r w:rsidRPr="00FB155B">
              <w:rPr>
                <w:rFonts w:eastAsiaTheme="minorEastAsia"/>
                <w:b/>
                <w:bCs/>
                <w:vertAlign w:val="superscript"/>
                <w:lang w:eastAsia="en-AU"/>
              </w:rPr>
              <w:t>(</w:t>
            </w:r>
            <w:r w:rsidRPr="00FB155B">
              <w:rPr>
                <w:rFonts w:eastAsiaTheme="minorEastAsia" w:cs="Calibri"/>
                <w:b/>
                <w:bCs/>
                <w:color w:val="000000"/>
                <w:vertAlign w:val="superscript"/>
                <w:lang w:eastAsia="en-AU"/>
              </w:rPr>
              <w:t>e)</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99.7</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83.8</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108.7</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Hardship schemes</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37.5</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37.2</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41.5</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Social and community services</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5.1</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5.0</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5.0</w:t>
            </w:r>
          </w:p>
        </w:tc>
      </w:tr>
      <w:tr w:rsidR="00B03921" w:rsidRPr="00FB155B" w:rsidTr="00016914">
        <w:tc>
          <w:tcPr>
            <w:tcW w:w="4640" w:type="dxa"/>
            <w:tcBorders>
              <w:top w:val="nil"/>
              <w:left w:val="nil"/>
              <w:bottom w:val="nil"/>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Private transport</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181.4</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192.4</w:t>
            </w:r>
          </w:p>
        </w:tc>
        <w:tc>
          <w:tcPr>
            <w:tcW w:w="1040" w:type="dxa"/>
            <w:tcBorders>
              <w:top w:val="nil"/>
              <w:left w:val="nil"/>
              <w:bottom w:val="nil"/>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199.6</w:t>
            </w:r>
          </w:p>
        </w:tc>
      </w:tr>
      <w:tr w:rsidR="00B03921" w:rsidRPr="00FB155B" w:rsidTr="00016914">
        <w:tc>
          <w:tcPr>
            <w:tcW w:w="4640" w:type="dxa"/>
            <w:tcBorders>
              <w:top w:val="nil"/>
              <w:left w:val="nil"/>
              <w:bottom w:val="single" w:sz="6" w:space="0" w:color="auto"/>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Public transport</w:t>
            </w:r>
          </w:p>
        </w:tc>
        <w:tc>
          <w:tcPr>
            <w:tcW w:w="1040"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134.9</w:t>
            </w:r>
          </w:p>
        </w:tc>
        <w:tc>
          <w:tcPr>
            <w:tcW w:w="1040"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141.0</w:t>
            </w:r>
          </w:p>
        </w:tc>
        <w:tc>
          <w:tcPr>
            <w:tcW w:w="1040" w:type="dxa"/>
            <w:tcBorders>
              <w:top w:val="nil"/>
              <w:left w:val="nil"/>
              <w:bottom w:val="single" w:sz="6" w:space="0" w:color="auto"/>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 xml:space="preserve"> 147.3</w:t>
            </w:r>
          </w:p>
        </w:tc>
      </w:tr>
      <w:tr w:rsidR="00B03921" w:rsidRPr="00FB155B" w:rsidTr="00016914">
        <w:tc>
          <w:tcPr>
            <w:tcW w:w="4640"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text"/>
              <w:rPr>
                <w:rFonts w:eastAsiaTheme="minorEastAsia"/>
                <w:b/>
                <w:bCs/>
                <w:lang w:eastAsia="en-AU"/>
              </w:rPr>
            </w:pPr>
            <w:r w:rsidRPr="00FB155B">
              <w:rPr>
                <w:rFonts w:eastAsiaTheme="minorEastAsia"/>
                <w:b/>
                <w:bCs/>
                <w:lang w:eastAsia="en-AU"/>
              </w:rPr>
              <w:t>Total for items estimated</w:t>
            </w:r>
          </w:p>
        </w:tc>
        <w:tc>
          <w:tcPr>
            <w:tcW w:w="1040"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1 591.4</w:t>
            </w:r>
          </w:p>
        </w:tc>
        <w:tc>
          <w:tcPr>
            <w:tcW w:w="1040"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1 532.6</w:t>
            </w:r>
          </w:p>
        </w:tc>
        <w:tc>
          <w:tcPr>
            <w:tcW w:w="1040" w:type="dxa"/>
            <w:tcBorders>
              <w:top w:val="single" w:sz="6" w:space="0" w:color="auto"/>
              <w:left w:val="nil"/>
              <w:bottom w:val="single" w:sz="12" w:space="0" w:color="000000"/>
              <w:right w:val="nil"/>
            </w:tcBorders>
            <w:shd w:val="solid" w:color="FFFFFF" w:fill="auto"/>
          </w:tcPr>
          <w:p w:rsidR="00B03921" w:rsidRPr="00FB155B" w:rsidRDefault="00B03921" w:rsidP="00016914">
            <w:pPr>
              <w:pStyle w:val="TableofFigures"/>
              <w:rPr>
                <w:rFonts w:eastAsiaTheme="minorEastAsia"/>
                <w:b/>
                <w:bCs/>
                <w:lang w:eastAsia="en-AU"/>
              </w:rPr>
            </w:pPr>
            <w:r w:rsidRPr="00FB155B">
              <w:rPr>
                <w:rFonts w:eastAsiaTheme="minorEastAsia"/>
                <w:b/>
                <w:bCs/>
                <w:lang w:eastAsia="en-AU"/>
              </w:rPr>
              <w:t>1 597.3</w:t>
            </w:r>
          </w:p>
        </w:tc>
      </w:tr>
    </w:tbl>
    <w:p w:rsidR="00B03921" w:rsidRDefault="00B03921" w:rsidP="00016914">
      <w:pPr>
        <w:pStyle w:val="Source"/>
        <w:spacing w:after="80"/>
        <w:rPr>
          <w:lang w:eastAsia="en-AU"/>
        </w:rPr>
      </w:pPr>
      <w:r w:rsidRPr="00B11EF8">
        <w:t>Source:</w:t>
      </w:r>
      <w:r w:rsidRPr="00C97A54">
        <w:rPr>
          <w:lang w:eastAsia="en-AU"/>
        </w:rPr>
        <w:t xml:space="preserve"> </w:t>
      </w:r>
      <w:r w:rsidRPr="000812AC">
        <w:rPr>
          <w:lang w:eastAsia="en-AU"/>
        </w:rPr>
        <w:t>Department of Treasury and Financ</w:t>
      </w:r>
      <w:r>
        <w:rPr>
          <w:lang w:eastAsia="en-AU"/>
        </w:rPr>
        <w:t>e</w:t>
      </w:r>
    </w:p>
    <w:p w:rsidR="00B03921" w:rsidRPr="00A32B90" w:rsidRDefault="00B03921" w:rsidP="00016914">
      <w:pPr>
        <w:pStyle w:val="Notes"/>
        <w:rPr>
          <w:lang w:eastAsia="en-AU"/>
        </w:rPr>
      </w:pPr>
      <w:r w:rsidRPr="00A32B90">
        <w:rPr>
          <w:lang w:eastAsia="en-AU"/>
        </w:rPr>
        <w:t>Note</w:t>
      </w:r>
      <w:r>
        <w:rPr>
          <w:lang w:eastAsia="en-AU"/>
        </w:rPr>
        <w:t>s</w:t>
      </w:r>
      <w:r w:rsidRPr="00A32B90">
        <w:rPr>
          <w:lang w:eastAsia="en-AU"/>
        </w:rPr>
        <w:t>:</w:t>
      </w:r>
    </w:p>
    <w:p w:rsidR="00B03921" w:rsidRPr="00A44FEF" w:rsidRDefault="00B03921" w:rsidP="00016914">
      <w:pPr>
        <w:pStyle w:val="Notes"/>
      </w:pPr>
      <w:r>
        <w:t>(a)</w:t>
      </w:r>
      <w:r>
        <w:tab/>
      </w:r>
      <w:r w:rsidRPr="00A44FEF">
        <w:t>Some concessions are unable to be directly measured and are estimates only (including 2013</w:t>
      </w:r>
      <w:r>
        <w:noBreakHyphen/>
      </w:r>
      <w:r w:rsidRPr="00A44FEF">
        <w:t>14).</w:t>
      </w:r>
    </w:p>
    <w:p w:rsidR="00B03921" w:rsidRPr="00A44FEF" w:rsidRDefault="00B03921" w:rsidP="00016914">
      <w:pPr>
        <w:pStyle w:val="Notes"/>
      </w:pPr>
      <w:r>
        <w:t>(b)</w:t>
      </w:r>
      <w:r>
        <w:tab/>
      </w:r>
      <w:r w:rsidRPr="00A44FEF">
        <w:t xml:space="preserve">Electricity and gas concession expenditures </w:t>
      </w:r>
      <w:r>
        <w:t xml:space="preserve">are expected to be lower </w:t>
      </w:r>
      <w:r w:rsidRPr="00A44FEF">
        <w:t>in 2014</w:t>
      </w:r>
      <w:r>
        <w:noBreakHyphen/>
      </w:r>
      <w:r w:rsidRPr="00A44FEF">
        <w:t xml:space="preserve">15 due to the impact of the </w:t>
      </w:r>
      <w:r>
        <w:t xml:space="preserve">repeal of the </w:t>
      </w:r>
      <w:r w:rsidRPr="00A44FEF">
        <w:t xml:space="preserve">carbon </w:t>
      </w:r>
      <w:r>
        <w:t xml:space="preserve">tax </w:t>
      </w:r>
      <w:r w:rsidRPr="00A44FEF">
        <w:t>on energy prices, and an adjustment to the way energy retailers calculate concessions. These concessions are forecast to grow in line with energy prices and demand growth in 2015</w:t>
      </w:r>
      <w:r>
        <w:noBreakHyphen/>
      </w:r>
      <w:r w:rsidRPr="00A44FEF">
        <w:t>16.</w:t>
      </w:r>
    </w:p>
    <w:p w:rsidR="00B03921" w:rsidRPr="00A44FEF" w:rsidRDefault="00B03921" w:rsidP="00016914">
      <w:pPr>
        <w:pStyle w:val="Notes"/>
      </w:pPr>
      <w:r>
        <w:t>(c)</w:t>
      </w:r>
      <w:r>
        <w:tab/>
      </w:r>
      <w:r w:rsidRPr="00A44FEF">
        <w:t>The ambulance concession reflects the State</w:t>
      </w:r>
      <w:r w:rsidR="00BA5A16">
        <w:t>’</w:t>
      </w:r>
      <w:r w:rsidRPr="00A44FEF">
        <w:t>s contribution for free ambulance services for Community Service Obligation patients. From 2014</w:t>
      </w:r>
      <w:r>
        <w:noBreakHyphen/>
      </w:r>
      <w:r w:rsidRPr="00A44FEF">
        <w:t>15, the contribution from the Commonwealth Department of Veteran</w:t>
      </w:r>
      <w:r w:rsidR="00BA5A16">
        <w:t>’</w:t>
      </w:r>
      <w:r w:rsidRPr="00A44FEF">
        <w:t>s Affairs will now be provided directly to Ambulance Victoria and is not included in th</w:t>
      </w:r>
      <w:r>
        <w:t>e</w:t>
      </w:r>
      <w:r w:rsidRPr="00A44FEF">
        <w:t>s</w:t>
      </w:r>
      <w:r>
        <w:t>e</w:t>
      </w:r>
      <w:r w:rsidRPr="00A44FEF">
        <w:t xml:space="preserve"> figures. Prior to 2014</w:t>
      </w:r>
      <w:r>
        <w:noBreakHyphen/>
      </w:r>
      <w:r w:rsidRPr="00A44FEF">
        <w:t>15, this contribution was paid to the State and included in this data.</w:t>
      </w:r>
    </w:p>
    <w:p w:rsidR="00B03921" w:rsidRDefault="00B03921" w:rsidP="00016914">
      <w:pPr>
        <w:pStyle w:val="Notes"/>
      </w:pPr>
      <w:r>
        <w:t>(d)</w:t>
      </w:r>
      <w:r>
        <w:tab/>
      </w:r>
      <w:r w:rsidRPr="00297723">
        <w:t>The lower expenditure in 2014</w:t>
      </w:r>
      <w:r>
        <w:noBreakHyphen/>
        <w:t>15 is</w:t>
      </w:r>
      <w:r w:rsidRPr="00297723">
        <w:t xml:space="preserve"> due to adjustments by the Commonwealth in the timing of their payments</w:t>
      </w:r>
      <w:r>
        <w:t xml:space="preserve">, but </w:t>
      </w:r>
      <w:r w:rsidRPr="00297723">
        <w:t>did not impact on service delivery.</w:t>
      </w:r>
      <w:r>
        <w:t xml:space="preserve"> </w:t>
      </w:r>
      <w:r w:rsidRPr="00DF3453">
        <w:t>The 2015-16  concession expenditure excludes the proposed new Adult Public Dental Services National Partnership Agreement funding as negotiations with the Commonwealth have not yet commenced at time of publication and funding under the previous agreement lapses.</w:t>
      </w:r>
    </w:p>
    <w:p w:rsidR="00B03921" w:rsidRPr="00B279B4" w:rsidRDefault="00B03921" w:rsidP="00016914">
      <w:pPr>
        <w:pStyle w:val="Notes"/>
      </w:pPr>
      <w:r>
        <w:t>(e)</w:t>
      </w:r>
      <w:r>
        <w:tab/>
        <w:t>F</w:t>
      </w:r>
      <w:r w:rsidRPr="00855BD5">
        <w:t>rom 1 January 2015</w:t>
      </w:r>
      <w:r>
        <w:t xml:space="preserve"> the</w:t>
      </w:r>
      <w:r w:rsidRPr="005F76C8">
        <w:t xml:space="preserve"> </w:t>
      </w:r>
      <w:r w:rsidRPr="00A60B1E">
        <w:t>Education Maintenance Allowance</w:t>
      </w:r>
      <w:r>
        <w:t xml:space="preserve"> was discontinued in its current form, with its funding </w:t>
      </w:r>
      <w:r w:rsidRPr="00855BD5">
        <w:t xml:space="preserve">redirected to equity funding for schools as part of the </w:t>
      </w:r>
      <w:r w:rsidRPr="00BF2DEC">
        <w:rPr>
          <w:i w:val="0"/>
        </w:rPr>
        <w:t>Resourcing Schools to Raise Performance</w:t>
      </w:r>
      <w:r w:rsidRPr="00855BD5">
        <w:t xml:space="preserve"> initiative, announced in the </w:t>
      </w:r>
      <w:r w:rsidRPr="00855BD5">
        <w:rPr>
          <w:i w:val="0"/>
        </w:rPr>
        <w:t>2014</w:t>
      </w:r>
      <w:r>
        <w:rPr>
          <w:i w:val="0"/>
        </w:rPr>
        <w:noBreakHyphen/>
      </w:r>
      <w:r w:rsidRPr="00855BD5">
        <w:rPr>
          <w:i w:val="0"/>
        </w:rPr>
        <w:t>15 Budget</w:t>
      </w:r>
      <w:r w:rsidRPr="00855BD5">
        <w:t>.</w:t>
      </w:r>
      <w:r>
        <w:t xml:space="preserve"> </w:t>
      </w:r>
      <w:r w:rsidRPr="002A5ACA">
        <w:t xml:space="preserve">The </w:t>
      </w:r>
      <w:r w:rsidRPr="002A5ACA">
        <w:rPr>
          <w:i w:val="0"/>
        </w:rPr>
        <w:t>2015-16 Budget</w:t>
      </w:r>
      <w:r>
        <w:rPr>
          <w:i w:val="0"/>
        </w:rPr>
        <w:t xml:space="preserve"> </w:t>
      </w:r>
      <w:r>
        <w:t xml:space="preserve">also </w:t>
      </w:r>
      <w:r w:rsidRPr="002A5ACA">
        <w:t xml:space="preserve">includes new funding for a range of initiatives to </w:t>
      </w:r>
      <w:r>
        <w:t xml:space="preserve">help address the </w:t>
      </w:r>
      <w:r w:rsidRPr="002A5ACA">
        <w:t>additional costs of school education</w:t>
      </w:r>
      <w:r>
        <w:t>.</w:t>
      </w:r>
      <w:r w:rsidRPr="002A5ACA">
        <w:t xml:space="preserve"> </w:t>
      </w:r>
    </w:p>
    <w:p w:rsidR="00B03921" w:rsidRDefault="00B03921" w:rsidP="00D22EC9"/>
    <w:p w:rsidR="00E718A1" w:rsidRDefault="00E718A1">
      <w:pPr>
        <w:spacing w:after="0"/>
      </w:pPr>
      <w:r>
        <w:br w:type="page"/>
      </w:r>
    </w:p>
    <w:p w:rsidR="00E718A1" w:rsidRDefault="00E718A1" w:rsidP="00D22EC9"/>
    <w:p w:rsidR="00E718A1" w:rsidRDefault="00E718A1" w:rsidP="00D22EC9">
      <w:pPr>
        <w:sectPr w:rsidR="00E718A1" w:rsidSect="00402D9E">
          <w:headerReference w:type="even" r:id="rId76"/>
          <w:headerReference w:type="default" r:id="rId77"/>
          <w:footerReference w:type="even" r:id="rId78"/>
          <w:footerReference w:type="default" r:id="rId79"/>
          <w:headerReference w:type="first" r:id="rId80"/>
          <w:footerReference w:type="first" r:id="rId81"/>
          <w:type w:val="oddPage"/>
          <w:pgSz w:w="9979" w:h="14181" w:code="34"/>
          <w:pgMar w:top="1140" w:right="1140" w:bottom="1140" w:left="1140" w:header="720" w:footer="431" w:gutter="0"/>
          <w:cols w:space="708"/>
          <w:docGrid w:linePitch="360"/>
        </w:sectPr>
      </w:pPr>
    </w:p>
    <w:p w:rsidR="00B03921" w:rsidRDefault="00B03921" w:rsidP="00016914">
      <w:pPr>
        <w:pStyle w:val="ChapterHeading"/>
      </w:pPr>
      <w:bookmarkStart w:id="138" w:name="_Toc386673376"/>
      <w:bookmarkStart w:id="139" w:name="_Toc418274778"/>
      <w:r>
        <w:t>Chapter 6 – Contingent assets and contingent liabilities</w:t>
      </w:r>
      <w:bookmarkEnd w:id="138"/>
      <w:bookmarkEnd w:id="139"/>
    </w:p>
    <w:p w:rsidR="00B03921" w:rsidRPr="000971B6" w:rsidRDefault="00B03921" w:rsidP="00016914">
      <w:pPr>
        <w:pStyle w:val="BodyText"/>
      </w:pPr>
      <w:r w:rsidRPr="000971B6">
        <w:t xml:space="preserve">This chapter contains information </w:t>
      </w:r>
      <w:r>
        <w:t xml:space="preserve">on contingent assets and liabilities for </w:t>
      </w:r>
      <w:r w:rsidRPr="000971B6">
        <w:t>the general government sector</w:t>
      </w:r>
      <w:r>
        <w:t xml:space="preserve"> and should be read in conjunction with Chapter 1</w:t>
      </w:r>
      <w:r w:rsidRPr="000971B6">
        <w:t>.</w:t>
      </w:r>
    </w:p>
    <w:p w:rsidR="00B03921" w:rsidRPr="002B1324" w:rsidRDefault="00B03921" w:rsidP="00016914">
      <w:pPr>
        <w:pStyle w:val="Heading1"/>
      </w:pPr>
      <w:bookmarkStart w:id="140" w:name="_Toc374373961"/>
      <w:bookmarkStart w:id="141" w:name="_Toc386673377"/>
      <w:bookmarkStart w:id="142" w:name="_Toc418274779"/>
      <w:r w:rsidRPr="002B1324">
        <w:t>Contingent assets</w:t>
      </w:r>
      <w:bookmarkEnd w:id="140"/>
      <w:bookmarkEnd w:id="141"/>
      <w:bookmarkEnd w:id="142"/>
    </w:p>
    <w:p w:rsidR="00B03921" w:rsidRPr="000971B6" w:rsidRDefault="00B03921" w:rsidP="00016914">
      <w:pPr>
        <w:pStyle w:val="BodyText"/>
      </w:pPr>
      <w:r w:rsidRPr="000971B6">
        <w:t>Contingent assets are possible assets that arise from past events, whose existence will be confirmed only by the occurrence or non</w:t>
      </w:r>
      <w:r>
        <w:noBreakHyphen/>
      </w:r>
      <w:r w:rsidRPr="000971B6">
        <w:t xml:space="preserve">occurrence of one or more uncertain future events not wholly </w:t>
      </w:r>
      <w:r>
        <w:t>with</w:t>
      </w:r>
      <w:r w:rsidRPr="000971B6">
        <w:t>in the control of the entity.</w:t>
      </w:r>
      <w:r>
        <w:t xml:space="preserve"> </w:t>
      </w:r>
    </w:p>
    <w:p w:rsidR="00B03921" w:rsidRPr="000971B6" w:rsidRDefault="00B03921" w:rsidP="00016914">
      <w:pPr>
        <w:pStyle w:val="BodyText"/>
      </w:pPr>
      <w:r w:rsidRPr="000971B6">
        <w:t>These are classified as either quantifiable, where the potential economic benefit is known, or non</w:t>
      </w:r>
      <w:r>
        <w:noBreakHyphen/>
      </w:r>
      <w:r w:rsidRPr="000971B6">
        <w:t>quantifiable. The table below contains quant</w:t>
      </w:r>
      <w:r>
        <w:t>ifiable contingent assets as at May 2015, based on current information</w:t>
      </w:r>
      <w:r w:rsidRPr="000971B6">
        <w:t>.</w:t>
      </w:r>
      <w:r>
        <w:t xml:space="preserve"> </w:t>
      </w:r>
    </w:p>
    <w:p w:rsidR="00B03921" w:rsidRPr="000971B6" w:rsidRDefault="00B03921" w:rsidP="00016914">
      <w:pPr>
        <w:pStyle w:val="Tableheading"/>
      </w:pPr>
      <w:r>
        <w:t>Table 6.1:</w:t>
      </w:r>
      <w:r>
        <w:tab/>
      </w:r>
      <w:r w:rsidRPr="000971B6">
        <w:t xml:space="preserve">Quantifiable </w:t>
      </w:r>
      <w:r w:rsidRPr="00AF25BA">
        <w:t>contingent</w:t>
      </w:r>
      <w:r w:rsidRPr="000971B6">
        <w:t xml:space="preserve"> assets</w:t>
      </w:r>
    </w:p>
    <w:p w:rsidR="00B03921" w:rsidRDefault="00B03921" w:rsidP="00016914">
      <w:pPr>
        <w:pStyle w:val="million"/>
        <w:rPr>
          <w:rFonts w:ascii="Times New Roman" w:hAnsi="Times New Roman"/>
          <w:i w:val="0"/>
          <w:sz w:val="20"/>
          <w:szCs w:val="20"/>
          <w:lang w:eastAsia="en-AU"/>
        </w:rPr>
      </w:pPr>
      <w:r w:rsidRPr="000971B6">
        <w:t>($</w:t>
      </w: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5680"/>
        <w:gridCol w:w="1040"/>
        <w:gridCol w:w="1040"/>
      </w:tblGrid>
      <w:tr w:rsidR="0081536C" w:rsidRPr="008A0ADD" w:rsidTr="00423972">
        <w:trPr>
          <w:cantSplit/>
          <w:trHeight w:val="503"/>
          <w:tblHeader/>
        </w:trPr>
        <w:tc>
          <w:tcPr>
            <w:tcW w:w="5680" w:type="dxa"/>
            <w:tcBorders>
              <w:top w:val="single" w:sz="6" w:space="0" w:color="auto"/>
              <w:left w:val="single" w:sz="6" w:space="0" w:color="auto"/>
              <w:right w:val="nil"/>
            </w:tcBorders>
            <w:shd w:val="clear" w:color="000000" w:fill="000000"/>
          </w:tcPr>
          <w:p w:rsidR="0081536C" w:rsidRPr="008A0ADD" w:rsidRDefault="0081536C" w:rsidP="00016914">
            <w:pPr>
              <w:pStyle w:val="Tabletext"/>
              <w:rPr>
                <w:rFonts w:eastAsiaTheme="minorEastAsia"/>
                <w:lang w:eastAsia="en-AU"/>
              </w:rPr>
            </w:pPr>
            <w:r w:rsidRPr="008A0ADD">
              <w:rPr>
                <w:rFonts w:eastAsiaTheme="minorEastAsia"/>
                <w:lang w:eastAsia="en-AU"/>
              </w:rPr>
              <w:t xml:space="preserve"> </w:t>
            </w:r>
          </w:p>
        </w:tc>
        <w:tc>
          <w:tcPr>
            <w:tcW w:w="1040" w:type="dxa"/>
            <w:tcBorders>
              <w:top w:val="single" w:sz="6" w:space="0" w:color="auto"/>
              <w:left w:val="nil"/>
              <w:right w:val="nil"/>
            </w:tcBorders>
            <w:shd w:val="clear" w:color="000000" w:fill="000000"/>
          </w:tcPr>
          <w:p w:rsidR="0081536C" w:rsidRPr="008A0ADD" w:rsidRDefault="0081536C" w:rsidP="0081536C">
            <w:pPr>
              <w:pStyle w:val="Tabletextheading"/>
              <w:rPr>
                <w:rFonts w:eastAsiaTheme="minorEastAsia"/>
                <w:iCs/>
                <w:color w:val="FFFFFF"/>
                <w:lang w:eastAsia="en-AU"/>
              </w:rPr>
            </w:pPr>
            <w:r w:rsidRPr="008A0ADD">
              <w:rPr>
                <w:rFonts w:eastAsiaTheme="minorEastAsia"/>
                <w:iCs/>
                <w:color w:val="FFFFFF"/>
                <w:lang w:eastAsia="en-AU"/>
              </w:rPr>
              <w:t>As at</w:t>
            </w:r>
            <w:r>
              <w:rPr>
                <w:rFonts w:eastAsiaTheme="minorEastAsia"/>
                <w:iCs/>
                <w:color w:val="FFFFFF"/>
                <w:lang w:eastAsia="en-AU"/>
              </w:rPr>
              <w:t xml:space="preserve"> </w:t>
            </w:r>
            <w:r>
              <w:rPr>
                <w:rFonts w:eastAsiaTheme="minorEastAsia"/>
                <w:iCs/>
                <w:color w:val="FFFFFF"/>
                <w:lang w:eastAsia="en-AU"/>
              </w:rPr>
              <w:br/>
            </w:r>
            <w:r w:rsidRPr="008A0ADD">
              <w:rPr>
                <w:rFonts w:eastAsiaTheme="minorEastAsia"/>
                <w:iCs/>
                <w:color w:val="FFFFFF"/>
                <w:lang w:eastAsia="en-AU"/>
              </w:rPr>
              <w:t xml:space="preserve">Dec 2014 </w:t>
            </w:r>
            <w:r w:rsidRPr="008A0ADD">
              <w:rPr>
                <w:rFonts w:eastAsiaTheme="minorEastAsia"/>
                <w:iCs/>
                <w:color w:val="FFFFFF"/>
                <w:vertAlign w:val="superscript"/>
                <w:lang w:eastAsia="en-AU"/>
              </w:rPr>
              <w:t>(a)</w:t>
            </w:r>
          </w:p>
        </w:tc>
        <w:tc>
          <w:tcPr>
            <w:tcW w:w="1040" w:type="dxa"/>
            <w:tcBorders>
              <w:top w:val="single" w:sz="6" w:space="0" w:color="auto"/>
              <w:left w:val="nil"/>
              <w:right w:val="single" w:sz="6" w:space="0" w:color="auto"/>
            </w:tcBorders>
            <w:shd w:val="clear" w:color="000000" w:fill="000000"/>
          </w:tcPr>
          <w:p w:rsidR="0081536C" w:rsidRPr="008A0ADD" w:rsidRDefault="0081536C" w:rsidP="0081536C">
            <w:pPr>
              <w:pStyle w:val="Tabletextheading"/>
              <w:rPr>
                <w:rFonts w:eastAsiaTheme="minorEastAsia"/>
                <w:iCs/>
                <w:color w:val="FFFFFF"/>
                <w:lang w:eastAsia="en-AU"/>
              </w:rPr>
            </w:pPr>
            <w:r w:rsidRPr="008A0ADD">
              <w:rPr>
                <w:rFonts w:eastAsiaTheme="minorEastAsia"/>
                <w:iCs/>
                <w:color w:val="FFFFFF"/>
                <w:lang w:eastAsia="en-AU"/>
              </w:rPr>
              <w:t>As at</w:t>
            </w:r>
            <w:r>
              <w:rPr>
                <w:rFonts w:eastAsiaTheme="minorEastAsia"/>
                <w:iCs/>
                <w:color w:val="FFFFFF"/>
                <w:lang w:eastAsia="en-AU"/>
              </w:rPr>
              <w:br/>
            </w:r>
            <w:r w:rsidRPr="008A0ADD">
              <w:rPr>
                <w:rFonts w:eastAsiaTheme="minorEastAsia"/>
                <w:iCs/>
                <w:color w:val="FFFFFF"/>
                <w:lang w:eastAsia="en-AU"/>
              </w:rPr>
              <w:t>May 2015</w:t>
            </w:r>
          </w:p>
        </w:tc>
      </w:tr>
      <w:tr w:rsidR="00B03921" w:rsidRPr="008A0ADD" w:rsidTr="00016914">
        <w:trPr>
          <w:cantSplit/>
        </w:trPr>
        <w:tc>
          <w:tcPr>
            <w:tcW w:w="5680" w:type="dxa"/>
            <w:tcBorders>
              <w:top w:val="single" w:sz="6" w:space="0" w:color="auto"/>
              <w:left w:val="nil"/>
              <w:bottom w:val="nil"/>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Guarantees, indemnities and warranties</w:t>
            </w:r>
          </w:p>
        </w:tc>
        <w:tc>
          <w:tcPr>
            <w:tcW w:w="1040" w:type="dxa"/>
            <w:tcBorders>
              <w:top w:val="single" w:sz="6" w:space="0" w:color="auto"/>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6.4</w:t>
            </w:r>
          </w:p>
        </w:tc>
        <w:tc>
          <w:tcPr>
            <w:tcW w:w="1040" w:type="dxa"/>
            <w:tcBorders>
              <w:top w:val="single" w:sz="6" w:space="0" w:color="auto"/>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6.8</w:t>
            </w:r>
          </w:p>
        </w:tc>
      </w:tr>
      <w:tr w:rsidR="00B03921" w:rsidRPr="008A0ADD" w:rsidTr="00016914">
        <w:trPr>
          <w:cantSplit/>
        </w:trPr>
        <w:tc>
          <w:tcPr>
            <w:tcW w:w="5680" w:type="dxa"/>
            <w:tcBorders>
              <w:top w:val="nil"/>
              <w:left w:val="nil"/>
              <w:bottom w:val="nil"/>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Legal proceedings and disputes</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6.8</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4.5</w:t>
            </w:r>
          </w:p>
        </w:tc>
      </w:tr>
      <w:tr w:rsidR="00B03921" w:rsidRPr="008A0ADD" w:rsidTr="00016914">
        <w:trPr>
          <w:cantSplit/>
        </w:trPr>
        <w:tc>
          <w:tcPr>
            <w:tcW w:w="5680" w:type="dxa"/>
            <w:tcBorders>
              <w:top w:val="nil"/>
              <w:left w:val="nil"/>
              <w:bottom w:val="single" w:sz="6" w:space="0" w:color="auto"/>
              <w:right w:val="nil"/>
            </w:tcBorders>
          </w:tcPr>
          <w:p w:rsidR="00B03921" w:rsidRPr="008A0ADD" w:rsidRDefault="00B03921" w:rsidP="00016914">
            <w:pPr>
              <w:pStyle w:val="Tabletext"/>
              <w:rPr>
                <w:rFonts w:eastAsiaTheme="minorEastAsia"/>
                <w:vertAlign w:val="superscript"/>
                <w:lang w:eastAsia="en-AU"/>
              </w:rPr>
            </w:pPr>
            <w:r w:rsidRPr="008A0ADD">
              <w:rPr>
                <w:rFonts w:eastAsiaTheme="minorEastAsia"/>
                <w:lang w:eastAsia="en-AU"/>
              </w:rPr>
              <w:t xml:space="preserve">Other </w:t>
            </w:r>
            <w:r w:rsidRPr="008A0ADD">
              <w:rPr>
                <w:rFonts w:eastAsiaTheme="minorEastAsia"/>
                <w:vertAlign w:val="superscript"/>
                <w:lang w:eastAsia="en-AU"/>
              </w:rPr>
              <w:t>(b)</w:t>
            </w:r>
          </w:p>
        </w:tc>
        <w:tc>
          <w:tcPr>
            <w:tcW w:w="1040" w:type="dxa"/>
            <w:tcBorders>
              <w:top w:val="nil"/>
              <w:left w:val="nil"/>
              <w:bottom w:val="single" w:sz="6" w:space="0" w:color="auto"/>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100.7</w:t>
            </w:r>
          </w:p>
        </w:tc>
        <w:tc>
          <w:tcPr>
            <w:tcW w:w="1040" w:type="dxa"/>
            <w:tcBorders>
              <w:top w:val="nil"/>
              <w:left w:val="nil"/>
              <w:bottom w:val="single" w:sz="6" w:space="0" w:color="auto"/>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105.4</w:t>
            </w:r>
          </w:p>
        </w:tc>
      </w:tr>
      <w:tr w:rsidR="00B03921" w:rsidRPr="008A0ADD" w:rsidTr="00016914">
        <w:trPr>
          <w:cantSplit/>
        </w:trPr>
        <w:tc>
          <w:tcPr>
            <w:tcW w:w="568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text"/>
              <w:rPr>
                <w:rFonts w:eastAsiaTheme="minorEastAsia"/>
                <w:b/>
                <w:bCs/>
                <w:lang w:eastAsia="en-AU"/>
              </w:rPr>
            </w:pPr>
            <w:r w:rsidRPr="008A0ADD">
              <w:rPr>
                <w:rFonts w:eastAsiaTheme="minorEastAsia"/>
                <w:b/>
                <w:bCs/>
                <w:lang w:eastAsia="en-AU"/>
              </w:rPr>
              <w:t>Total contingent assets</w:t>
            </w:r>
          </w:p>
        </w:tc>
        <w:tc>
          <w:tcPr>
            <w:tcW w:w="104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ofFigures"/>
              <w:rPr>
                <w:rFonts w:eastAsiaTheme="minorEastAsia"/>
                <w:b/>
                <w:bCs/>
                <w:lang w:eastAsia="en-AU"/>
              </w:rPr>
            </w:pPr>
            <w:r w:rsidRPr="008A0ADD">
              <w:rPr>
                <w:rFonts w:eastAsiaTheme="minorEastAsia"/>
                <w:b/>
                <w:bCs/>
                <w:lang w:eastAsia="en-AU"/>
              </w:rPr>
              <w:t xml:space="preserve"> 113.9</w:t>
            </w:r>
          </w:p>
        </w:tc>
        <w:tc>
          <w:tcPr>
            <w:tcW w:w="104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ofFigures"/>
              <w:rPr>
                <w:rFonts w:eastAsiaTheme="minorEastAsia"/>
                <w:b/>
                <w:bCs/>
                <w:lang w:eastAsia="en-AU"/>
              </w:rPr>
            </w:pPr>
            <w:r w:rsidRPr="008A0ADD">
              <w:rPr>
                <w:rFonts w:eastAsiaTheme="minorEastAsia"/>
                <w:b/>
                <w:bCs/>
                <w:lang w:eastAsia="en-AU"/>
              </w:rPr>
              <w:t xml:space="preserve"> 116.7</w:t>
            </w:r>
          </w:p>
        </w:tc>
      </w:tr>
    </w:tbl>
    <w:p w:rsidR="00B03921" w:rsidRPr="000971B6" w:rsidRDefault="00B03921" w:rsidP="00016914">
      <w:pPr>
        <w:pStyle w:val="Notes"/>
      </w:pPr>
      <w:r w:rsidRPr="000971B6">
        <w:t>Note</w:t>
      </w:r>
      <w:r>
        <w:t>s</w:t>
      </w:r>
      <w:r w:rsidRPr="000971B6">
        <w:t>:</w:t>
      </w:r>
    </w:p>
    <w:p w:rsidR="00B03921" w:rsidRPr="000971B6" w:rsidRDefault="00B03921" w:rsidP="00016914">
      <w:pPr>
        <w:pStyle w:val="Notes"/>
      </w:pPr>
      <w:r w:rsidRPr="000971B6">
        <w:t xml:space="preserve">(a) </w:t>
      </w:r>
      <w:r w:rsidRPr="000971B6">
        <w:tab/>
        <w:t xml:space="preserve">As published in the </w:t>
      </w:r>
      <w:r w:rsidRPr="008353C7">
        <w:rPr>
          <w:i w:val="0"/>
        </w:rPr>
        <w:t>2014</w:t>
      </w:r>
      <w:r>
        <w:rPr>
          <w:i w:val="0"/>
        </w:rPr>
        <w:noBreakHyphen/>
      </w:r>
      <w:r w:rsidRPr="008353C7">
        <w:rPr>
          <w:i w:val="0"/>
        </w:rPr>
        <w:t>15 Budget Update</w:t>
      </w:r>
      <w:r w:rsidRPr="000971B6">
        <w:t>.</w:t>
      </w:r>
    </w:p>
    <w:p w:rsidR="00B03921" w:rsidRPr="0018713E" w:rsidRDefault="00B03921" w:rsidP="00016914">
      <w:pPr>
        <w:pStyle w:val="Notes"/>
      </w:pPr>
      <w:r>
        <w:t>(b)</w:t>
      </w:r>
      <w:r>
        <w:tab/>
      </w:r>
      <w:r w:rsidRPr="0018713E">
        <w:t xml:space="preserve">Other contingent assets mainly </w:t>
      </w:r>
      <w:r>
        <w:t xml:space="preserve">consists </w:t>
      </w:r>
      <w:r w:rsidRPr="0018713E">
        <w:t>of $100 million relating to the second contingent payment for Crown Melbourne licence amendments that may be payable in calendar year 2022</w:t>
      </w:r>
      <w:r>
        <w:t>. T</w:t>
      </w:r>
      <w:r w:rsidRPr="0018713E">
        <w:t xml:space="preserve">he first contingent payment of </w:t>
      </w:r>
      <w:r>
        <w:br/>
      </w:r>
      <w:r w:rsidRPr="0018713E">
        <w:t>$100 million has been factored into the State</w:t>
      </w:r>
      <w:r w:rsidR="00BA5A16">
        <w:t>’</w:t>
      </w:r>
      <w:r w:rsidRPr="0018713E">
        <w:t>s estimates over the Casino licence period</w:t>
      </w:r>
      <w:r>
        <w:t xml:space="preserve"> following an assessment of the likelihood of the State receiving that payment</w:t>
      </w:r>
      <w:r w:rsidRPr="0018713E">
        <w:t>.</w:t>
      </w:r>
    </w:p>
    <w:p w:rsidR="00B03921" w:rsidRDefault="00B03921" w:rsidP="00016914">
      <w:pPr>
        <w:spacing w:after="0"/>
      </w:pPr>
    </w:p>
    <w:p w:rsidR="00B03921" w:rsidRDefault="00B03921">
      <w:pPr>
        <w:spacing w:after="0"/>
        <w:rPr>
          <w:rFonts w:ascii="Calibri" w:hAnsi="Calibri"/>
          <w:b/>
          <w:kern w:val="28"/>
          <w:sz w:val="26"/>
          <w:szCs w:val="22"/>
        </w:rPr>
      </w:pPr>
      <w:r>
        <w:br w:type="page"/>
      </w:r>
    </w:p>
    <w:p w:rsidR="00B03921" w:rsidRPr="002E222E" w:rsidRDefault="00B03921" w:rsidP="00016914">
      <w:pPr>
        <w:pStyle w:val="Heading2"/>
      </w:pPr>
      <w:r w:rsidRPr="000971B6">
        <w:t>Non</w:t>
      </w:r>
      <w:r>
        <w:noBreakHyphen/>
      </w:r>
      <w:r w:rsidRPr="000971B6">
        <w:t>quantifiable contingent assets</w:t>
      </w:r>
    </w:p>
    <w:p w:rsidR="00B03921" w:rsidRPr="00C07D53" w:rsidRDefault="00B03921" w:rsidP="00016914">
      <w:pPr>
        <w:pStyle w:val="Heading3"/>
      </w:pPr>
      <w:bookmarkStart w:id="143" w:name="_Toc374373962"/>
      <w:bookmarkStart w:id="144" w:name="_Toc386673378"/>
      <w:r w:rsidRPr="00C07D53">
        <w:t xml:space="preserve">CityLink compensable enhancement claims </w:t>
      </w:r>
    </w:p>
    <w:p w:rsidR="00B03921" w:rsidRPr="00C07D53" w:rsidRDefault="00B03921" w:rsidP="00016914">
      <w:r w:rsidRPr="00C07D53">
        <w:t xml:space="preserve">The Melbourne CityLink Concession Deed contains compensable enhancement provisions that enable the State to claim 50 per cent of additional revenue derived by CityLink Melbourne Limited (CML) as a result of certain events that particularly benefit CityLink, including changes to the adjoining road network. </w:t>
      </w:r>
    </w:p>
    <w:p w:rsidR="00B03921" w:rsidRDefault="00B03921" w:rsidP="00016914">
      <w:r w:rsidRPr="00547C1E">
        <w:t xml:space="preserve">Compensable enhancement claims have previously been lodged in respect </w:t>
      </w:r>
      <w:r>
        <w:t xml:space="preserve">to </w:t>
      </w:r>
      <w:r w:rsidRPr="00547C1E">
        <w:t>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r w:rsidRPr="00C07D53">
        <w:t xml:space="preserve"> </w:t>
      </w:r>
    </w:p>
    <w:p w:rsidR="00B03921" w:rsidRPr="001339A5" w:rsidRDefault="00B03921" w:rsidP="00016914">
      <w:pPr>
        <w:pStyle w:val="Heading3"/>
      </w:pPr>
      <w:r w:rsidRPr="001339A5">
        <w:t>Peninsula Link compensable enhancement claim</w:t>
      </w:r>
    </w:p>
    <w:p w:rsidR="00B03921" w:rsidRPr="001339A5" w:rsidRDefault="00B03921" w:rsidP="00016914">
      <w:r w:rsidRPr="001339A5">
        <w:t>The EastLink Concession Deed contains compensable enhancement provisions that enable the State to claim 50</w:t>
      </w:r>
      <w:r>
        <w:t> per cent</w:t>
      </w:r>
      <w:r w:rsidRPr="001339A5">
        <w:t xml:space="preserve"> of any additional revenue derived by ConnectEast Pty Ltd (ConnectEast) as a result of certain events that particularly benefit EastLink, including changes to the adjoining road network.</w:t>
      </w:r>
    </w:p>
    <w:p w:rsidR="00B03921" w:rsidRDefault="00B03921" w:rsidP="00016914">
      <w:r w:rsidRPr="001339A5">
        <w:t>On 2</w:t>
      </w:r>
      <w:r>
        <w:t> </w:t>
      </w:r>
      <w:r w:rsidRPr="001339A5">
        <w:t>January 2014, the State lodged a compensable enha</w:t>
      </w:r>
      <w:r>
        <w:t>ncement claim as a result of opening</w:t>
      </w:r>
      <w:r w:rsidRPr="001339A5">
        <w:t xml:space="preserve"> Peninsula Link. The claim remains outstanding.</w:t>
      </w:r>
    </w:p>
    <w:p w:rsidR="00B03921" w:rsidRPr="008744D8" w:rsidRDefault="00B03921" w:rsidP="00016914">
      <w:pPr>
        <w:pStyle w:val="Heading3"/>
      </w:pPr>
      <w:r w:rsidRPr="008744D8">
        <w:t>Gambling licences</w:t>
      </w:r>
    </w:p>
    <w:p w:rsidR="00B03921" w:rsidRPr="00A87E37" w:rsidRDefault="00B03921" w:rsidP="00016914">
      <w:pPr>
        <w:pStyle w:val="BodyText"/>
      </w:pPr>
      <w:r w:rsidRPr="00A87E37">
        <w:t>In 1992, a gaming operator</w:t>
      </w:r>
      <w:r w:rsidR="00BA5A16">
        <w:t>’</w:t>
      </w:r>
      <w:r w:rsidRPr="00A87E37">
        <w:t xml:space="preserve">s licence was issued to the Trustees of the Will and Estate of the late George Adams, later succeeded by Tatts Group Limited (Tatts). In 1994, the State issued a coupled wagering licence and gaming licence to Tabcorp Holdings Limited (Tabcorp). These licences expired in August 2012. The </w:t>
      </w:r>
      <w:r w:rsidRPr="00E92545">
        <w:rPr>
          <w:i/>
        </w:rPr>
        <w:t>Gambling Regulation Act 2003</w:t>
      </w:r>
      <w:r w:rsidRPr="00A87E37">
        <w:t xml:space="preserve"> specified end of licence arrangements, which included compensation provisions for the licensees predicated on the previous licensing arrangements being rolled over beyond their scheduled expiry date.</w:t>
      </w:r>
    </w:p>
    <w:p w:rsidR="00B03921" w:rsidRPr="00A87E37" w:rsidRDefault="00B03921" w:rsidP="00016914">
      <w:pPr>
        <w:pStyle w:val="BodyText"/>
      </w:pPr>
      <w:r w:rsidRPr="00A87E37">
        <w:t>On 10 April 2008, the State announced that a new regulatory and licencing regime would be im</w:t>
      </w:r>
      <w:r>
        <w:t>plemented post August 2012. This</w:t>
      </w:r>
      <w:r w:rsidRPr="00A87E37">
        <w:t xml:space="preserve"> included separating the wagering and gaming licence to instead license wagering on a standalone basis; and transitioning from the gaming operator duopoly to a system where venue operators are licensed to own and operate gaming machines in their own right.</w:t>
      </w:r>
    </w:p>
    <w:p w:rsidR="00B03921" w:rsidRPr="00A87E37" w:rsidRDefault="00B03921" w:rsidP="00016914">
      <w:pPr>
        <w:pStyle w:val="BodyText"/>
      </w:pPr>
      <w:r w:rsidRPr="00A87E37">
        <w:t xml:space="preserve">After considering the end of licence arrangements in the </w:t>
      </w:r>
      <w:r w:rsidRPr="000666C5">
        <w:rPr>
          <w:i/>
        </w:rPr>
        <w:t>Gambling Regulation Act 2003</w:t>
      </w:r>
      <w:r w:rsidRPr="00A87E37">
        <w:t>, the State formed the view that neither Tatts nor Tabcorp were entitled to compensation after the expiration of their licences.</w:t>
      </w:r>
    </w:p>
    <w:p w:rsidR="00B03921" w:rsidRPr="00A87E37" w:rsidRDefault="00B03921" w:rsidP="00016914">
      <w:pPr>
        <w:pStyle w:val="BodyText"/>
      </w:pPr>
      <w:r w:rsidRPr="00A87E37">
        <w:t>In August 2012</w:t>
      </w:r>
      <w:r>
        <w:t>,</w:t>
      </w:r>
      <w:r w:rsidRPr="00A87E37">
        <w:t xml:space="preserve"> Tatts and Tabcorp commenced legal proceedings again</w:t>
      </w:r>
      <w:r>
        <w:t xml:space="preserve">st the State. </w:t>
      </w:r>
      <w:r w:rsidRPr="00A87E37">
        <w:t xml:space="preserve">The State defended both claims and was successful in relation to the Tabcorp claim but unsuccessful in relation to the Tatts claim. </w:t>
      </w:r>
    </w:p>
    <w:p w:rsidR="0081536C" w:rsidRDefault="0081536C">
      <w:pPr>
        <w:spacing w:after="0"/>
      </w:pPr>
      <w:r>
        <w:br w:type="page"/>
      </w:r>
    </w:p>
    <w:p w:rsidR="00B03921" w:rsidRDefault="00B03921" w:rsidP="00016914">
      <w:pPr>
        <w:pStyle w:val="BodyText"/>
      </w:pPr>
      <w:r w:rsidRPr="00A87E37">
        <w:t>When the judg</w:t>
      </w:r>
      <w:r>
        <w:t>e</w:t>
      </w:r>
      <w:r w:rsidRPr="00A87E37">
        <w:t>ment was entered on 27 June 2014, the State paid Tatts its claimed amount including interest, amounting to $540.5</w:t>
      </w:r>
      <w:r>
        <w:t> million</w:t>
      </w:r>
      <w:r w:rsidRPr="00A87E37">
        <w:t>. The matter went on appeal to the Court of Appeal. On 4 December 2014, the Court of Appeal upheld the Supreme Court</w:t>
      </w:r>
      <w:r w:rsidR="00BA5A16">
        <w:t>’</w:t>
      </w:r>
      <w:r>
        <w:t>s decision. The State has sought</w:t>
      </w:r>
      <w:r w:rsidRPr="00A87E37">
        <w:t xml:space="preserve"> special leave to appeal to the High Cou</w:t>
      </w:r>
      <w:r>
        <w:t xml:space="preserve">rt of Australia. This application is listed for hearing on 15 May 2015. </w:t>
      </w:r>
    </w:p>
    <w:p w:rsidR="00B03921" w:rsidRPr="00734BE8" w:rsidRDefault="00B03921" w:rsidP="00016914">
      <w:pPr>
        <w:pStyle w:val="Heading1"/>
      </w:pPr>
      <w:bookmarkStart w:id="145" w:name="_Toc418274780"/>
      <w:r w:rsidRPr="002B1324">
        <w:t>Contingent liabilities</w:t>
      </w:r>
      <w:bookmarkEnd w:id="143"/>
      <w:bookmarkEnd w:id="144"/>
      <w:bookmarkEnd w:id="145"/>
    </w:p>
    <w:p w:rsidR="00B03921" w:rsidRPr="000971B6" w:rsidRDefault="00B03921" w:rsidP="00016914">
      <w:r w:rsidRPr="000971B6">
        <w:t>Contingent liabilities are:</w:t>
      </w:r>
    </w:p>
    <w:p w:rsidR="00B03921" w:rsidRPr="000971B6" w:rsidRDefault="00B03921" w:rsidP="00016914">
      <w:pPr>
        <w:pStyle w:val="BulletText"/>
      </w:pPr>
      <w:r w:rsidRPr="000971B6">
        <w:t>possible obligations that arise from past events, whose existence will be confirmed only by the occurrence or non</w:t>
      </w:r>
      <w:r>
        <w:noBreakHyphen/>
      </w:r>
      <w:r w:rsidRPr="000971B6">
        <w:t>occurrence of one or more uncertain future events not wholly within the control of the entity; or</w:t>
      </w:r>
    </w:p>
    <w:p w:rsidR="00B03921" w:rsidRPr="000971B6" w:rsidRDefault="00B03921" w:rsidP="00016914">
      <w:pPr>
        <w:pStyle w:val="BulletText"/>
      </w:pPr>
      <w:r w:rsidRPr="000971B6">
        <w:t>present obligations that arise from past events but are not recognised because:</w:t>
      </w:r>
    </w:p>
    <w:p w:rsidR="00B03921" w:rsidRPr="000971B6" w:rsidRDefault="00B03921" w:rsidP="00016914">
      <w:pPr>
        <w:pStyle w:val="DashText"/>
      </w:pPr>
      <w:r w:rsidRPr="000971B6">
        <w:t>it is not probable that an outflow of resources embodying economic benefits will be required to settle the obligations; or</w:t>
      </w:r>
    </w:p>
    <w:p w:rsidR="00B03921" w:rsidRPr="000971B6" w:rsidRDefault="00B03921" w:rsidP="00016914">
      <w:pPr>
        <w:pStyle w:val="DashText"/>
      </w:pPr>
      <w:r w:rsidRPr="000971B6">
        <w:t>the amount of the obligations cannot be measured with sufficient reliability.</w:t>
      </w:r>
    </w:p>
    <w:p w:rsidR="00B03921" w:rsidRPr="000971B6" w:rsidRDefault="00B03921" w:rsidP="00016914">
      <w:pPr>
        <w:pStyle w:val="BodyText"/>
      </w:pPr>
      <w:r w:rsidRPr="000971B6">
        <w:t>As with contingent assets, contingent liabilities are also classified as either quantifiable or non</w:t>
      </w:r>
      <w:r>
        <w:noBreakHyphen/>
      </w:r>
      <w:r w:rsidRPr="000971B6">
        <w:t xml:space="preserve">quantifiable. The </w:t>
      </w:r>
      <w:r>
        <w:t xml:space="preserve">following </w:t>
      </w:r>
      <w:r w:rsidRPr="000971B6">
        <w:t>table contains quantifiab</w:t>
      </w:r>
      <w:r>
        <w:t>le contingent liabilities as at May 2015, based on current information</w:t>
      </w:r>
      <w:r w:rsidRPr="000971B6">
        <w:t>.</w:t>
      </w:r>
      <w:r>
        <w:t xml:space="preserve"> </w:t>
      </w:r>
    </w:p>
    <w:p w:rsidR="00B03921" w:rsidRPr="000971B6" w:rsidRDefault="00B03921" w:rsidP="00016914">
      <w:pPr>
        <w:pStyle w:val="Tableheading"/>
      </w:pPr>
      <w:r>
        <w:t>Table 6.2:</w:t>
      </w:r>
      <w:r>
        <w:tab/>
      </w:r>
      <w:r w:rsidRPr="000971B6">
        <w:t>Quantifiable contingent liabilities</w:t>
      </w:r>
    </w:p>
    <w:p w:rsidR="00B03921" w:rsidRDefault="00B03921" w:rsidP="00016914">
      <w:pPr>
        <w:pStyle w:val="million"/>
        <w:rPr>
          <w:rFonts w:ascii="Times New Roman" w:hAnsi="Times New Roman"/>
          <w:i w:val="0"/>
          <w:sz w:val="20"/>
          <w:szCs w:val="20"/>
          <w:lang w:eastAsia="en-AU"/>
        </w:rPr>
      </w:pPr>
      <w:r w:rsidRPr="000971B6">
        <w:t>($</w:t>
      </w: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5680"/>
        <w:gridCol w:w="1040"/>
        <w:gridCol w:w="1040"/>
      </w:tblGrid>
      <w:tr w:rsidR="0081536C" w:rsidRPr="008A0ADD" w:rsidTr="00423972">
        <w:trPr>
          <w:cantSplit/>
          <w:trHeight w:val="503"/>
          <w:tblHeader/>
        </w:trPr>
        <w:tc>
          <w:tcPr>
            <w:tcW w:w="5680" w:type="dxa"/>
            <w:tcBorders>
              <w:top w:val="single" w:sz="6" w:space="0" w:color="auto"/>
              <w:left w:val="single" w:sz="6" w:space="0" w:color="auto"/>
              <w:right w:val="nil"/>
            </w:tcBorders>
            <w:shd w:val="clear" w:color="000000" w:fill="000000"/>
          </w:tcPr>
          <w:p w:rsidR="0081536C" w:rsidRPr="008A0ADD" w:rsidRDefault="0081536C" w:rsidP="00016914">
            <w:pPr>
              <w:pStyle w:val="Tabletext"/>
              <w:rPr>
                <w:rFonts w:eastAsiaTheme="minorEastAsia"/>
                <w:lang w:eastAsia="en-AU"/>
              </w:rPr>
            </w:pPr>
          </w:p>
        </w:tc>
        <w:tc>
          <w:tcPr>
            <w:tcW w:w="1040" w:type="dxa"/>
            <w:tcBorders>
              <w:top w:val="single" w:sz="6" w:space="0" w:color="auto"/>
              <w:left w:val="nil"/>
              <w:right w:val="nil"/>
            </w:tcBorders>
            <w:shd w:val="clear" w:color="000000" w:fill="000000"/>
          </w:tcPr>
          <w:p w:rsidR="0081536C" w:rsidRPr="008A0ADD" w:rsidRDefault="0081536C" w:rsidP="0081536C">
            <w:pPr>
              <w:pStyle w:val="Tabletextheading"/>
              <w:rPr>
                <w:rFonts w:eastAsiaTheme="minorEastAsia"/>
                <w:iCs/>
                <w:color w:val="FFFFFF"/>
                <w:lang w:eastAsia="en-AU"/>
              </w:rPr>
            </w:pPr>
            <w:r w:rsidRPr="008A0ADD">
              <w:rPr>
                <w:rFonts w:eastAsiaTheme="minorEastAsia"/>
                <w:iCs/>
                <w:color w:val="FFFFFF"/>
                <w:lang w:eastAsia="en-AU"/>
              </w:rPr>
              <w:t xml:space="preserve">As at </w:t>
            </w:r>
            <w:r>
              <w:rPr>
                <w:rFonts w:eastAsiaTheme="minorEastAsia"/>
                <w:iCs/>
                <w:color w:val="FFFFFF"/>
                <w:lang w:eastAsia="en-AU"/>
              </w:rPr>
              <w:t xml:space="preserve"> </w:t>
            </w:r>
            <w:r>
              <w:rPr>
                <w:rFonts w:eastAsiaTheme="minorEastAsia"/>
                <w:iCs/>
                <w:color w:val="FFFFFF"/>
                <w:lang w:eastAsia="en-AU"/>
              </w:rPr>
              <w:br/>
            </w:r>
            <w:r w:rsidRPr="008A0ADD">
              <w:rPr>
                <w:rFonts w:eastAsiaTheme="minorEastAsia"/>
                <w:iCs/>
                <w:color w:val="FFFFFF"/>
                <w:lang w:eastAsia="en-AU"/>
              </w:rPr>
              <w:t xml:space="preserve">Dec 2014 </w:t>
            </w:r>
            <w:r w:rsidRPr="008A0ADD">
              <w:rPr>
                <w:rFonts w:eastAsiaTheme="minorEastAsia"/>
                <w:iCs/>
                <w:color w:val="FFFFFF"/>
                <w:vertAlign w:val="superscript"/>
                <w:lang w:eastAsia="en-AU"/>
              </w:rPr>
              <w:t>(a)</w:t>
            </w:r>
          </w:p>
        </w:tc>
        <w:tc>
          <w:tcPr>
            <w:tcW w:w="1040" w:type="dxa"/>
            <w:tcBorders>
              <w:top w:val="single" w:sz="6" w:space="0" w:color="auto"/>
              <w:left w:val="nil"/>
              <w:right w:val="single" w:sz="6" w:space="0" w:color="auto"/>
            </w:tcBorders>
            <w:shd w:val="clear" w:color="000000" w:fill="000000"/>
          </w:tcPr>
          <w:p w:rsidR="0081536C" w:rsidRPr="008A0ADD" w:rsidRDefault="0081536C" w:rsidP="0081536C">
            <w:pPr>
              <w:pStyle w:val="Tabletextheading"/>
              <w:rPr>
                <w:rFonts w:eastAsiaTheme="minorEastAsia"/>
                <w:iCs/>
                <w:color w:val="FFFFFF"/>
                <w:lang w:eastAsia="en-AU"/>
              </w:rPr>
            </w:pPr>
            <w:r w:rsidRPr="008A0ADD">
              <w:rPr>
                <w:rFonts w:eastAsiaTheme="minorEastAsia"/>
                <w:iCs/>
                <w:color w:val="FFFFFF"/>
                <w:lang w:eastAsia="en-AU"/>
              </w:rPr>
              <w:t>As at</w:t>
            </w:r>
            <w:r>
              <w:rPr>
                <w:rFonts w:eastAsiaTheme="minorEastAsia"/>
                <w:iCs/>
                <w:color w:val="FFFFFF"/>
                <w:lang w:eastAsia="en-AU"/>
              </w:rPr>
              <w:br/>
              <w:t>M</w:t>
            </w:r>
            <w:r w:rsidRPr="008A0ADD">
              <w:rPr>
                <w:rFonts w:eastAsiaTheme="minorEastAsia"/>
                <w:iCs/>
                <w:color w:val="FFFFFF"/>
                <w:lang w:eastAsia="en-AU"/>
              </w:rPr>
              <w:t>ay 2015</w:t>
            </w:r>
          </w:p>
        </w:tc>
      </w:tr>
      <w:tr w:rsidR="00B03921" w:rsidRPr="008A0ADD" w:rsidTr="00016914">
        <w:trPr>
          <w:cantSplit/>
        </w:trPr>
        <w:tc>
          <w:tcPr>
            <w:tcW w:w="5680" w:type="dxa"/>
            <w:tcBorders>
              <w:top w:val="single" w:sz="6" w:space="0" w:color="auto"/>
              <w:left w:val="nil"/>
              <w:bottom w:val="nil"/>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Guarantees, indemnities and warranties</w:t>
            </w:r>
          </w:p>
        </w:tc>
        <w:tc>
          <w:tcPr>
            <w:tcW w:w="1040" w:type="dxa"/>
            <w:tcBorders>
              <w:top w:val="single" w:sz="6" w:space="0" w:color="auto"/>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312.0</w:t>
            </w:r>
          </w:p>
        </w:tc>
        <w:tc>
          <w:tcPr>
            <w:tcW w:w="1040" w:type="dxa"/>
            <w:tcBorders>
              <w:top w:val="single" w:sz="6" w:space="0" w:color="auto"/>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312.4</w:t>
            </w:r>
          </w:p>
        </w:tc>
      </w:tr>
      <w:tr w:rsidR="00B03921" w:rsidRPr="008A0ADD" w:rsidTr="00016914">
        <w:trPr>
          <w:cantSplit/>
        </w:trPr>
        <w:tc>
          <w:tcPr>
            <w:tcW w:w="5680" w:type="dxa"/>
            <w:tcBorders>
              <w:top w:val="nil"/>
              <w:left w:val="nil"/>
              <w:bottom w:val="nil"/>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Legal proceedings and disputes</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341.3</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235.3</w:t>
            </w:r>
          </w:p>
        </w:tc>
      </w:tr>
      <w:tr w:rsidR="00B03921" w:rsidRPr="008A0ADD" w:rsidTr="00016914">
        <w:trPr>
          <w:cantSplit/>
        </w:trPr>
        <w:tc>
          <w:tcPr>
            <w:tcW w:w="5680" w:type="dxa"/>
            <w:tcBorders>
              <w:top w:val="nil"/>
              <w:left w:val="nil"/>
              <w:bottom w:val="nil"/>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Other</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216.4</w:t>
            </w:r>
          </w:p>
        </w:tc>
        <w:tc>
          <w:tcPr>
            <w:tcW w:w="1040" w:type="dxa"/>
            <w:tcBorders>
              <w:top w:val="nil"/>
              <w:left w:val="nil"/>
              <w:bottom w:val="nil"/>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 xml:space="preserve"> 200.7</w:t>
            </w:r>
          </w:p>
        </w:tc>
      </w:tr>
      <w:tr w:rsidR="00B03921" w:rsidRPr="008A0ADD" w:rsidTr="00016914">
        <w:trPr>
          <w:cantSplit/>
        </w:trPr>
        <w:tc>
          <w:tcPr>
            <w:tcW w:w="5680" w:type="dxa"/>
            <w:tcBorders>
              <w:top w:val="nil"/>
              <w:left w:val="nil"/>
              <w:bottom w:val="single" w:sz="6" w:space="0" w:color="auto"/>
              <w:right w:val="nil"/>
            </w:tcBorders>
          </w:tcPr>
          <w:p w:rsidR="00B03921" w:rsidRPr="008A0ADD" w:rsidRDefault="00B03921" w:rsidP="00016914">
            <w:pPr>
              <w:pStyle w:val="Tabletext"/>
              <w:rPr>
                <w:rFonts w:eastAsiaTheme="minorEastAsia"/>
                <w:lang w:eastAsia="en-AU"/>
              </w:rPr>
            </w:pPr>
            <w:r w:rsidRPr="008A0ADD">
              <w:rPr>
                <w:rFonts w:eastAsiaTheme="minorEastAsia"/>
                <w:lang w:eastAsia="en-AU"/>
              </w:rPr>
              <w:t>Non</w:t>
            </w:r>
            <w:r>
              <w:rPr>
                <w:rFonts w:eastAsiaTheme="minorEastAsia"/>
                <w:lang w:eastAsia="en-AU"/>
              </w:rPr>
              <w:noBreakHyphen/>
            </w:r>
            <w:r w:rsidRPr="008A0ADD">
              <w:rPr>
                <w:rFonts w:eastAsiaTheme="minorEastAsia"/>
                <w:lang w:eastAsia="en-AU"/>
              </w:rPr>
              <w:t>general government debt</w:t>
            </w:r>
          </w:p>
        </w:tc>
        <w:tc>
          <w:tcPr>
            <w:tcW w:w="1040" w:type="dxa"/>
            <w:tcBorders>
              <w:top w:val="nil"/>
              <w:left w:val="nil"/>
              <w:bottom w:val="single" w:sz="6" w:space="0" w:color="auto"/>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11 225.1</w:t>
            </w:r>
          </w:p>
        </w:tc>
        <w:tc>
          <w:tcPr>
            <w:tcW w:w="1040" w:type="dxa"/>
            <w:tcBorders>
              <w:top w:val="nil"/>
              <w:left w:val="nil"/>
              <w:bottom w:val="single" w:sz="6" w:space="0" w:color="auto"/>
              <w:right w:val="nil"/>
            </w:tcBorders>
          </w:tcPr>
          <w:p w:rsidR="00B03921" w:rsidRPr="008A0ADD" w:rsidRDefault="00B03921" w:rsidP="00016914">
            <w:pPr>
              <w:pStyle w:val="TableofFigures"/>
              <w:rPr>
                <w:rFonts w:eastAsiaTheme="minorEastAsia"/>
                <w:lang w:eastAsia="en-AU"/>
              </w:rPr>
            </w:pPr>
            <w:r w:rsidRPr="008A0ADD">
              <w:rPr>
                <w:rFonts w:eastAsiaTheme="minorEastAsia"/>
                <w:lang w:eastAsia="en-AU"/>
              </w:rPr>
              <w:t>11 274.6</w:t>
            </w:r>
          </w:p>
        </w:tc>
      </w:tr>
      <w:tr w:rsidR="00B03921" w:rsidRPr="008A0ADD" w:rsidTr="00016914">
        <w:trPr>
          <w:cantSplit/>
        </w:trPr>
        <w:tc>
          <w:tcPr>
            <w:tcW w:w="568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text"/>
              <w:rPr>
                <w:rFonts w:eastAsiaTheme="minorEastAsia"/>
                <w:b/>
                <w:bCs/>
                <w:lang w:eastAsia="en-AU"/>
              </w:rPr>
            </w:pPr>
            <w:r w:rsidRPr="008A0ADD">
              <w:rPr>
                <w:rFonts w:eastAsiaTheme="minorEastAsia"/>
                <w:b/>
                <w:bCs/>
                <w:lang w:eastAsia="en-AU"/>
              </w:rPr>
              <w:t>Total contingent liabilities</w:t>
            </w:r>
          </w:p>
        </w:tc>
        <w:tc>
          <w:tcPr>
            <w:tcW w:w="104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ofFigures"/>
              <w:rPr>
                <w:rFonts w:eastAsiaTheme="minorEastAsia"/>
                <w:b/>
                <w:bCs/>
                <w:lang w:eastAsia="en-AU"/>
              </w:rPr>
            </w:pPr>
            <w:r w:rsidRPr="008A0ADD">
              <w:rPr>
                <w:rFonts w:eastAsiaTheme="minorEastAsia"/>
                <w:b/>
                <w:bCs/>
                <w:lang w:eastAsia="en-AU"/>
              </w:rPr>
              <w:t>12 094.8</w:t>
            </w:r>
          </w:p>
        </w:tc>
        <w:tc>
          <w:tcPr>
            <w:tcW w:w="1040" w:type="dxa"/>
            <w:tcBorders>
              <w:top w:val="single" w:sz="6" w:space="0" w:color="auto"/>
              <w:left w:val="nil"/>
              <w:bottom w:val="single" w:sz="12" w:space="0" w:color="000000"/>
              <w:right w:val="nil"/>
            </w:tcBorders>
            <w:shd w:val="clear" w:color="auto" w:fill="auto"/>
          </w:tcPr>
          <w:p w:rsidR="00B03921" w:rsidRPr="008A0ADD" w:rsidRDefault="00B03921" w:rsidP="00016914">
            <w:pPr>
              <w:pStyle w:val="TableofFigures"/>
              <w:rPr>
                <w:rFonts w:eastAsiaTheme="minorEastAsia"/>
                <w:b/>
                <w:bCs/>
                <w:lang w:eastAsia="en-AU"/>
              </w:rPr>
            </w:pPr>
            <w:r w:rsidRPr="008A0ADD">
              <w:rPr>
                <w:rFonts w:eastAsiaTheme="minorEastAsia"/>
                <w:b/>
                <w:bCs/>
                <w:lang w:eastAsia="en-AU"/>
              </w:rPr>
              <w:t>12 023.0</w:t>
            </w:r>
          </w:p>
        </w:tc>
      </w:tr>
    </w:tbl>
    <w:p w:rsidR="00B03921" w:rsidRDefault="00B03921" w:rsidP="00016914">
      <w:pPr>
        <w:pStyle w:val="Source"/>
      </w:pPr>
      <w:r>
        <w:t>Source: Department of Treasury and Finance</w:t>
      </w:r>
    </w:p>
    <w:p w:rsidR="00B03921" w:rsidRPr="000971B6" w:rsidRDefault="00B03921" w:rsidP="00016914">
      <w:pPr>
        <w:pStyle w:val="Notes"/>
      </w:pPr>
      <w:r>
        <w:t>Note</w:t>
      </w:r>
      <w:r w:rsidRPr="000971B6">
        <w:t>:</w:t>
      </w:r>
    </w:p>
    <w:p w:rsidR="00B03921" w:rsidRDefault="00B03921" w:rsidP="00016914">
      <w:pPr>
        <w:pStyle w:val="Notes"/>
      </w:pPr>
      <w:r w:rsidRPr="000971B6">
        <w:t xml:space="preserve">(a) </w:t>
      </w:r>
      <w:r>
        <w:tab/>
        <w:t xml:space="preserve">As published in the </w:t>
      </w:r>
      <w:r>
        <w:rPr>
          <w:i w:val="0"/>
        </w:rPr>
        <w:t>2014</w:t>
      </w:r>
      <w:r>
        <w:rPr>
          <w:i w:val="0"/>
        </w:rPr>
        <w:noBreakHyphen/>
        <w:t>15 Budget Update</w:t>
      </w:r>
      <w:r>
        <w:t>.</w:t>
      </w:r>
    </w:p>
    <w:p w:rsidR="00B03921" w:rsidRDefault="00B03921" w:rsidP="00AB0AE7">
      <w:pPr>
        <w:pStyle w:val="Heading2"/>
        <w:spacing w:before="180"/>
      </w:pPr>
      <w:r w:rsidRPr="000971B6">
        <w:t>Non</w:t>
      </w:r>
      <w:r>
        <w:noBreakHyphen/>
      </w:r>
      <w:r w:rsidRPr="000971B6">
        <w:t>quantifiable contingent liabilities</w:t>
      </w:r>
    </w:p>
    <w:p w:rsidR="00B03921" w:rsidRPr="000971B6" w:rsidRDefault="00B03921" w:rsidP="00016914">
      <w:r w:rsidRPr="000971B6">
        <w:t>A number of potential obligations are non</w:t>
      </w:r>
      <w:r>
        <w:noBreakHyphen/>
      </w:r>
      <w:r w:rsidRPr="000971B6">
        <w:t>quantifiable at this time arising from:</w:t>
      </w:r>
    </w:p>
    <w:p w:rsidR="00B03921" w:rsidRPr="000971B6" w:rsidRDefault="00B03921" w:rsidP="00016914">
      <w:pPr>
        <w:pStyle w:val="BulletText"/>
      </w:pPr>
      <w:r w:rsidRPr="000971B6">
        <w:t>indemnities provided in relation to transactions, including financial arrangements and consultancy services, as well as for directors and administrators;</w:t>
      </w:r>
    </w:p>
    <w:p w:rsidR="00B03921" w:rsidRPr="000971B6" w:rsidRDefault="00B03921" w:rsidP="00016914">
      <w:pPr>
        <w:pStyle w:val="BulletText"/>
      </w:pPr>
      <w:r w:rsidRPr="000971B6">
        <w:t>performance guarantees, warranties, letters of comfort and the like;</w:t>
      </w:r>
    </w:p>
    <w:p w:rsidR="00B03921" w:rsidRPr="000971B6" w:rsidRDefault="00B03921" w:rsidP="00016914">
      <w:pPr>
        <w:pStyle w:val="BulletText"/>
      </w:pPr>
      <w:r w:rsidRPr="000971B6">
        <w:t>deeds in respect of certain obligations; and</w:t>
      </w:r>
    </w:p>
    <w:p w:rsidR="00B03921" w:rsidRPr="000971B6" w:rsidRDefault="00B03921" w:rsidP="00016914">
      <w:pPr>
        <w:pStyle w:val="BulletText"/>
      </w:pPr>
      <w:r w:rsidRPr="000971B6">
        <w:t>unclaimed monies, which may be subject to future claims by the general public against the State.</w:t>
      </w:r>
    </w:p>
    <w:p w:rsidR="00B03921" w:rsidRDefault="00B03921" w:rsidP="00016914">
      <w:r w:rsidRPr="000971B6">
        <w:t>An overview of the more significant non</w:t>
      </w:r>
      <w:r>
        <w:noBreakHyphen/>
      </w:r>
      <w:r w:rsidRPr="000971B6">
        <w:t>quantifiable liabilities follows.</w:t>
      </w:r>
    </w:p>
    <w:p w:rsidR="00B03921" w:rsidRPr="001339A5" w:rsidRDefault="00B03921" w:rsidP="0081536C">
      <w:pPr>
        <w:pStyle w:val="Heading3"/>
        <w:spacing w:before="180" w:after="80"/>
      </w:pPr>
      <w:r w:rsidRPr="001339A5">
        <w:t xml:space="preserve">AgriBio </w:t>
      </w:r>
      <w:r w:rsidRPr="001339A5">
        <w:rPr>
          <w:lang w:val="en"/>
        </w:rPr>
        <w:t>Centre for AgriBioscience</w:t>
      </w:r>
      <w:r w:rsidRPr="001339A5">
        <w:t xml:space="preserve"> (formerly known as The Biosciences Research Centre)</w:t>
      </w:r>
    </w:p>
    <w:p w:rsidR="00B03921" w:rsidRDefault="00B03921" w:rsidP="00016914">
      <w:r w:rsidRPr="001339A5">
        <w:t>The quarterly service fee payment obligations of the AgriBio Centre for AgriBioscience on behalf of the joint venture participants</w:t>
      </w:r>
      <w:r>
        <w:t xml:space="preserve"> (Department of Economic Development, Jobs, Transport and Resources, and La Trobe University)</w:t>
      </w:r>
      <w:r w:rsidRPr="001339A5">
        <w:t xml:space="preserve"> are supported by the State of Victoria via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pursuant to the project agreement. The State underwrites the risk of any default by BRC.</w:t>
      </w:r>
    </w:p>
    <w:p w:rsidR="00B03921" w:rsidRPr="00C8654F" w:rsidRDefault="00B03921" w:rsidP="0081536C">
      <w:pPr>
        <w:pStyle w:val="Heading3"/>
        <w:spacing w:before="180" w:after="80"/>
      </w:pPr>
      <w:r w:rsidRPr="001339A5">
        <w:t>D</w:t>
      </w:r>
      <w:r>
        <w:t>epartment of Education and Training</w:t>
      </w:r>
    </w:p>
    <w:p w:rsidR="00B03921" w:rsidRPr="001339A5" w:rsidRDefault="00B03921" w:rsidP="00016914">
      <w:r w:rsidRPr="001339A5">
        <w:t>The Department has a number of unquantifiable contingent liabilities, arising from indemnities provided by it, as follows:</w:t>
      </w:r>
    </w:p>
    <w:p w:rsidR="00B03921" w:rsidRPr="001339A5" w:rsidRDefault="00B03921" w:rsidP="00016914">
      <w:pPr>
        <w:pStyle w:val="BulletText"/>
      </w:pPr>
      <w:r w:rsidRPr="001339A5">
        <w:t xml:space="preserve">volunteer school workers and volunteer student workers: the </w:t>
      </w:r>
      <w:r w:rsidRPr="001339A5">
        <w:rPr>
          <w:i/>
        </w:rPr>
        <w:t>Ed</w:t>
      </w:r>
      <w:r>
        <w:rPr>
          <w:i/>
        </w:rPr>
        <w:t>ucation and Training Reform Act </w:t>
      </w:r>
      <w:r w:rsidRPr="001339A5">
        <w:rPr>
          <w:i/>
        </w:rPr>
        <w:t>2006</w:t>
      </w:r>
      <w:r w:rsidRPr="001339A5">
        <w:t xml:space="preserve"> provides a specific indemnity for personal injuries suffered by volunteer school workers and volunteer student workers arising out of</w:t>
      </w:r>
      <w:r>
        <w:t>,</w:t>
      </w:r>
      <w:r w:rsidRPr="001339A5">
        <w:t xml:space="preserve"> or in the course of</w:t>
      </w:r>
      <w:r>
        <w:t>,</w:t>
      </w:r>
      <w:r w:rsidRPr="001339A5">
        <w:t xml:space="preserve"> engaging in school work or community work respectively;</w:t>
      </w:r>
    </w:p>
    <w:p w:rsidR="00B03921" w:rsidRPr="001339A5" w:rsidRDefault="00B03921" w:rsidP="00016914">
      <w:pPr>
        <w:pStyle w:val="BulletText"/>
      </w:pPr>
      <w:r w:rsidRPr="001339A5">
        <w:t xml:space="preserve">members of school councils: the </w:t>
      </w:r>
      <w:r w:rsidRPr="001339A5">
        <w:rPr>
          <w:i/>
        </w:rPr>
        <w:t>Ed</w:t>
      </w:r>
      <w:r>
        <w:rPr>
          <w:i/>
        </w:rPr>
        <w:t>ucation and Training Reform Act </w:t>
      </w:r>
      <w:r w:rsidRPr="001339A5">
        <w:rPr>
          <w:i/>
        </w:rPr>
        <w:t>2006</w:t>
      </w:r>
      <w:r w:rsidRPr="001339A5">
        <w:t xml:space="preserve"> provides an indemnity to members of school councils for any legal liability, whether in contract, negligence, defamation or other; and</w:t>
      </w:r>
    </w:p>
    <w:p w:rsidR="00B03921" w:rsidRPr="001339A5" w:rsidRDefault="00B03921" w:rsidP="00016914">
      <w:pPr>
        <w:pStyle w:val="BulletText"/>
      </w:pPr>
      <w:r w:rsidRPr="001339A5">
        <w:t>teachers</w:t>
      </w:r>
      <w:r>
        <w:t xml:space="preserve"> –</w:t>
      </w:r>
      <w:r w:rsidRPr="001339A5">
        <w:t xml:space="preserve"> in the event that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 or undertaken in, the course of their employment.</w:t>
      </w:r>
      <w:r>
        <w:t xml:space="preserve"> </w:t>
      </w:r>
    </w:p>
    <w:p w:rsidR="00B03921" w:rsidRDefault="00B03921" w:rsidP="0081536C">
      <w:pPr>
        <w:pStyle w:val="Heading3"/>
        <w:spacing w:before="180" w:after="80"/>
      </w:pPr>
      <w:r w:rsidRPr="001339A5">
        <w:t>E</w:t>
      </w:r>
      <w:r>
        <w:t>ast West Link – Eastern Section</w:t>
      </w:r>
    </w:p>
    <w:p w:rsidR="00B03921" w:rsidRDefault="00B03921" w:rsidP="00016914">
      <w:r>
        <w:t>The State entered into a non-binding heads of agreement with various parties (the East West Connect “EWC” parties) on 15 April 2015 in respect of resolving settlement matters relating to the East West Link Project (the project).</w:t>
      </w:r>
    </w:p>
    <w:p w:rsidR="00B03921" w:rsidRDefault="00B03921" w:rsidP="00016914">
      <w:pPr>
        <w:pStyle w:val="BulletText"/>
        <w:numPr>
          <w:ilvl w:val="0"/>
          <w:numId w:val="0"/>
        </w:numPr>
      </w:pPr>
      <w:r>
        <w:t>The heads of agreement sets out the proposed terms to settle the issues between the parties and a proposed framework and timetable for the parties to work together to enter into binding agreements. The conditions precedent to entering into binding agreements include State rights to further due diligence and approvals. The proposed settlement principally provides for:</w:t>
      </w:r>
    </w:p>
    <w:p w:rsidR="00B03921" w:rsidRDefault="00B03921" w:rsidP="0081536C">
      <w:pPr>
        <w:pStyle w:val="BulletText"/>
        <w:spacing w:after="80"/>
        <w:ind w:left="357" w:hanging="357"/>
      </w:pPr>
      <w:r>
        <w:t>the State buying project related entities, with EWC novating the project related credit facility and interest rate swaps to the State;</w:t>
      </w:r>
    </w:p>
    <w:p w:rsidR="00B03921" w:rsidRDefault="00B03921" w:rsidP="0081536C">
      <w:pPr>
        <w:pStyle w:val="BulletText"/>
        <w:spacing w:after="80"/>
        <w:ind w:left="357" w:hanging="357"/>
      </w:pPr>
      <w:r>
        <w:t>EWC terminating all project related contracts;</w:t>
      </w:r>
    </w:p>
    <w:p w:rsidR="00B03921" w:rsidRDefault="00B03921" w:rsidP="0081536C">
      <w:pPr>
        <w:pStyle w:val="BulletText"/>
        <w:spacing w:after="80"/>
        <w:ind w:left="357" w:hanging="357"/>
      </w:pPr>
      <w:r>
        <w:t>releases in favour of the State from key contractors, sub-contractors and other parties; and</w:t>
      </w:r>
    </w:p>
    <w:p w:rsidR="00B03921" w:rsidRDefault="00B03921" w:rsidP="0081536C">
      <w:pPr>
        <w:pStyle w:val="BulletText"/>
        <w:spacing w:after="80"/>
        <w:ind w:left="357" w:hanging="357"/>
      </w:pPr>
      <w:r>
        <w:t>a State right to obtain intellectual property, plant, equipment and other “hard assets” acquired by EWC.</w:t>
      </w:r>
    </w:p>
    <w:p w:rsidR="00B03921" w:rsidRDefault="00B03921" w:rsidP="00016914">
      <w:r>
        <w:t>The State is negotiating with the financiers of EWC to repurpose the credit facility to contribute to funding for the Melbourne Metro Rail Project.</w:t>
      </w:r>
    </w:p>
    <w:p w:rsidR="00B03921" w:rsidRDefault="00B03921" w:rsidP="00016914">
      <w:r>
        <w:t>Under the Heads of Agreement with EWC, the State</w:t>
      </w:r>
      <w:r w:rsidR="00BA5A16">
        <w:t>’</w:t>
      </w:r>
      <w:r>
        <w:t>s obligation for the novation of debt is capped (excluding the novation of any interest rate hedging related to the project).</w:t>
      </w:r>
    </w:p>
    <w:p w:rsidR="00B03921" w:rsidRDefault="00B03921" w:rsidP="00016914">
      <w:pPr>
        <w:pStyle w:val="BulletText"/>
        <w:numPr>
          <w:ilvl w:val="0"/>
          <w:numId w:val="0"/>
        </w:numPr>
        <w:rPr>
          <w:b/>
          <w:highlight w:val="yellow"/>
        </w:rPr>
      </w:pPr>
      <w:r>
        <w:t>The State has included provision for the estimated effect of this settlement in the budget estimates. This is subject to any revisions arising from the finalisation of the binding contractual arrangements.</w:t>
      </w:r>
    </w:p>
    <w:p w:rsidR="00B03921" w:rsidRPr="00C8654F" w:rsidRDefault="00B03921" w:rsidP="00016914">
      <w:pPr>
        <w:pStyle w:val="Heading3"/>
        <w:spacing w:before="220" w:after="100"/>
      </w:pPr>
      <w:r w:rsidRPr="001339A5">
        <w:t xml:space="preserve">Public acquisition overlays for the future development of rail and road infrastructure </w:t>
      </w:r>
    </w:p>
    <w:p w:rsidR="00B03921" w:rsidRPr="001339A5" w:rsidRDefault="00B03921" w:rsidP="00016914">
      <w:pPr>
        <w:spacing w:after="100"/>
      </w:pPr>
      <w:r w:rsidRPr="001339A5">
        <w:t>Public acquisition overlays are in place in order to reserve certain areas of land for future development of rail and roa</w:t>
      </w:r>
      <w:r>
        <w:t>d infrastructure. Under Section </w:t>
      </w:r>
      <w:r w:rsidRPr="001339A5">
        <w:t xml:space="preserve">98 of the </w:t>
      </w:r>
      <w:r w:rsidRPr="001339A5">
        <w:rPr>
          <w:i/>
        </w:rPr>
        <w:t>Planning and Environment Act</w:t>
      </w:r>
      <w:r>
        <w:t> </w:t>
      </w:r>
      <w:r w:rsidRPr="001339A5">
        <w:rPr>
          <w:i/>
        </w:rPr>
        <w:t>1987</w:t>
      </w:r>
      <w:r w:rsidRPr="001339A5">
        <w:t xml:space="preserve">, the State has a legislative responsibility to </w:t>
      </w:r>
      <w:r>
        <w:t>compensate</w:t>
      </w:r>
      <w:r w:rsidRPr="001339A5">
        <w:t xml:space="preserve"> eligible land and property owners who face either:</w:t>
      </w:r>
    </w:p>
    <w:p w:rsidR="00B03921" w:rsidRPr="001339A5" w:rsidRDefault="00B03921" w:rsidP="00016914">
      <w:pPr>
        <w:pStyle w:val="BulletText"/>
        <w:spacing w:after="100"/>
        <w:ind w:left="357" w:hanging="357"/>
      </w:pPr>
      <w:r w:rsidRPr="001339A5">
        <w:t xml:space="preserve">loss on sale – an eligible landowner is entitled to compensation for the incremental loss on sale when a property affected by a public acquisition overlay is sold for less than its </w:t>
      </w:r>
      <w:r w:rsidRPr="000F4038">
        <w:t>market</w:t>
      </w:r>
      <w:r w:rsidRPr="001339A5">
        <w:t xml:space="preserve"> value; or</w:t>
      </w:r>
    </w:p>
    <w:p w:rsidR="00B03921" w:rsidRPr="001339A5" w:rsidRDefault="00B03921" w:rsidP="00016914">
      <w:pPr>
        <w:pStyle w:val="BulletText"/>
        <w:spacing w:after="100"/>
        <w:ind w:left="357" w:hanging="357"/>
      </w:pPr>
      <w:r w:rsidRPr="001339A5">
        <w:t xml:space="preserve">financial loss – the entitlement to financial loss compensation is triggered when a development </w:t>
      </w:r>
      <w:r w:rsidRPr="000F4038">
        <w:t>permit</w:t>
      </w:r>
      <w:r w:rsidRPr="001339A5">
        <w:t xml:space="preserve"> is refused because the property is required for a public purpose.</w:t>
      </w:r>
    </w:p>
    <w:p w:rsidR="00B03921" w:rsidRPr="001339A5" w:rsidRDefault="00B03921" w:rsidP="00016914">
      <w:pPr>
        <w:spacing w:after="100"/>
      </w:pPr>
      <w:r w:rsidRPr="001339A5">
        <w:t>Compensation and purchase claims occur as a result of claims by</w:t>
      </w:r>
      <w:r>
        <w:t xml:space="preserve"> land owners. The</w:t>
      </w:r>
      <w:r w:rsidRPr="001339A5">
        <w:t xml:space="preserve"> future liability depends on factors including the number of claims received and the prevailing value of land at the time the claim is made, which cannot be reliably quantified.</w:t>
      </w:r>
      <w:r>
        <w:t xml:space="preserve"> </w:t>
      </w:r>
    </w:p>
    <w:p w:rsidR="00B03921" w:rsidRPr="003E32B6" w:rsidRDefault="00B03921" w:rsidP="00016914">
      <w:pPr>
        <w:pStyle w:val="Heading3"/>
        <w:spacing w:before="220" w:after="100"/>
      </w:pPr>
      <w:r w:rsidRPr="001339A5">
        <w:t xml:space="preserve">Public transport rail </w:t>
      </w:r>
      <w:r w:rsidRPr="003D7C9E">
        <w:t>partnership</w:t>
      </w:r>
      <w:r w:rsidRPr="001339A5">
        <w:t xml:space="preserve"> agreements</w:t>
      </w:r>
    </w:p>
    <w:p w:rsidR="00B03921" w:rsidRPr="001339A5" w:rsidRDefault="00B03921" w:rsidP="00016914">
      <w:pPr>
        <w:spacing w:after="100"/>
      </w:pPr>
      <w:r w:rsidRPr="001339A5">
        <w:t xml:space="preserve">Public Transport Victoria (PTV) is party to partnership contractual arrangements with franchisees to operate metropolitan rail transport </w:t>
      </w:r>
      <w:r>
        <w:t>services in the State,</w:t>
      </w:r>
      <w:r w:rsidRPr="001339A5">
        <w:t xml:space="preserve"> from 30 November 2009 until 30 November 2017. The major con</w:t>
      </w:r>
      <w:r>
        <w:t xml:space="preserve">tingent liabilities arising </w:t>
      </w:r>
      <w:r w:rsidRPr="001339A5">
        <w:t>in the event of early te</w:t>
      </w:r>
      <w:r>
        <w:t>rmination or expiry of the contract are</w:t>
      </w:r>
      <w:r w:rsidRPr="001339A5">
        <w:t>:</w:t>
      </w:r>
    </w:p>
    <w:p w:rsidR="00B03921" w:rsidRPr="001339A5" w:rsidRDefault="00B03921" w:rsidP="00016914">
      <w:pPr>
        <w:pStyle w:val="BulletText"/>
        <w:spacing w:after="100"/>
        <w:ind w:left="357" w:hanging="357"/>
      </w:pPr>
      <w:r>
        <w:t>partnership assets –</w:t>
      </w:r>
      <w:r w:rsidRPr="001339A5">
        <w:t xml:space="preserve"> to maintain continuity of services, at early termination or expiry of the franchise contract, assets will revert to PTV or a successor. In the case of some assets, a reversion back to PTV would entail those assets being purchased; and</w:t>
      </w:r>
    </w:p>
    <w:p w:rsidR="00B03921" w:rsidRPr="000655FC" w:rsidRDefault="00B03921" w:rsidP="00016914">
      <w:pPr>
        <w:pStyle w:val="BulletText"/>
        <w:spacing w:after="100"/>
        <w:ind w:left="357" w:hanging="357"/>
      </w:pPr>
      <w:r w:rsidRPr="000655FC">
        <w:t>unfunded superannuation – at the early termination or expiry of the contract, PTV will assume any unfunded superannuation amounts (apart from contributions the operator is required to pay over the contract term) to the extent that the State becomes the successor operator.</w:t>
      </w:r>
    </w:p>
    <w:p w:rsidR="0081536C" w:rsidRDefault="0081536C">
      <w:pPr>
        <w:spacing w:after="0"/>
        <w:rPr>
          <w:rFonts w:ascii="Calibri" w:hAnsi="Calibri"/>
          <w:b/>
          <w:i/>
          <w:kern w:val="28"/>
          <w:sz w:val="24"/>
          <w:szCs w:val="22"/>
        </w:rPr>
      </w:pPr>
      <w:r>
        <w:br w:type="page"/>
      </w:r>
    </w:p>
    <w:p w:rsidR="00B03921" w:rsidRPr="000971B6" w:rsidRDefault="00B03921" w:rsidP="00016914">
      <w:pPr>
        <w:pStyle w:val="Heading3"/>
        <w:spacing w:before="220" w:after="100"/>
      </w:pPr>
      <w:r>
        <w:t>Fiskville</w:t>
      </w:r>
      <w:r w:rsidRPr="000971B6">
        <w:t xml:space="preserve"> independent investigation</w:t>
      </w:r>
      <w:r>
        <w:t xml:space="preserve"> and closure of training college</w:t>
      </w:r>
    </w:p>
    <w:p w:rsidR="00B03921" w:rsidRPr="00F82797" w:rsidRDefault="00B03921" w:rsidP="00016914">
      <w:pPr>
        <w:spacing w:after="100"/>
      </w:pPr>
      <w:r w:rsidRPr="00F82797">
        <w:t xml:space="preserve">An independent investigation was undertaken into the historical use of </w:t>
      </w:r>
      <w:r>
        <w:t xml:space="preserve">chemicals for live firefighting </w:t>
      </w:r>
      <w:r w:rsidRPr="00F82797">
        <w:t>training at Fiskville between 1971 and 1999. The report of the ind</w:t>
      </w:r>
      <w:r>
        <w:t xml:space="preserve">ependent investigation has been </w:t>
      </w:r>
      <w:r w:rsidRPr="00F82797">
        <w:t>released and the Country Fire Authority (CFA) has accepted all of</w:t>
      </w:r>
      <w:r>
        <w:t xml:space="preserve"> the facts, recommendations and </w:t>
      </w:r>
      <w:r w:rsidRPr="00F82797">
        <w:t>conclusions and is committed to implementing all recommendations.</w:t>
      </w:r>
      <w:r>
        <w:t xml:space="preserve"> </w:t>
      </w:r>
    </w:p>
    <w:p w:rsidR="00B03921" w:rsidRDefault="00B03921" w:rsidP="00016914">
      <w:pPr>
        <w:spacing w:after="100"/>
      </w:pPr>
      <w:r w:rsidRPr="00E306AB">
        <w:t>In August 2012, the CFA established a program office to manage the implementation of the report</w:t>
      </w:r>
      <w:r w:rsidR="00BA5A16">
        <w:t>’</w:t>
      </w:r>
      <w:r w:rsidRPr="00E306AB">
        <w:t xml:space="preserve">s recommendations and an additional 11 management initiatives to which the CFA Board committed in its response to the report. </w:t>
      </w:r>
    </w:p>
    <w:p w:rsidR="00B03921" w:rsidRDefault="00B03921" w:rsidP="00016914">
      <w:pPr>
        <w:spacing w:after="100"/>
      </w:pPr>
      <w:r w:rsidRPr="00E306AB">
        <w:t xml:space="preserve">On 26 March 2015, the Government announced the permanent closure of the Fiskville training facility. The permanent closure of Fiskville requires the CFA to reassess the direction and approach to the assessment, remediation and rehabilitation of Fiskville. This will also need to take into the consideration the finding and recommendations of the Victorian Parliamentary Inquiry into the CFA Training College at Fiskville which is due to present its final report by no later than 1 December 2015. </w:t>
      </w:r>
    </w:p>
    <w:p w:rsidR="00B03921" w:rsidRPr="00F82797" w:rsidRDefault="00B03921" w:rsidP="00016914">
      <w:pPr>
        <w:spacing w:after="100"/>
      </w:pPr>
      <w:r>
        <w:t>At this stage it is impractical to quantify the financial</w:t>
      </w:r>
      <w:r w:rsidRPr="00A86988">
        <w:t xml:space="preserve"> </w:t>
      </w:r>
      <w:r w:rsidRPr="00E306AB">
        <w:t>effects as a result of the closure of Fiskville and its effect on the implementation of recommendations received from the independent investigation.</w:t>
      </w:r>
    </w:p>
    <w:p w:rsidR="00B03921" w:rsidRPr="008744D8" w:rsidRDefault="00B03921" w:rsidP="00016914">
      <w:pPr>
        <w:pStyle w:val="Heading3"/>
        <w:tabs>
          <w:tab w:val="left" w:pos="6601"/>
        </w:tabs>
      </w:pPr>
      <w:r w:rsidRPr="008744D8">
        <w:t>Gambling licences</w:t>
      </w:r>
    </w:p>
    <w:p w:rsidR="00B03921" w:rsidRDefault="00B03921" w:rsidP="00016914">
      <w:r>
        <w:t>Related</w:t>
      </w:r>
      <w:r w:rsidRPr="008308E7">
        <w:t xml:space="preserve"> to the </w:t>
      </w:r>
      <w:r w:rsidR="00BA5A16">
        <w:t>‘</w:t>
      </w:r>
      <w:r w:rsidRPr="008308E7">
        <w:t>Gambling licenses</w:t>
      </w:r>
      <w:r w:rsidR="00BA5A16">
        <w:t>’</w:t>
      </w:r>
      <w:r w:rsidRPr="008308E7">
        <w:rPr>
          <w:i/>
        </w:rPr>
        <w:t xml:space="preserve"> </w:t>
      </w:r>
      <w:r w:rsidRPr="008308E7">
        <w:t>item within non</w:t>
      </w:r>
      <w:r>
        <w:noBreakHyphen/>
      </w:r>
      <w:r w:rsidRPr="008308E7">
        <w:t>quant</w:t>
      </w:r>
      <w:r>
        <w:t>ifiable contingent assets,</w:t>
      </w:r>
      <w:r w:rsidRPr="008308E7">
        <w:t xml:space="preserve"> the State was succe</w:t>
      </w:r>
      <w:r>
        <w:t xml:space="preserve">ssful in the Tabcorp proceeding and </w:t>
      </w:r>
      <w:r w:rsidRPr="008308E7">
        <w:t xml:space="preserve">did not need to pay Tabcorp its claimed amount </w:t>
      </w:r>
      <w:r w:rsidRPr="00F02B65">
        <w:t>of $686.8</w:t>
      </w:r>
      <w:r>
        <w:t> million</w:t>
      </w:r>
      <w:r w:rsidRPr="00F02B65">
        <w:t xml:space="preserve"> plus interest</w:t>
      </w:r>
      <w:r w:rsidRPr="008308E7">
        <w:t>. The matter went on appeal to the Court of Appeal</w:t>
      </w:r>
      <w:r>
        <w:t>. O</w:t>
      </w:r>
      <w:r w:rsidRPr="00F02B65">
        <w:t xml:space="preserve">n 4 December </w:t>
      </w:r>
      <w:r>
        <w:t>2014, the Court of Appeal upheld the Supreme Court</w:t>
      </w:r>
      <w:r w:rsidR="00BA5A16">
        <w:t>’</w:t>
      </w:r>
      <w:r>
        <w:t xml:space="preserve">s decision. Tabcorp has sought special leave to appeal to the High Court of Australia. This application is listed for hearing on 15 May 2015. </w:t>
      </w:r>
    </w:p>
    <w:p w:rsidR="00B03921" w:rsidRPr="001339A5" w:rsidRDefault="00B03921" w:rsidP="00016914">
      <w:pPr>
        <w:pStyle w:val="Heading3"/>
      </w:pPr>
      <w:r w:rsidRPr="001339A5">
        <w:t xml:space="preserve">Public Lottery Licence </w:t>
      </w:r>
      <w:r w:rsidRPr="000F4038">
        <w:t>Litigation</w:t>
      </w:r>
    </w:p>
    <w:p w:rsidR="00B03921" w:rsidRDefault="00B03921" w:rsidP="00016914">
      <w:r w:rsidRPr="001339A5">
        <w:t xml:space="preserve">On 27 August 2014, Intralot Australia Pty Ltd </w:t>
      </w:r>
      <w:r>
        <w:t xml:space="preserve">(Intralot) </w:t>
      </w:r>
      <w:r w:rsidRPr="001339A5">
        <w:t>served a writ and Statement of Claim on the State. Intralot</w:t>
      </w:r>
      <w:r w:rsidR="00BA5A16">
        <w:t>’</w:t>
      </w:r>
      <w:r w:rsidRPr="001339A5">
        <w:t>s claim relates to allegations that Tattersall</w:t>
      </w:r>
      <w:r w:rsidR="00BA5A16">
        <w:t>’</w:t>
      </w:r>
      <w:r w:rsidRPr="001339A5">
        <w:t>s Sweeps Pty Ltd was granted favourable treatment relating to the awarding of public lottery licences on 24 October 2007. Intralot claims its total costs to 30 June 2014 are $63.4</w:t>
      </w:r>
      <w:r>
        <w:t> million</w:t>
      </w:r>
      <w:r w:rsidRPr="001339A5">
        <w:t>. The State has lodged its defence and the matter will be heard in the Supreme Court.</w:t>
      </w:r>
    </w:p>
    <w:p w:rsidR="00B03921" w:rsidRPr="001339A5" w:rsidRDefault="00B03921" w:rsidP="00016914">
      <w:pPr>
        <w:pStyle w:val="Heading3"/>
        <w:rPr>
          <w:rFonts w:eastAsia="Calibri"/>
        </w:rPr>
      </w:pPr>
      <w:r w:rsidRPr="001339A5">
        <w:rPr>
          <w:rFonts w:eastAsia="Calibri"/>
        </w:rPr>
        <w:t>Compulsory property acquisitions</w:t>
      </w:r>
    </w:p>
    <w:p w:rsidR="00B03921" w:rsidRDefault="00B03921" w:rsidP="00016914">
      <w:pPr>
        <w:rPr>
          <w:rFonts w:eastAsia="Calibri"/>
        </w:rPr>
      </w:pPr>
      <w:r w:rsidRPr="001339A5">
        <w:rPr>
          <w:rFonts w:eastAsia="Calibri"/>
        </w:rPr>
        <w:t xml:space="preserve">The State has compulsorily acquired a number of properties (residential and commercial) through the </w:t>
      </w:r>
      <w:r w:rsidRPr="001339A5">
        <w:rPr>
          <w:rFonts w:eastAsia="Calibri"/>
          <w:i/>
        </w:rPr>
        <w:t>Land Acquisition and Compensation Act 1986</w:t>
      </w:r>
      <w:r w:rsidRPr="001339A5">
        <w:rPr>
          <w:rFonts w:eastAsia="Calibri"/>
        </w:rPr>
        <w:t xml:space="preserve"> to facilitate delivery of various projects. Possible future claims for compensation arising from the compulsory acquisition of these properties cannot be quantified at this stage.</w:t>
      </w:r>
    </w:p>
    <w:p w:rsidR="0081536C" w:rsidRDefault="0081536C">
      <w:pPr>
        <w:spacing w:after="0"/>
        <w:rPr>
          <w:rFonts w:ascii="Calibri" w:hAnsi="Calibri"/>
          <w:b/>
          <w:i/>
          <w:kern w:val="28"/>
          <w:sz w:val="24"/>
          <w:szCs w:val="22"/>
        </w:rPr>
      </w:pPr>
      <w:r>
        <w:br w:type="page"/>
      </w:r>
    </w:p>
    <w:p w:rsidR="00B03921" w:rsidRPr="001339A5" w:rsidRDefault="00B03921" w:rsidP="00016914">
      <w:pPr>
        <w:pStyle w:val="Heading3"/>
      </w:pPr>
      <w:r w:rsidRPr="001339A5">
        <w:t>Land remediation – environmental concerns</w:t>
      </w:r>
    </w:p>
    <w:p w:rsidR="00B03921" w:rsidRDefault="00B03921" w:rsidP="00016914">
      <w:r w:rsidRPr="001339A5">
        <w:t>In addition to properties for which remediation costs have been provided in the State</w:t>
      </w:r>
      <w:r w:rsidR="00BA5A16">
        <w:t>’</w:t>
      </w:r>
      <w:r w:rsidRPr="001339A5">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w:t>
      </w:r>
    </w:p>
    <w:p w:rsidR="00B03921" w:rsidRPr="00716054" w:rsidRDefault="00B03921" w:rsidP="00016914">
      <w:pPr>
        <w:pStyle w:val="Heading3"/>
      </w:pPr>
      <w:r w:rsidRPr="000971B6">
        <w:t>Native Title</w:t>
      </w:r>
    </w:p>
    <w:p w:rsidR="00B03921" w:rsidRPr="00D312CC" w:rsidRDefault="00B03921" w:rsidP="00016914">
      <w:pPr>
        <w:rPr>
          <w:rFonts w:ascii="Calibri" w:hAnsi="Calibri"/>
          <w:b/>
          <w:i/>
          <w:kern w:val="28"/>
          <w:sz w:val="24"/>
          <w:szCs w:val="22"/>
        </w:rPr>
      </w:pPr>
      <w:r w:rsidRPr="0049539B">
        <w:t xml:space="preserve">A number of claims have been filed with the Federal Court under the Commonwealth </w:t>
      </w:r>
      <w:r w:rsidRPr="00F352FF">
        <w:rPr>
          <w:i/>
        </w:rPr>
        <w:t>Native Title Act 1993</w:t>
      </w:r>
      <w:r w:rsidRPr="0049539B">
        <w:t xml:space="preserve"> that affect Victoria. It is not feasible at this time to quantify any future liability</w:t>
      </w:r>
      <w:r>
        <w:t xml:space="preserve">. </w:t>
      </w:r>
    </w:p>
    <w:p w:rsidR="00B03921" w:rsidRPr="001339A5" w:rsidRDefault="00B03921" w:rsidP="00016914">
      <w:pPr>
        <w:pStyle w:val="Heading3"/>
      </w:pPr>
      <w:r w:rsidRPr="001339A5">
        <w:t>Melbourne Park redevelopment</w:t>
      </w:r>
    </w:p>
    <w:p w:rsidR="00B03921" w:rsidRDefault="00B03921" w:rsidP="00016914">
      <w:pPr>
        <w:rPr>
          <w:lang w:eastAsia="en-AU"/>
        </w:rPr>
      </w:pPr>
      <w:r w:rsidRPr="001339A5">
        <w:rPr>
          <w:lang w:eastAsia="en-AU"/>
        </w:rPr>
        <w:t xml:space="preserve">In 2010, the State entered into a capital works agreement with Tennis Australia and the Melbourne and Olympic Park Trust for the Australian Open to remain at Melbourne Park until 2036. The agreement contains a number of conditions including that the State will invest in further improvements to Melbourne Park in three stages or (if an agreed investment threshold is reached), pay a rights fee to retain the Australian Open at Melbourne Park until 2036. </w:t>
      </w:r>
    </w:p>
    <w:p w:rsidR="00B03921" w:rsidRDefault="00B03921" w:rsidP="00016914">
      <w:pPr>
        <w:spacing w:after="0"/>
        <w:rPr>
          <w:lang w:eastAsia="en-AU"/>
        </w:rPr>
      </w:pPr>
      <w:r w:rsidRPr="001339A5">
        <w:rPr>
          <w:lang w:eastAsia="en-AU"/>
        </w:rPr>
        <w:t xml:space="preserve">In the </w:t>
      </w:r>
      <w:r w:rsidRPr="001339A5">
        <w:rPr>
          <w:i/>
          <w:iCs/>
          <w:lang w:eastAsia="en-AU"/>
        </w:rPr>
        <w:t>2010</w:t>
      </w:r>
      <w:r>
        <w:rPr>
          <w:i/>
          <w:iCs/>
          <w:lang w:eastAsia="en-AU"/>
        </w:rPr>
        <w:noBreakHyphen/>
      </w:r>
      <w:r w:rsidRPr="001339A5">
        <w:rPr>
          <w:i/>
          <w:iCs/>
          <w:lang w:eastAsia="en-AU"/>
        </w:rPr>
        <w:t>11 Budget</w:t>
      </w:r>
      <w:r>
        <w:rPr>
          <w:lang w:eastAsia="en-AU"/>
        </w:rPr>
        <w:t>, Stage </w:t>
      </w:r>
      <w:r w:rsidRPr="001339A5">
        <w:rPr>
          <w:lang w:eastAsia="en-AU"/>
        </w:rPr>
        <w:t>1 of the Melbourne Park redevelopment with a total estimated investment of $363</w:t>
      </w:r>
      <w:r>
        <w:rPr>
          <w:lang w:eastAsia="en-AU"/>
        </w:rPr>
        <w:t> million was announced. In January </w:t>
      </w:r>
      <w:r w:rsidRPr="001339A5">
        <w:rPr>
          <w:lang w:eastAsia="en-AU"/>
        </w:rPr>
        <w:t>2014, a further $338</w:t>
      </w:r>
      <w:r>
        <w:rPr>
          <w:lang w:eastAsia="en-AU"/>
        </w:rPr>
        <w:t> million of</w:t>
      </w:r>
      <w:r w:rsidRPr="001339A5">
        <w:rPr>
          <w:lang w:eastAsia="en-AU"/>
        </w:rPr>
        <w:t xml:space="preserve"> total estimated investment was announced by the State for Stage 2 of the redevelopment</w:t>
      </w:r>
      <w:r>
        <w:rPr>
          <w:lang w:eastAsia="en-AU"/>
        </w:rPr>
        <w:t xml:space="preserve">. </w:t>
      </w:r>
    </w:p>
    <w:p w:rsidR="00B03921" w:rsidRPr="001339A5" w:rsidRDefault="00B03921" w:rsidP="00016914">
      <w:pPr>
        <w:pStyle w:val="Heading3"/>
      </w:pPr>
      <w:r w:rsidRPr="001339A5">
        <w:t>Royal Melbourne Showgrounds redevelopment</w:t>
      </w:r>
    </w:p>
    <w:p w:rsidR="00B03921" w:rsidRDefault="00B03921" w:rsidP="00016914">
      <w:r w:rsidRPr="001339A5">
        <w:t>Under the State</w:t>
      </w:r>
      <w:r w:rsidR="00BA5A16">
        <w:t>’</w:t>
      </w:r>
      <w:r w:rsidRPr="001339A5">
        <w:t>s commitment to the Royal Agriculture Society of Victoria (RASV), the State has agreed to support certain obligations of RASV which may arise out of the joint venture agreement. In accordance with the terms set out in the State</w:t>
      </w:r>
      <w:r w:rsidR="00BA5A16">
        <w:t>’</w:t>
      </w:r>
      <w:r>
        <w:t>s</w:t>
      </w:r>
      <w:r w:rsidRPr="001339A5">
        <w:t xml:space="preserve"> commitment to RASV, the State will pay (in the form of a loan) the amount requested by RASV. If any outstanding loan amount remains </w:t>
      </w:r>
      <w:r>
        <w:t>unpaid at the date, which is 25 </w:t>
      </w:r>
      <w:r w:rsidRPr="001339A5">
        <w:t>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B03921" w:rsidRPr="001339A5" w:rsidRDefault="00B03921" w:rsidP="00016914">
      <w:r w:rsidRPr="00634A03">
        <w:t>Under the State Support Deed – Core Land, the State has undertaken to ensure the performance of the payment obligations in favour of the Concessionaire and the performance of the joint venture financial obligations in favour of the security trustee.</w:t>
      </w:r>
      <w:r>
        <w:t xml:space="preserve"> </w:t>
      </w:r>
    </w:p>
    <w:p w:rsidR="00B03921" w:rsidRDefault="00B03921" w:rsidP="00016914">
      <w:pPr>
        <w:spacing w:after="0"/>
      </w:pPr>
      <w:r w:rsidRPr="001339A5">
        <w:t>The State has also entered into an agreement through the State Support Deed – Non</w:t>
      </w:r>
      <w:r>
        <w:noBreakHyphen/>
      </w:r>
      <w:r w:rsidRPr="001339A5">
        <w:t>Core Land with Showgrounds Retail Developments Pty Ltd and the RASV, whereby the State agrees to support certain payment obligations of the RASV that may arise under the non</w:t>
      </w:r>
      <w:r>
        <w:noBreakHyphen/>
      </w:r>
      <w:r w:rsidRPr="001339A5">
        <w:t>core development agreement.</w:t>
      </w:r>
      <w:r>
        <w:t xml:space="preserve"> </w:t>
      </w:r>
    </w:p>
    <w:p w:rsidR="00B03921" w:rsidRPr="001339A5" w:rsidRDefault="00B03921" w:rsidP="00016914">
      <w:pPr>
        <w:pStyle w:val="Heading3"/>
      </w:pPr>
      <w:r w:rsidRPr="001339A5">
        <w:t>Victorian Managed Insurance Authority – insurance cover</w:t>
      </w:r>
    </w:p>
    <w:p w:rsidR="00B03921" w:rsidRPr="001339A5" w:rsidRDefault="00B03921" w:rsidP="00016914">
      <w:r w:rsidRPr="001339A5">
        <w:t>The Victorian Managed Insurance Authority (VMIA) was establi</w:t>
      </w:r>
      <w:r>
        <w:t>shed in 1996 as an insurer for s</w:t>
      </w:r>
      <w:r w:rsidRPr="001339A5">
        <w:t xml:space="preserve">tate government departments, participating bodies and other entities as defined under the </w:t>
      </w:r>
      <w:r w:rsidRPr="001339A5">
        <w:rPr>
          <w:i/>
        </w:rPr>
        <w:t xml:space="preserve">Victorian </w:t>
      </w:r>
      <w:r>
        <w:rPr>
          <w:i/>
        </w:rPr>
        <w:t>Managed Insurance Authority Act </w:t>
      </w:r>
      <w:r w:rsidRPr="001339A5">
        <w:rPr>
          <w:i/>
        </w:rPr>
        <w:t>1996</w:t>
      </w:r>
      <w:r w:rsidRPr="001339A5">
        <w:t>.</w:t>
      </w:r>
      <w:r>
        <w:t xml:space="preserve"> The</w:t>
      </w:r>
      <w:r w:rsidRPr="001339A5">
        <w:t xml:space="preserve"> VMIA provides its clients with a range of insurance cover, including for property, public and products liability, professional indemnity and contract works. </w:t>
      </w:r>
      <w:r>
        <w:t xml:space="preserve">The </w:t>
      </w:r>
      <w:r w:rsidRPr="001339A5">
        <w:t>VMIA reinsures in the private market for losses above $50</w:t>
      </w:r>
      <w:r>
        <w:t> million</w:t>
      </w:r>
      <w:r w:rsidRPr="001339A5">
        <w:t xml:space="preserve"> arising out of any one occurrence, up to a maximum of $850</w:t>
      </w:r>
      <w:r>
        <w:t> million</w:t>
      </w:r>
      <w:r w:rsidRPr="001339A5">
        <w:t xml:space="preserve"> for public and products liability, and for losses above $50</w:t>
      </w:r>
      <w:r>
        <w:t> million</w:t>
      </w:r>
      <w:r w:rsidRPr="001339A5">
        <w:t xml:space="preserve"> arising out of any one event, up to a maximum of $3.05</w:t>
      </w:r>
      <w:r>
        <w:t> billion</w:t>
      </w:r>
      <w:r w:rsidRPr="001339A5">
        <w:t xml:space="preserve"> for property. The risk of losses above these reinsured levels is borne by the State.</w:t>
      </w:r>
    </w:p>
    <w:p w:rsidR="00B03921" w:rsidRPr="006462BE" w:rsidRDefault="00B03921" w:rsidP="00016914">
      <w:r>
        <w:t xml:space="preserve">The </w:t>
      </w:r>
      <w:r w:rsidRPr="001339A5">
        <w:t>VMIA also insures the Department of Health</w:t>
      </w:r>
      <w:r>
        <w:t xml:space="preserve"> and Human Services</w:t>
      </w:r>
      <w:r w:rsidRPr="001339A5">
        <w:t xml:space="preserve"> for all public sector medical indemnity claims incurred in each policy year from 1 July 2003, regardless of when claims are finally settled. Under the indemnity deed to provide stop loss protection for</w:t>
      </w:r>
      <w:r>
        <w:t xml:space="preserve"> the</w:t>
      </w:r>
      <w:r w:rsidRPr="001339A5">
        <w:t xml:space="preserve"> VMIA, the Department of Treasury and Finance has agreed to reimburse</w:t>
      </w:r>
      <w:r>
        <w:t xml:space="preserve"> the</w:t>
      </w:r>
      <w:r w:rsidRPr="001339A5">
        <w:t xml:space="preserve"> VMIA if the ultimate claims payouts exceed by more than 20</w:t>
      </w:r>
      <w:r>
        <w:t> per cent</w:t>
      </w:r>
      <w:r w:rsidRPr="001339A5">
        <w:t xml:space="preserve"> of the initial estimate on which the risk premium was based.</w:t>
      </w:r>
    </w:p>
    <w:p w:rsidR="00B03921" w:rsidRDefault="00B03921" w:rsidP="00876B63"/>
    <w:p w:rsidR="00B03921" w:rsidRDefault="00B03921" w:rsidP="00D22EC9">
      <w:pPr>
        <w:sectPr w:rsidR="00B03921" w:rsidSect="00016914">
          <w:headerReference w:type="even" r:id="rId82"/>
          <w:headerReference w:type="default" r:id="rId83"/>
          <w:footerReference w:type="even" r:id="rId84"/>
          <w:footerReference w:type="default" r:id="rId85"/>
          <w:headerReference w:type="first" r:id="rId86"/>
          <w:footerReference w:type="first" r:id="rId87"/>
          <w:type w:val="oddPage"/>
          <w:pgSz w:w="9979" w:h="14175" w:code="34"/>
          <w:pgMar w:top="1140" w:right="1140" w:bottom="1140" w:left="1140" w:header="720" w:footer="431" w:gutter="0"/>
          <w:cols w:space="708"/>
          <w:docGrid w:linePitch="360"/>
        </w:sectPr>
      </w:pPr>
    </w:p>
    <w:p w:rsidR="00B03921" w:rsidRDefault="00B03921" w:rsidP="00016914">
      <w:pPr>
        <w:pStyle w:val="ChapterHeading"/>
      </w:pPr>
      <w:bookmarkStart w:id="146" w:name="_Toc418274781"/>
      <w:r>
        <w:t>Appendix A</w:t>
      </w:r>
      <w:r w:rsidRPr="0051682B">
        <w:t xml:space="preserve"> – </w:t>
      </w:r>
      <w:r>
        <w:t>Public Account</w:t>
      </w:r>
      <w:bookmarkEnd w:id="146"/>
    </w:p>
    <w:p w:rsidR="00B03921" w:rsidRPr="00DF33EE" w:rsidRDefault="00B03921" w:rsidP="00016914">
      <w:r w:rsidRPr="00DF33EE">
        <w:t>The Public Account is the Government</w:t>
      </w:r>
      <w:r w:rsidR="00BA5A16">
        <w:t>’</w:t>
      </w:r>
      <w:r w:rsidRPr="00DF33EE">
        <w:t>s official bank account. The Public Account holds the cash balances of the Consolidated Fund and the Trust Fund. The State</w:t>
      </w:r>
      <w:r w:rsidR="00BA5A16">
        <w:t>’</w:t>
      </w:r>
      <w:r w:rsidRPr="00DF33EE">
        <w:t>s financial transactions on the Public Account are recorded in the public ledger.</w:t>
      </w:r>
    </w:p>
    <w:p w:rsidR="00B03921" w:rsidRPr="00DF33EE" w:rsidRDefault="00B03921" w:rsidP="00016914">
      <w:r w:rsidRPr="00DF33EE">
        <w:t xml:space="preserve">The </w:t>
      </w:r>
      <w:r w:rsidRPr="00DF33EE">
        <w:rPr>
          <w:i/>
        </w:rPr>
        <w:t>Financial Management Act 1994</w:t>
      </w:r>
      <w:r w:rsidRPr="00DF33EE">
        <w:t xml:space="preserve"> (FMA)</w:t>
      </w:r>
      <w:r>
        <w:t>, amongst other things,</w:t>
      </w:r>
      <w:r w:rsidRPr="00DF33EE">
        <w:t xml:space="preserve"> provides for:</w:t>
      </w:r>
    </w:p>
    <w:p w:rsidR="00B03921" w:rsidRPr="00DF33EE" w:rsidRDefault="00B03921" w:rsidP="00016914">
      <w:pPr>
        <w:pStyle w:val="BulletText"/>
      </w:pPr>
      <w:r w:rsidRPr="00DF33EE">
        <w:t>temporary advances from the Public Account for a number of purposes related to the needs of the Government;</w:t>
      </w:r>
    </w:p>
    <w:p w:rsidR="00B03921" w:rsidRPr="00DF33EE" w:rsidRDefault="00B03921" w:rsidP="00016914">
      <w:pPr>
        <w:pStyle w:val="BulletText"/>
      </w:pPr>
      <w:r w:rsidRPr="00DF33EE">
        <w:t>investment of the Public Account in trustee securities; and</w:t>
      </w:r>
    </w:p>
    <w:p w:rsidR="00B03921" w:rsidRPr="00DF33EE" w:rsidRDefault="00B03921" w:rsidP="00016914">
      <w:pPr>
        <w:pStyle w:val="BulletText"/>
      </w:pPr>
      <w:r w:rsidRPr="00DF33EE">
        <w:t>temporary borrowings, should the balance in the Consolidated Fund be insufficient to meet commitments during a financial year.</w:t>
      </w:r>
    </w:p>
    <w:p w:rsidR="00B03921" w:rsidRPr="00DF33EE" w:rsidRDefault="00B03921" w:rsidP="00016914">
      <w:pPr>
        <w:keepNext/>
        <w:spacing w:before="240"/>
        <w:outlineLvl w:val="1"/>
        <w:rPr>
          <w:rFonts w:ascii="Calibri" w:hAnsi="Calibri"/>
          <w:b/>
          <w:kern w:val="28"/>
          <w:sz w:val="26"/>
          <w:szCs w:val="22"/>
        </w:rPr>
      </w:pPr>
      <w:r w:rsidRPr="00DF33EE">
        <w:rPr>
          <w:rFonts w:ascii="Calibri" w:hAnsi="Calibri"/>
          <w:b/>
          <w:kern w:val="28"/>
          <w:sz w:val="26"/>
          <w:szCs w:val="22"/>
        </w:rPr>
        <w:t>Consolidated Fund</w:t>
      </w:r>
    </w:p>
    <w:p w:rsidR="00B03921" w:rsidRPr="00DF33EE" w:rsidRDefault="00B03921" w:rsidP="00016914">
      <w:pPr>
        <w:rPr>
          <w:b/>
        </w:rPr>
      </w:pPr>
      <w:r w:rsidRPr="00DF33EE">
        <w:t>The Consolidated Fund established by the FMA is the Government</w:t>
      </w:r>
      <w:r w:rsidR="00BA5A16">
        <w:t>’</w:t>
      </w:r>
      <w:r w:rsidRPr="00DF33EE">
        <w:t xml:space="preserve">s primary financial account and receives all consolidated revenue under the </w:t>
      </w:r>
      <w:r w:rsidRPr="00DF33EE">
        <w:rPr>
          <w:i/>
        </w:rPr>
        <w:t xml:space="preserve">Constitution Act 1975 </w:t>
      </w:r>
      <w:r w:rsidRPr="00DF33EE">
        <w:t>from which payments, appropriated by Parliament, are made.</w:t>
      </w:r>
    </w:p>
    <w:p w:rsidR="00B03921" w:rsidRPr="00DF33EE" w:rsidRDefault="00B03921" w:rsidP="00016914">
      <w:pPr>
        <w:keepNext/>
        <w:spacing w:before="240"/>
        <w:outlineLvl w:val="1"/>
        <w:rPr>
          <w:rFonts w:ascii="Calibri" w:hAnsi="Calibri"/>
          <w:b/>
          <w:kern w:val="28"/>
          <w:sz w:val="26"/>
          <w:szCs w:val="22"/>
        </w:rPr>
      </w:pPr>
      <w:r w:rsidRPr="00DF33EE">
        <w:rPr>
          <w:rFonts w:ascii="Calibri" w:hAnsi="Calibri"/>
          <w:b/>
          <w:kern w:val="28"/>
          <w:sz w:val="26"/>
          <w:szCs w:val="22"/>
        </w:rPr>
        <w:t>The Trust Fund</w:t>
      </w:r>
    </w:p>
    <w:p w:rsidR="00B03921" w:rsidRPr="00DF33EE" w:rsidRDefault="00B03921" w:rsidP="00016914">
      <w:r w:rsidRPr="00DF33EE">
        <w:t>Within the Public Account, the Trust Fund embraces a range of specific purpose accounts established for funds that are not subject to parliamentary appropriation. Examples include accounts to record specific purpose payments from the Commonwealth for on</w:t>
      </w:r>
      <w:r>
        <w:noBreakHyphen/>
      </w:r>
      <w:r w:rsidRPr="00DF33EE">
        <w:t>passing by the State to third parties, suspense account balances for accounting purposes, working accounts for commercial and departmental service units, and accounts facilitating the receipt and disbursement of private funds held by the State in trust. Additional accounts may also be established within the Trust Fund to receive State revenues hypothecated to particular purposes (e.g. lotteries revenue for hospitals and charities).</w:t>
      </w:r>
    </w:p>
    <w:p w:rsidR="00B03921" w:rsidRPr="007B1598" w:rsidRDefault="00B03921" w:rsidP="00016914">
      <w:pPr>
        <w:pStyle w:val="BodyText"/>
      </w:pPr>
    </w:p>
    <w:p w:rsidR="00B03921" w:rsidRDefault="00B03921" w:rsidP="00016914">
      <w:pPr>
        <w:pStyle w:val="BodyText"/>
      </w:pPr>
      <w:r>
        <w:br w:type="page"/>
      </w:r>
    </w:p>
    <w:p w:rsidR="00B03921" w:rsidRPr="00F71338" w:rsidRDefault="00B03921" w:rsidP="00016914">
      <w:pPr>
        <w:pStyle w:val="Tableheading"/>
        <w:rPr>
          <w:vertAlign w:val="superscript"/>
        </w:rPr>
      </w:pPr>
      <w:r w:rsidRPr="00F71338">
        <w:t>Table A.1:</w:t>
      </w:r>
      <w:r w:rsidRPr="00F71338">
        <w:tab/>
        <w:t>The Consolidated Fund</w:t>
      </w:r>
      <w:r>
        <w:t xml:space="preserve"> </w:t>
      </w:r>
    </w:p>
    <w:p w:rsidR="00B03921" w:rsidRDefault="00B03921" w:rsidP="00016914">
      <w:r w:rsidRPr="00F71338">
        <w:t>Estimated receipts</w:t>
      </w:r>
      <w:r>
        <w:t xml:space="preserve"> and payments for the year ending</w:t>
      </w:r>
      <w:r w:rsidRPr="00F71338">
        <w:t xml:space="preserve"> 30</w:t>
      </w:r>
      <w:r>
        <w:t> </w:t>
      </w:r>
      <w:r w:rsidRPr="00F71338">
        <w:t>June</w:t>
      </w:r>
      <w:r>
        <w:t> </w:t>
      </w:r>
      <w:r w:rsidRPr="00F71338">
        <w:t>201</w:t>
      </w:r>
      <w:r>
        <w:t>5 and 30 </w:t>
      </w:r>
      <w:r w:rsidRPr="00F71338">
        <w:t>June</w:t>
      </w:r>
      <w:r>
        <w:t> </w:t>
      </w:r>
      <w:r w:rsidRPr="00F71338">
        <w:t>201</w:t>
      </w:r>
      <w:r>
        <w:t>6</w:t>
      </w:r>
      <w:r w:rsidRPr="00F71338">
        <w:t>.</w:t>
      </w:r>
    </w:p>
    <w:p w:rsidR="00B03921" w:rsidRPr="002F0E53"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B65D14" w:rsidRPr="002F0E53" w:rsidTr="00423972">
        <w:trPr>
          <w:trHeight w:val="503"/>
          <w:tblHeader/>
        </w:trPr>
        <w:tc>
          <w:tcPr>
            <w:tcW w:w="4640" w:type="dxa"/>
            <w:tcBorders>
              <w:top w:val="single" w:sz="6" w:space="0" w:color="auto"/>
              <w:left w:val="single" w:sz="6" w:space="0" w:color="auto"/>
              <w:right w:val="nil"/>
            </w:tcBorders>
            <w:shd w:val="clear" w:color="000000" w:fill="000000"/>
          </w:tcPr>
          <w:p w:rsidR="00B65D14" w:rsidRPr="002F0E53" w:rsidRDefault="00B65D14" w:rsidP="00016914">
            <w:pPr>
              <w:pStyle w:val="Tabletext"/>
              <w:rPr>
                <w:rFonts w:eastAsiaTheme="minorEastAsia"/>
                <w:lang w:eastAsia="en-AU"/>
              </w:rPr>
            </w:pPr>
            <w:r w:rsidRPr="002F0E53">
              <w:rPr>
                <w:rFonts w:eastAsiaTheme="minorEastAsia"/>
                <w:lang w:eastAsia="en-AU"/>
              </w:rPr>
              <w:t xml:space="preserve">  </w:t>
            </w:r>
          </w:p>
        </w:tc>
        <w:tc>
          <w:tcPr>
            <w:tcW w:w="1040" w:type="dxa"/>
            <w:tcBorders>
              <w:top w:val="single" w:sz="6" w:space="0" w:color="auto"/>
              <w:left w:val="nil"/>
              <w:right w:val="nil"/>
            </w:tcBorders>
            <w:shd w:val="clear" w:color="000000" w:fill="000000"/>
          </w:tcPr>
          <w:p w:rsidR="00B65D14" w:rsidRPr="002F0E53" w:rsidRDefault="00B65D14" w:rsidP="00A857BE">
            <w:pPr>
              <w:pStyle w:val="Tabletextheading"/>
              <w:rPr>
                <w:rFonts w:eastAsiaTheme="minorEastAsia"/>
                <w:iCs/>
                <w:color w:val="FFFFFF"/>
                <w:lang w:eastAsia="en-AU"/>
              </w:rPr>
            </w:pPr>
            <w:r w:rsidRPr="002F0E53">
              <w:rPr>
                <w:rFonts w:eastAsiaTheme="minorEastAsia"/>
                <w:iCs/>
                <w:color w:val="FFFFFF"/>
                <w:lang w:eastAsia="en-AU"/>
              </w:rPr>
              <w:t>2014-15</w:t>
            </w:r>
            <w:r w:rsidR="00A857BE">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auto"/>
              <w:left w:val="nil"/>
              <w:right w:val="nil"/>
            </w:tcBorders>
            <w:shd w:val="clear" w:color="000000" w:fill="000000"/>
          </w:tcPr>
          <w:p w:rsidR="00B65D14" w:rsidRPr="002F0E53" w:rsidRDefault="00B65D14" w:rsidP="00A857BE">
            <w:pPr>
              <w:pStyle w:val="Tabletextheading"/>
              <w:rPr>
                <w:rFonts w:eastAsiaTheme="minorEastAsia"/>
                <w:iCs/>
                <w:color w:val="FFFFFF"/>
                <w:lang w:eastAsia="en-AU"/>
              </w:rPr>
            </w:pPr>
            <w:r w:rsidRPr="002F0E53">
              <w:rPr>
                <w:rFonts w:eastAsiaTheme="minorEastAsia"/>
                <w:iCs/>
                <w:color w:val="FFFFFF"/>
                <w:lang w:eastAsia="en-AU"/>
              </w:rPr>
              <w:t>2015-16</w:t>
            </w:r>
            <w:r w:rsidR="00A857BE">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auto"/>
              <w:left w:val="nil"/>
              <w:right w:val="single" w:sz="6" w:space="0" w:color="auto"/>
            </w:tcBorders>
            <w:shd w:val="clear" w:color="000000" w:fill="000000"/>
          </w:tcPr>
          <w:p w:rsidR="00B65D14" w:rsidRPr="002F0E53" w:rsidRDefault="00A857BE" w:rsidP="00A857BE">
            <w:pPr>
              <w:pStyle w:val="Tabletextheading"/>
              <w:rPr>
                <w:rFonts w:eastAsiaTheme="minorEastAsia"/>
                <w:iCs/>
                <w:color w:val="FFFFFF"/>
                <w:lang w:eastAsia="en-AU"/>
              </w:rPr>
            </w:pPr>
            <w:r>
              <w:rPr>
                <w:rFonts w:eastAsiaTheme="minorEastAsia"/>
                <w:iCs/>
                <w:color w:val="FFFFFF"/>
                <w:lang w:eastAsia="en-AU"/>
              </w:rPr>
              <w:t>v</w:t>
            </w:r>
            <w:r w:rsidR="00B65D14" w:rsidRPr="002F0E53">
              <w:rPr>
                <w:rFonts w:eastAsiaTheme="minorEastAsia"/>
                <w:iCs/>
                <w:color w:val="FFFFFF"/>
                <w:lang w:eastAsia="en-AU"/>
              </w:rPr>
              <w:t>ariation</w:t>
            </w:r>
            <w:r>
              <w:rPr>
                <w:rFonts w:eastAsiaTheme="minorEastAsia"/>
                <w:iCs/>
                <w:color w:val="FFFFFF"/>
                <w:lang w:eastAsia="en-AU"/>
              </w:rPr>
              <w:br/>
            </w:r>
            <w:r w:rsidR="00B65D14" w:rsidRPr="002F0E53">
              <w:rPr>
                <w:rFonts w:eastAsiaTheme="minorEastAsia"/>
                <w:iCs/>
                <w:color w:val="FFFFFF"/>
                <w:lang w:eastAsia="en-AU"/>
              </w:rPr>
              <w:t>%</w:t>
            </w:r>
          </w:p>
        </w:tc>
      </w:tr>
      <w:tr w:rsidR="00B65D14" w:rsidRPr="002F0E53" w:rsidTr="00423972">
        <w:tc>
          <w:tcPr>
            <w:tcW w:w="7760" w:type="dxa"/>
            <w:gridSpan w:val="4"/>
            <w:tcBorders>
              <w:top w:val="single" w:sz="6" w:space="0" w:color="auto"/>
              <w:left w:val="nil"/>
              <w:bottom w:val="nil"/>
              <w:right w:val="nil"/>
            </w:tcBorders>
            <w:shd w:val="solid" w:color="FFFFFF" w:fill="auto"/>
          </w:tcPr>
          <w:p w:rsidR="00B65D14" w:rsidRPr="002F0E53" w:rsidRDefault="00B65D14" w:rsidP="00A857BE">
            <w:pPr>
              <w:pStyle w:val="Tabletext"/>
              <w:rPr>
                <w:rFonts w:eastAsiaTheme="minorEastAsia"/>
                <w:b/>
                <w:lang w:eastAsia="en-AU"/>
              </w:rPr>
            </w:pPr>
            <w:r w:rsidRPr="002F0E53">
              <w:rPr>
                <w:rFonts w:eastAsiaTheme="minorEastAsia"/>
                <w:b/>
                <w:bCs/>
                <w:lang w:eastAsia="en-AU"/>
              </w:rPr>
              <w:t>Receipts</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Taxation</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18 355</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19 324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5.3</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Fines and regulatory fees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857</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887</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3.6</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Grants received</w:t>
            </w:r>
            <w:r w:rsidRPr="002F0E53">
              <w:rPr>
                <w:rFonts w:eastAsiaTheme="minorEastAsia"/>
                <w:vertAlign w:val="superscript"/>
                <w:lang w:eastAsia="en-AU"/>
              </w:rPr>
              <w:t xml:space="preserve"> </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17 175</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17 128</w:t>
            </w:r>
          </w:p>
        </w:tc>
        <w:tc>
          <w:tcPr>
            <w:tcW w:w="1040" w:type="dxa"/>
            <w:tcBorders>
              <w:top w:val="nil"/>
              <w:left w:val="nil"/>
              <w:bottom w:val="nil"/>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w:t>
            </w:r>
            <w:r w:rsidRPr="002F0E53">
              <w:rPr>
                <w:rFonts w:eastAsiaTheme="minorEastAsia" w:cs="Calibri"/>
                <w:color w:val="000000"/>
                <w:lang w:eastAsia="en-AU"/>
              </w:rPr>
              <w:t>0.3)</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Sales of goods and services </w:t>
            </w:r>
            <w:r w:rsidR="00A857BE">
              <w:rPr>
                <w:rFonts w:eastAsiaTheme="minorEastAsia"/>
                <w:lang w:eastAsia="en-AU"/>
              </w:rPr>
              <w:br/>
            </w:r>
            <w:r w:rsidRPr="002F0E53">
              <w:rPr>
                <w:rFonts w:eastAsiaTheme="minorEastAsia"/>
                <w:lang w:eastAsia="en-AU"/>
              </w:rPr>
              <w:t>(including Section 29 FMA annotated)</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5 467</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5 721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4.6</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Interest received</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514</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536</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4.4</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Dividends and income tax equivalent and rate equivalent receipts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579</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1 </w:t>
            </w:r>
            <w:r w:rsidRPr="002F0E53">
              <w:rPr>
                <w:rFonts w:eastAsiaTheme="minorEastAsia" w:cs="Calibri"/>
                <w:color w:val="000000"/>
                <w:lang w:eastAsia="en-AU"/>
              </w:rPr>
              <w:t>129</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95.0</w:t>
            </w:r>
          </w:p>
        </w:tc>
      </w:tr>
      <w:tr w:rsidR="00B03921" w:rsidRPr="002F0E53" w:rsidTr="00016914">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Other receipts</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286</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306</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7.2</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operating activities</w:t>
            </w:r>
          </w:p>
        </w:tc>
        <w:tc>
          <w:tcPr>
            <w:tcW w:w="1040"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43 232</w:t>
            </w:r>
          </w:p>
        </w:tc>
        <w:tc>
          <w:tcPr>
            <w:tcW w:w="1040"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45 031</w:t>
            </w:r>
          </w:p>
        </w:tc>
        <w:tc>
          <w:tcPr>
            <w:tcW w:w="1040" w:type="dxa"/>
            <w:tcBorders>
              <w:top w:val="nil"/>
              <w:left w:val="nil"/>
              <w:bottom w:val="nil"/>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4.2</w:t>
            </w:r>
          </w:p>
        </w:tc>
      </w:tr>
      <w:tr w:rsidR="00B65D14" w:rsidRPr="002F0E53" w:rsidTr="00423972">
        <w:trPr>
          <w:trHeight w:hRule="exact" w:val="120"/>
        </w:trPr>
        <w:tc>
          <w:tcPr>
            <w:tcW w:w="7760" w:type="dxa"/>
            <w:gridSpan w:val="4"/>
            <w:tcBorders>
              <w:top w:val="nil"/>
              <w:left w:val="nil"/>
              <w:bottom w:val="nil"/>
              <w:right w:val="nil"/>
            </w:tcBorders>
            <w:shd w:val="solid" w:color="FFFFFF" w:fill="auto"/>
          </w:tcPr>
          <w:p w:rsidR="00B65D14" w:rsidRPr="002F0E53" w:rsidRDefault="00B65D14" w:rsidP="00016914">
            <w:pPr>
              <w:pStyle w:val="TableofFigures"/>
              <w:rPr>
                <w:rFonts w:eastAsiaTheme="minorEastAsia"/>
                <w:b/>
                <w:bCs/>
                <w:lang w:eastAsia="en-AU"/>
              </w:rPr>
            </w:pP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cash inflows from investing and financing</w:t>
            </w:r>
          </w:p>
        </w:tc>
        <w:tc>
          <w:tcPr>
            <w:tcW w:w="1040"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4 042</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3 166</w:t>
            </w:r>
          </w:p>
        </w:tc>
        <w:tc>
          <w:tcPr>
            <w:tcW w:w="1040" w:type="dxa"/>
            <w:tcBorders>
              <w:top w:val="nil"/>
              <w:left w:val="nil"/>
              <w:bottom w:val="nil"/>
              <w:right w:val="nil"/>
            </w:tcBorders>
          </w:tcPr>
          <w:p w:rsidR="00B03921" w:rsidRPr="002F0E53" w:rsidRDefault="00B03921" w:rsidP="00016914">
            <w:pPr>
              <w:pStyle w:val="TableofFigures"/>
              <w:rPr>
                <w:rFonts w:eastAsiaTheme="minorEastAsia" w:cs="Calibri"/>
                <w:b/>
                <w:color w:val="000000"/>
                <w:lang w:eastAsia="en-AU"/>
              </w:rPr>
            </w:pPr>
            <w:r w:rsidRPr="002F0E53">
              <w:rPr>
                <w:rFonts w:eastAsiaTheme="minorEastAsia"/>
                <w:b/>
                <w:lang w:eastAsia="en-AU"/>
              </w:rPr>
              <w:t xml:space="preserve"> (</w:t>
            </w:r>
            <w:r w:rsidRPr="002F0E53">
              <w:rPr>
                <w:rFonts w:eastAsiaTheme="minorEastAsia" w:cs="Calibri"/>
                <w:b/>
                <w:color w:val="000000"/>
                <w:lang w:eastAsia="en-AU"/>
              </w:rPr>
              <w:t>21.7)</w:t>
            </w:r>
          </w:p>
        </w:tc>
      </w:tr>
      <w:tr w:rsidR="00B65D14" w:rsidRPr="002F0E53" w:rsidTr="00423972">
        <w:trPr>
          <w:trHeight w:hRule="exact" w:val="120"/>
        </w:trPr>
        <w:tc>
          <w:tcPr>
            <w:tcW w:w="7760" w:type="dxa"/>
            <w:gridSpan w:val="4"/>
            <w:tcBorders>
              <w:top w:val="nil"/>
              <w:left w:val="nil"/>
              <w:bottom w:val="nil"/>
              <w:right w:val="nil"/>
            </w:tcBorders>
            <w:shd w:val="solid" w:color="FFFFFF" w:fill="auto"/>
          </w:tcPr>
          <w:p w:rsidR="00B65D14" w:rsidRPr="002F0E53" w:rsidRDefault="00B65D14" w:rsidP="00016914">
            <w:pPr>
              <w:pStyle w:val="TableofFigures"/>
              <w:rPr>
                <w:rFonts w:eastAsiaTheme="minorEastAsia"/>
                <w:b/>
                <w:bCs/>
                <w:lang w:eastAsia="en-AU"/>
              </w:rPr>
            </w:pPr>
          </w:p>
        </w:tc>
      </w:tr>
      <w:tr w:rsidR="00B03921" w:rsidRPr="002F0E53" w:rsidTr="00016914">
        <w:tc>
          <w:tcPr>
            <w:tcW w:w="46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receipts</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47 274</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48 198</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2.0</w:t>
            </w:r>
          </w:p>
        </w:tc>
      </w:tr>
      <w:tr w:rsidR="00B65D14" w:rsidRPr="002F0E53" w:rsidTr="00423972">
        <w:trPr>
          <w:trHeight w:hRule="exact" w:val="120"/>
        </w:trPr>
        <w:tc>
          <w:tcPr>
            <w:tcW w:w="7760" w:type="dxa"/>
            <w:gridSpan w:val="4"/>
            <w:tcBorders>
              <w:top w:val="nil"/>
              <w:left w:val="nil"/>
              <w:bottom w:val="nil"/>
              <w:right w:val="nil"/>
            </w:tcBorders>
            <w:shd w:val="solid" w:color="FFFFFF" w:fill="auto"/>
          </w:tcPr>
          <w:p w:rsidR="00B65D14" w:rsidRPr="002F0E53" w:rsidRDefault="00B65D14" w:rsidP="00016914">
            <w:pPr>
              <w:pStyle w:val="TableofFigures"/>
              <w:rPr>
                <w:rFonts w:eastAsiaTheme="minorEastAsia"/>
                <w:lang w:eastAsia="en-AU"/>
              </w:rPr>
            </w:pPr>
          </w:p>
        </w:tc>
      </w:tr>
      <w:tr w:rsidR="00B65D14" w:rsidRPr="002F0E53" w:rsidTr="00423972">
        <w:tc>
          <w:tcPr>
            <w:tcW w:w="7760" w:type="dxa"/>
            <w:gridSpan w:val="4"/>
            <w:tcBorders>
              <w:top w:val="nil"/>
              <w:left w:val="nil"/>
              <w:bottom w:val="nil"/>
              <w:right w:val="nil"/>
            </w:tcBorders>
            <w:shd w:val="solid" w:color="FFFFFF" w:fill="auto"/>
          </w:tcPr>
          <w:p w:rsidR="00B65D14" w:rsidRPr="002F0E53" w:rsidRDefault="00B65D14" w:rsidP="00A857BE">
            <w:pPr>
              <w:pStyle w:val="Tabletext"/>
              <w:rPr>
                <w:rFonts w:eastAsiaTheme="minorEastAsia"/>
                <w:lang w:eastAsia="en-AU"/>
              </w:rPr>
            </w:pPr>
            <w:r w:rsidRPr="002F0E53">
              <w:rPr>
                <w:rFonts w:eastAsiaTheme="minorEastAsia"/>
                <w:b/>
                <w:bCs/>
                <w:lang w:eastAsia="en-AU"/>
              </w:rPr>
              <w:t>Payments</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Special appropriations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3 906</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4 175</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6.9</w:t>
            </w:r>
          </w:p>
        </w:tc>
      </w:tr>
      <w:tr w:rsidR="00A857BE" w:rsidRPr="002F0E53" w:rsidTr="00423972">
        <w:tc>
          <w:tcPr>
            <w:tcW w:w="7760"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lang w:eastAsia="en-AU"/>
              </w:rPr>
            </w:pPr>
            <w:r w:rsidRPr="002F0E53">
              <w:rPr>
                <w:rFonts w:eastAsiaTheme="minorEastAsia"/>
                <w:lang w:eastAsia="en-AU"/>
              </w:rPr>
              <w:t>Appropriations</w:t>
            </w:r>
            <w:r w:rsidRPr="002F0E53">
              <w:rPr>
                <w:rFonts w:eastAsiaTheme="minorEastAsia"/>
                <w:vertAlign w:val="superscript"/>
                <w:lang w:eastAsia="en-AU"/>
              </w:rPr>
              <w:t>(a)</w:t>
            </w:r>
          </w:p>
        </w:tc>
      </w:tr>
      <w:tr w:rsidR="00B03921" w:rsidRPr="002F0E53" w:rsidTr="00016914">
        <w:tc>
          <w:tcPr>
            <w:tcW w:w="4640" w:type="dxa"/>
            <w:tcBorders>
              <w:top w:val="nil"/>
              <w:left w:val="nil"/>
              <w:bottom w:val="nil"/>
              <w:right w:val="nil"/>
            </w:tcBorders>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Provision of outputs </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35 358</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36 782</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4.0</w:t>
            </w:r>
          </w:p>
        </w:tc>
      </w:tr>
      <w:tr w:rsidR="00B03921" w:rsidRPr="002F0E53" w:rsidTr="00016914">
        <w:tc>
          <w:tcPr>
            <w:tcW w:w="4640" w:type="dxa"/>
            <w:tcBorders>
              <w:top w:val="nil"/>
              <w:left w:val="nil"/>
              <w:bottom w:val="nil"/>
              <w:right w:val="nil"/>
            </w:tcBorders>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Additions to the net asset base</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3 131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2 539</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(18.9)</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Payments made on behalf of the State</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3 253</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3 546</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9.0</w:t>
            </w:r>
          </w:p>
        </w:tc>
      </w:tr>
      <w:tr w:rsidR="00A857BE" w:rsidRPr="002F0E53" w:rsidTr="00423972">
        <w:tc>
          <w:tcPr>
            <w:tcW w:w="7760"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lang w:eastAsia="en-AU"/>
              </w:rPr>
            </w:pPr>
            <w:r w:rsidRPr="002F0E53">
              <w:rPr>
                <w:rFonts w:eastAsiaTheme="minorEastAsia"/>
                <w:lang w:eastAsia="en-AU"/>
              </w:rPr>
              <w:t>Receipts credited to appropriation</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Provision of outputs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2 045</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2 314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13.2</w:t>
            </w:r>
          </w:p>
        </w:tc>
      </w:tr>
      <w:tr w:rsidR="00B03921" w:rsidRPr="002F0E53" w:rsidTr="00016914">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Additions to the net asset base</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794</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155</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(80.5)</w:t>
            </w:r>
          </w:p>
        </w:tc>
      </w:tr>
      <w:tr w:rsidR="00B03921" w:rsidRPr="002F0E53" w:rsidTr="00016914">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Sub total</w:t>
            </w:r>
          </w:p>
        </w:tc>
        <w:tc>
          <w:tcPr>
            <w:tcW w:w="1040"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48 488</w:t>
            </w:r>
          </w:p>
        </w:tc>
        <w:tc>
          <w:tcPr>
            <w:tcW w:w="1040" w:type="dxa"/>
            <w:tcBorders>
              <w:top w:val="single" w:sz="6" w:space="0" w:color="auto"/>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49 511</w:t>
            </w:r>
          </w:p>
        </w:tc>
        <w:tc>
          <w:tcPr>
            <w:tcW w:w="1040"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2.1</w:t>
            </w:r>
          </w:p>
        </w:tc>
      </w:tr>
      <w:tr w:rsidR="00B03921" w:rsidRPr="002F0E53" w:rsidTr="00016914">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Appropriations remaining unspent</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Pr>
                <w:rFonts w:eastAsiaTheme="minorEastAsia"/>
                <w:lang w:eastAsia="en-AU"/>
              </w:rPr>
              <w:t>(643)</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Pr>
                <w:rFonts w:eastAsiaTheme="minorEastAsia"/>
                <w:lang w:eastAsia="en-AU"/>
              </w:rPr>
              <w:t>(571)</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w:t>
            </w:r>
            <w:r w:rsidRPr="002F0E53">
              <w:rPr>
                <w:rFonts w:eastAsiaTheme="minorEastAsia" w:cs="Calibri"/>
                <w:color w:val="000000"/>
                <w:lang w:eastAsia="en-AU"/>
              </w:rPr>
              <w:t>11.2)</w:t>
            </w:r>
          </w:p>
        </w:tc>
      </w:tr>
      <w:tr w:rsidR="00B03921" w:rsidRPr="002F0E53" w:rsidTr="00016914">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payments</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47 845</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48 941</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2.3</w:t>
            </w:r>
          </w:p>
        </w:tc>
      </w:tr>
      <w:tr w:rsidR="00B03921" w:rsidRPr="002F0E53" w:rsidTr="00016914">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Net receipts/(payments)</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(571)</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(743)</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30.2</w:t>
            </w:r>
          </w:p>
        </w:tc>
      </w:tr>
      <w:tr w:rsidR="00B03921" w:rsidRPr="002F0E53" w:rsidTr="00016914">
        <w:tc>
          <w:tcPr>
            <w:tcW w:w="4640" w:type="dxa"/>
            <w:tcBorders>
              <w:top w:val="single" w:sz="6" w:space="0" w:color="auto"/>
              <w:left w:val="nil"/>
              <w:bottom w:val="single" w:sz="6" w:space="0" w:color="auto"/>
              <w:right w:val="nil"/>
            </w:tcBorders>
            <w:shd w:val="solid" w:color="FFFFFF" w:fill="auto"/>
          </w:tcPr>
          <w:p w:rsidR="00B03921" w:rsidRPr="002F0E53" w:rsidRDefault="00B03921" w:rsidP="00A857BE">
            <w:pPr>
              <w:pStyle w:val="Tabletext"/>
              <w:rPr>
                <w:rFonts w:eastAsiaTheme="minorEastAsia"/>
                <w:b/>
                <w:bCs/>
                <w:vertAlign w:val="superscript"/>
                <w:lang w:eastAsia="en-AU"/>
              </w:rPr>
            </w:pPr>
            <w:r w:rsidRPr="002F0E53">
              <w:rPr>
                <w:rFonts w:eastAsiaTheme="minorEastAsia"/>
                <w:b/>
                <w:bCs/>
                <w:lang w:eastAsia="en-AU"/>
              </w:rPr>
              <w:t>Opening balance 1 July</w:t>
            </w:r>
            <w:r w:rsidRPr="002F0E53">
              <w:rPr>
                <w:rFonts w:eastAsiaTheme="minorEastAsia"/>
                <w:b/>
                <w:bCs/>
                <w:vertAlign w:val="superscript"/>
                <w:lang w:eastAsia="en-AU"/>
              </w:rPr>
              <w:t>(b)</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(217)</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(57)</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 xml:space="preserve"> (</w:t>
            </w:r>
            <w:r w:rsidRPr="002F0E53">
              <w:rPr>
                <w:rFonts w:eastAsiaTheme="minorEastAsia" w:cs="Calibri"/>
                <w:b/>
                <w:bCs/>
                <w:color w:val="000000"/>
                <w:lang w:eastAsia="en-AU"/>
              </w:rPr>
              <w:t>73.6)</w:t>
            </w:r>
          </w:p>
        </w:tc>
      </w:tr>
      <w:tr w:rsidR="00B03921" w:rsidRPr="002F0E53" w:rsidTr="00016914">
        <w:tc>
          <w:tcPr>
            <w:tcW w:w="46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Estimated closing balance 30 June </w:t>
            </w:r>
          </w:p>
        </w:tc>
        <w:tc>
          <w:tcPr>
            <w:tcW w:w="1040" w:type="dxa"/>
            <w:tcBorders>
              <w:top w:val="single" w:sz="6" w:space="0" w:color="auto"/>
              <w:left w:val="nil"/>
              <w:bottom w:val="single" w:sz="12" w:space="0" w:color="000000"/>
              <w:right w:val="nil"/>
            </w:tcBorders>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(788)</w:t>
            </w:r>
          </w:p>
        </w:tc>
        <w:tc>
          <w:tcPr>
            <w:tcW w:w="10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Pr>
                <w:rFonts w:eastAsiaTheme="minorEastAsia"/>
                <w:b/>
                <w:bCs/>
                <w:lang w:eastAsia="en-AU"/>
              </w:rPr>
              <w:t>(800)</w:t>
            </w:r>
          </w:p>
        </w:tc>
        <w:tc>
          <w:tcPr>
            <w:tcW w:w="1040" w:type="dxa"/>
            <w:tcBorders>
              <w:top w:val="single" w:sz="6" w:space="0" w:color="auto"/>
              <w:left w:val="nil"/>
              <w:bottom w:val="single" w:sz="12" w:space="0" w:color="000000"/>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1.6</w:t>
            </w:r>
          </w:p>
        </w:tc>
      </w:tr>
    </w:tbl>
    <w:p w:rsidR="00B03921" w:rsidRDefault="00B03921" w:rsidP="00016914">
      <w:pPr>
        <w:pStyle w:val="Source"/>
      </w:pPr>
      <w:r>
        <w:t>Source: Department of Treasury and Finance</w:t>
      </w:r>
    </w:p>
    <w:p w:rsidR="00B03921" w:rsidRDefault="00B03921" w:rsidP="00016914">
      <w:pPr>
        <w:pStyle w:val="Notes"/>
      </w:pPr>
      <w:r>
        <w:t>Notes:</w:t>
      </w:r>
    </w:p>
    <w:p w:rsidR="00B03921" w:rsidRDefault="00B03921" w:rsidP="00016914">
      <w:pPr>
        <w:pStyle w:val="Notes"/>
      </w:pPr>
      <w:r>
        <w:t>(a)</w:t>
      </w:r>
      <w:r>
        <w:tab/>
        <w:t>Includes unapplied appropriations carried over from the previous year.</w:t>
      </w:r>
    </w:p>
    <w:p w:rsidR="00B03921" w:rsidRPr="00F71338" w:rsidRDefault="00B03921" w:rsidP="00016914">
      <w:pPr>
        <w:pStyle w:val="Notes"/>
      </w:pPr>
      <w:r>
        <w:t xml:space="preserve">(b) </w:t>
      </w:r>
      <w:r>
        <w:tab/>
        <w:t xml:space="preserve">The opening balance of cash and deposits for the </w:t>
      </w:r>
      <w:r w:rsidRPr="00F205BF">
        <w:rPr>
          <w:i w:val="0"/>
        </w:rPr>
        <w:t>2015</w:t>
      </w:r>
      <w:r>
        <w:rPr>
          <w:i w:val="0"/>
        </w:rPr>
        <w:noBreakHyphen/>
      </w:r>
      <w:r w:rsidRPr="00F205BF">
        <w:rPr>
          <w:i w:val="0"/>
        </w:rPr>
        <w:t>16 Budget</w:t>
      </w:r>
      <w:r>
        <w:t xml:space="preserve"> is based on the 2014</w:t>
      </w:r>
      <w:r>
        <w:noBreakHyphen/>
        <w:t>15 actual opening balance plus the estimated movements for the 2014</w:t>
      </w:r>
      <w:r>
        <w:noBreakHyphen/>
        <w:t>15 revised budget (see Appendix B Note 18(a)).</w:t>
      </w:r>
    </w:p>
    <w:p w:rsidR="00B03921" w:rsidRDefault="00B03921" w:rsidP="00016914"/>
    <w:p w:rsidR="00B03921" w:rsidRDefault="00B03921">
      <w:pPr>
        <w:spacing w:after="0"/>
        <w:rPr>
          <w:rFonts w:ascii="Calibri" w:hAnsi="Calibri"/>
          <w:b/>
        </w:rPr>
      </w:pPr>
      <w:r>
        <w:br w:type="page"/>
      </w:r>
    </w:p>
    <w:p w:rsidR="00B03921" w:rsidRPr="00E96994" w:rsidRDefault="00B03921" w:rsidP="00016914">
      <w:pPr>
        <w:pStyle w:val="Tableheading"/>
      </w:pPr>
      <w:r w:rsidRPr="00F71338">
        <w:t>Table A.2:</w:t>
      </w:r>
      <w:r w:rsidRPr="00F71338">
        <w:tab/>
        <w:t>Consolidated Fund receipts</w:t>
      </w:r>
      <w:r w:rsidRPr="00591AF0">
        <w:rPr>
          <w:vertAlign w:val="superscript"/>
        </w:rPr>
        <w:t>(a)</w:t>
      </w:r>
      <w:r>
        <w:rPr>
          <w:vertAlign w:val="superscript"/>
        </w:rPr>
        <w:t>(b)</w:t>
      </w:r>
    </w:p>
    <w:p w:rsidR="00B03921" w:rsidRPr="002F0E53" w:rsidRDefault="00B03921" w:rsidP="00016914">
      <w:pPr>
        <w:pStyle w:val="million"/>
        <w:rPr>
          <w:rFonts w:ascii="Times New Roman" w:hAnsi="Times New Roman"/>
          <w:i w:val="0"/>
          <w:sz w:val="20"/>
          <w:szCs w:val="20"/>
          <w:lang w:eastAsia="en-AU"/>
        </w:rPr>
      </w:pPr>
      <w:r>
        <w:t>($ thousand)</w:t>
      </w:r>
      <w:r w:rsidRPr="00F205BF">
        <w:t xml:space="preserve"> </w:t>
      </w:r>
    </w:p>
    <w:tbl>
      <w:tblPr>
        <w:tblW w:w="7761"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1"/>
      </w:tblGrid>
      <w:tr w:rsidR="00A857BE" w:rsidRPr="002F0E53" w:rsidTr="00423972">
        <w:trPr>
          <w:trHeight w:val="503"/>
          <w:tblHeader/>
        </w:trPr>
        <w:tc>
          <w:tcPr>
            <w:tcW w:w="4640" w:type="dxa"/>
            <w:tcBorders>
              <w:top w:val="single" w:sz="6" w:space="0" w:color="000000"/>
              <w:left w:val="single" w:sz="6" w:space="0" w:color="000000"/>
              <w:right w:val="nil"/>
            </w:tcBorders>
            <w:shd w:val="clear" w:color="000000" w:fill="000000"/>
          </w:tcPr>
          <w:p w:rsidR="00A857BE" w:rsidRPr="002F0E53" w:rsidRDefault="00A857BE" w:rsidP="00016914">
            <w:pPr>
              <w:pStyle w:val="Tabletext"/>
              <w:rPr>
                <w:rFonts w:eastAsiaTheme="minorEastAsia"/>
                <w:lang w:eastAsia="en-AU"/>
              </w:rPr>
            </w:pPr>
          </w:p>
        </w:tc>
        <w:tc>
          <w:tcPr>
            <w:tcW w:w="1040" w:type="dxa"/>
            <w:tcBorders>
              <w:top w:val="single" w:sz="6" w:space="0" w:color="000000"/>
              <w:left w:val="nil"/>
              <w:right w:val="nil"/>
            </w:tcBorders>
            <w:shd w:val="clear" w:color="000000" w:fill="000000"/>
          </w:tcPr>
          <w:p w:rsidR="00A857BE" w:rsidRPr="002F0E53" w:rsidRDefault="00A857BE" w:rsidP="00A857BE">
            <w:pPr>
              <w:pStyle w:val="Tabletextheading"/>
              <w:rPr>
                <w:rFonts w:eastAsiaTheme="minorEastAsia"/>
                <w:iCs/>
                <w:color w:val="FFFFFF"/>
                <w:lang w:eastAsia="en-AU"/>
              </w:rPr>
            </w:pPr>
            <w:r w:rsidRPr="002F0E53">
              <w:rPr>
                <w:rFonts w:eastAsiaTheme="minorEastAsia"/>
                <w:iCs/>
                <w:color w:val="FFFFFF"/>
                <w:lang w:eastAsia="en-AU"/>
              </w:rPr>
              <w:t>2014-15</w:t>
            </w:r>
            <w:r>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000000"/>
              <w:left w:val="nil"/>
              <w:right w:val="nil"/>
            </w:tcBorders>
            <w:shd w:val="clear" w:color="000000" w:fill="000000"/>
          </w:tcPr>
          <w:p w:rsidR="00A857BE" w:rsidRPr="002F0E53" w:rsidRDefault="00A857BE" w:rsidP="00A857BE">
            <w:pPr>
              <w:pStyle w:val="Tabletextheading"/>
              <w:rPr>
                <w:rFonts w:eastAsiaTheme="minorEastAsia"/>
                <w:iCs/>
                <w:color w:val="FFFFFF"/>
                <w:lang w:eastAsia="en-AU"/>
              </w:rPr>
            </w:pPr>
            <w:r w:rsidRPr="002F0E53">
              <w:rPr>
                <w:rFonts w:eastAsiaTheme="minorEastAsia"/>
                <w:iCs/>
                <w:color w:val="FFFFFF"/>
                <w:lang w:eastAsia="en-AU"/>
              </w:rPr>
              <w:t>2015-16</w:t>
            </w:r>
            <w:r>
              <w:rPr>
                <w:rFonts w:eastAsiaTheme="minorEastAsia"/>
                <w:iCs/>
                <w:color w:val="FFFFFF"/>
                <w:lang w:eastAsia="en-AU"/>
              </w:rPr>
              <w:t xml:space="preserve"> </w:t>
            </w:r>
            <w:r w:rsidRPr="002F0E53">
              <w:rPr>
                <w:rFonts w:eastAsiaTheme="minorEastAsia"/>
                <w:iCs/>
                <w:color w:val="FFFFFF"/>
                <w:lang w:eastAsia="en-AU"/>
              </w:rPr>
              <w:t>budget</w:t>
            </w:r>
          </w:p>
        </w:tc>
        <w:tc>
          <w:tcPr>
            <w:tcW w:w="1041" w:type="dxa"/>
            <w:tcBorders>
              <w:top w:val="single" w:sz="6" w:space="0" w:color="000000"/>
              <w:left w:val="nil"/>
              <w:right w:val="single" w:sz="6" w:space="0" w:color="000000"/>
            </w:tcBorders>
            <w:shd w:val="clear" w:color="000000" w:fill="000000"/>
          </w:tcPr>
          <w:p w:rsidR="00A857BE" w:rsidRPr="002F0E53" w:rsidRDefault="00A857BE" w:rsidP="00A857BE">
            <w:pPr>
              <w:pStyle w:val="Tabletextheading"/>
              <w:rPr>
                <w:rFonts w:eastAsiaTheme="minorEastAsia"/>
                <w:iCs/>
                <w:color w:val="FFFFFF"/>
                <w:lang w:eastAsia="en-AU"/>
              </w:rPr>
            </w:pPr>
            <w:r>
              <w:rPr>
                <w:rFonts w:eastAsiaTheme="minorEastAsia"/>
                <w:iCs/>
                <w:color w:val="FFFFFF"/>
                <w:lang w:eastAsia="en-AU"/>
              </w:rPr>
              <w:t>v</w:t>
            </w:r>
            <w:r w:rsidRPr="002F0E53">
              <w:rPr>
                <w:rFonts w:eastAsiaTheme="minorEastAsia"/>
                <w:iCs/>
                <w:color w:val="FFFFFF"/>
                <w:lang w:eastAsia="en-AU"/>
              </w:rPr>
              <w:t>ariation</w:t>
            </w:r>
            <w:r>
              <w:rPr>
                <w:rFonts w:eastAsiaTheme="minorEastAsia"/>
                <w:iCs/>
                <w:color w:val="FFFFFF"/>
                <w:lang w:eastAsia="en-AU"/>
              </w:rPr>
              <w:br/>
            </w:r>
            <w:r w:rsidRPr="002F0E53">
              <w:rPr>
                <w:rFonts w:eastAsiaTheme="minorEastAsia"/>
                <w:iCs/>
                <w:color w:val="FFFFFF"/>
                <w:lang w:eastAsia="en-AU"/>
              </w:rPr>
              <w:t>%</w:t>
            </w:r>
          </w:p>
        </w:tc>
      </w:tr>
      <w:tr w:rsidR="00A857BE" w:rsidRPr="002F0E53" w:rsidTr="00423972">
        <w:tc>
          <w:tcPr>
            <w:tcW w:w="7761" w:type="dxa"/>
            <w:gridSpan w:val="4"/>
            <w:tcBorders>
              <w:top w:val="single" w:sz="6" w:space="0" w:color="000000"/>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Operating receipts</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Taxation</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Payroll tax</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5 682 505</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5 984 518</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5.3</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Land tax</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1 903 600</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1 769 720</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(7.0)</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Fire Services Property Levy</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626 451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627 904</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0.2</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Congestion levy</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122 336</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120 234</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(1.7)</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lang w:eastAsia="en-AU"/>
              </w:rPr>
            </w:pPr>
            <w:r w:rsidRPr="002F0E53">
              <w:rPr>
                <w:rFonts w:eastAsiaTheme="minorEastAsia"/>
                <w:lang w:eastAsia="en-AU"/>
              </w:rPr>
              <w:t>Duties from financial and capital transactions</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Land transfer duty</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4 615 302</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5 195 757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12.6</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Other duties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2 897</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1 829</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(36.9)</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Growth areas infrastructure contribution</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30 511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75 305</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146.8</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Financial accommodation levy</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151 001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151 367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0.2</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Levies on statutory corporations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112 509</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111 963</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(0.5)</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Gambling taxes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1 737 505</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1 767 599</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1.7</w:t>
            </w:r>
          </w:p>
        </w:tc>
      </w:tr>
      <w:tr w:rsidR="00B03921" w:rsidRPr="002F0E53" w:rsidTr="00A857BE">
        <w:tc>
          <w:tcPr>
            <w:tcW w:w="4640" w:type="dxa"/>
            <w:tcBorders>
              <w:top w:val="nil"/>
              <w:left w:val="nil"/>
              <w:bottom w:val="nil"/>
              <w:right w:val="nil"/>
            </w:tcBorders>
            <w:shd w:val="solid" w:color="FFFFFF" w:fill="auto"/>
          </w:tcPr>
          <w:p w:rsidR="00B03921" w:rsidRPr="00FE4D6D" w:rsidRDefault="00B03921" w:rsidP="00016914">
            <w:pPr>
              <w:pStyle w:val="Tabletext"/>
              <w:rPr>
                <w:rFonts w:eastAsiaTheme="minorEastAsia"/>
                <w:lang w:eastAsia="en-AU"/>
              </w:rPr>
            </w:pPr>
            <w:r w:rsidRPr="00FE4D6D">
              <w:rPr>
                <w:rFonts w:eastAsiaTheme="minorEastAsia"/>
                <w:lang w:eastAsia="en-AU"/>
              </w:rPr>
              <w:t>Insurance</w:t>
            </w:r>
          </w:p>
        </w:tc>
        <w:tc>
          <w:tcPr>
            <w:tcW w:w="1040" w:type="dxa"/>
            <w:tcBorders>
              <w:top w:val="nil"/>
              <w:left w:val="nil"/>
              <w:bottom w:val="nil"/>
              <w:right w:val="nil"/>
            </w:tcBorders>
          </w:tcPr>
          <w:p w:rsidR="00B03921" w:rsidRPr="00FE4D6D" w:rsidRDefault="00B03921" w:rsidP="00016914">
            <w:pPr>
              <w:pStyle w:val="TableofFigures"/>
              <w:rPr>
                <w:rFonts w:eastAsiaTheme="minorEastAsia"/>
                <w:lang w:eastAsia="en-AU"/>
              </w:rPr>
            </w:pPr>
            <w:r w:rsidRPr="00FE4D6D">
              <w:rPr>
                <w:rFonts w:eastAsiaTheme="minorEastAsia"/>
                <w:lang w:eastAsia="en-AU"/>
              </w:rPr>
              <w:t>1 094 410</w:t>
            </w:r>
          </w:p>
        </w:tc>
        <w:tc>
          <w:tcPr>
            <w:tcW w:w="1040" w:type="dxa"/>
            <w:tcBorders>
              <w:top w:val="nil"/>
              <w:left w:val="nil"/>
              <w:bottom w:val="nil"/>
              <w:right w:val="nil"/>
            </w:tcBorders>
          </w:tcPr>
          <w:p w:rsidR="00B03921" w:rsidRPr="00FE4D6D" w:rsidRDefault="00B03921" w:rsidP="00016914">
            <w:pPr>
              <w:pStyle w:val="TableofFigures"/>
              <w:rPr>
                <w:rFonts w:eastAsiaTheme="minorEastAsia"/>
                <w:lang w:eastAsia="en-AU"/>
              </w:rPr>
            </w:pPr>
            <w:r w:rsidRPr="00FE4D6D">
              <w:rPr>
                <w:rFonts w:eastAsiaTheme="minorEastAsia"/>
                <w:lang w:eastAsia="en-AU"/>
              </w:rPr>
              <w:t>1 156 247</w:t>
            </w:r>
          </w:p>
        </w:tc>
        <w:tc>
          <w:tcPr>
            <w:tcW w:w="1041" w:type="dxa"/>
            <w:tcBorders>
              <w:top w:val="nil"/>
              <w:left w:val="nil"/>
              <w:bottom w:val="nil"/>
              <w:right w:val="nil"/>
            </w:tcBorders>
            <w:shd w:val="solid" w:color="FFFFFF" w:fill="auto"/>
          </w:tcPr>
          <w:p w:rsidR="00B03921" w:rsidRPr="00FE4D6D" w:rsidRDefault="00B03921" w:rsidP="00016914">
            <w:pPr>
              <w:pStyle w:val="TableofFigures"/>
              <w:rPr>
                <w:rFonts w:eastAsiaTheme="minorEastAsia"/>
                <w:lang w:eastAsia="en-AU"/>
              </w:rPr>
            </w:pPr>
            <w:r w:rsidRPr="00FE4D6D">
              <w:rPr>
                <w:rFonts w:eastAsiaTheme="minorEastAsia"/>
                <w:lang w:eastAsia="en-AU"/>
              </w:rPr>
              <w:t>5.7</w:t>
            </w:r>
          </w:p>
        </w:tc>
      </w:tr>
      <w:tr w:rsidR="00A857BE" w:rsidRPr="002F0E53" w:rsidTr="00423972">
        <w:tc>
          <w:tcPr>
            <w:tcW w:w="7761" w:type="dxa"/>
            <w:gridSpan w:val="4"/>
            <w:tcBorders>
              <w:top w:val="nil"/>
              <w:left w:val="nil"/>
              <w:bottom w:val="nil"/>
              <w:right w:val="nil"/>
            </w:tcBorders>
            <w:shd w:val="solid" w:color="FFFFFF" w:fill="auto"/>
          </w:tcPr>
          <w:p w:rsidR="00A857BE" w:rsidRPr="00FE4D6D" w:rsidRDefault="00A857BE" w:rsidP="00A857BE">
            <w:pPr>
              <w:pStyle w:val="Tabletext"/>
              <w:rPr>
                <w:rFonts w:eastAsiaTheme="minorEastAsia"/>
                <w:lang w:eastAsia="en-AU"/>
              </w:rPr>
            </w:pPr>
            <w:r w:rsidRPr="00FE4D6D">
              <w:rPr>
                <w:rFonts w:eastAsiaTheme="minorEastAsia"/>
                <w:lang w:eastAsia="en-AU"/>
              </w:rPr>
              <w:t>Motor vehicle</w:t>
            </w:r>
          </w:p>
        </w:tc>
      </w:tr>
      <w:tr w:rsidR="00B03921" w:rsidRPr="00FE4D6D" w:rsidTr="00A857BE">
        <w:tc>
          <w:tcPr>
            <w:tcW w:w="4640" w:type="dxa"/>
            <w:tcBorders>
              <w:top w:val="nil"/>
              <w:left w:val="nil"/>
              <w:bottom w:val="nil"/>
              <w:right w:val="nil"/>
            </w:tcBorders>
            <w:shd w:val="solid" w:color="FFFFFF" w:fill="auto"/>
          </w:tcPr>
          <w:p w:rsidR="00B03921" w:rsidRPr="00BF58BA" w:rsidRDefault="00B03921" w:rsidP="00016914">
            <w:pPr>
              <w:pStyle w:val="Tabletext"/>
              <w:rPr>
                <w:rFonts w:eastAsiaTheme="minorEastAsia"/>
                <w:i/>
                <w:lang w:eastAsia="en-AU"/>
              </w:rPr>
            </w:pPr>
            <w:r w:rsidRPr="00FE4D6D">
              <w:rPr>
                <w:rFonts w:eastAsiaTheme="minorEastAsia"/>
                <w:lang w:eastAsia="en-AU"/>
              </w:rPr>
              <w:t xml:space="preserve">    </w:t>
            </w:r>
            <w:r w:rsidRPr="00BF58BA">
              <w:rPr>
                <w:rFonts w:eastAsiaTheme="minorEastAsia"/>
                <w:i/>
                <w:lang w:eastAsia="en-AU"/>
              </w:rPr>
              <w:t>Road Safety Act (Registration Fees) 1986</w:t>
            </w:r>
          </w:p>
        </w:tc>
        <w:tc>
          <w:tcPr>
            <w:tcW w:w="1040" w:type="dxa"/>
            <w:tcBorders>
              <w:top w:val="nil"/>
              <w:left w:val="nil"/>
              <w:bottom w:val="nil"/>
              <w:right w:val="nil"/>
            </w:tcBorders>
          </w:tcPr>
          <w:p w:rsidR="00B03921" w:rsidRPr="00FE4D6D" w:rsidRDefault="00B03921" w:rsidP="00016914">
            <w:pPr>
              <w:pStyle w:val="TableofFigures"/>
              <w:rPr>
                <w:rFonts w:eastAsiaTheme="minorEastAsia"/>
                <w:lang w:eastAsia="en-AU"/>
              </w:rPr>
            </w:pPr>
            <w:r w:rsidRPr="00FE4D6D">
              <w:rPr>
                <w:rFonts w:eastAsiaTheme="minorEastAsia"/>
                <w:lang w:eastAsia="en-AU"/>
              </w:rPr>
              <w:t>1 429 727</w:t>
            </w:r>
          </w:p>
        </w:tc>
        <w:tc>
          <w:tcPr>
            <w:tcW w:w="1040" w:type="dxa"/>
            <w:tcBorders>
              <w:top w:val="nil"/>
              <w:left w:val="nil"/>
              <w:bottom w:val="nil"/>
              <w:right w:val="nil"/>
            </w:tcBorders>
          </w:tcPr>
          <w:p w:rsidR="00B03921" w:rsidRPr="00FE4D6D" w:rsidRDefault="00B03921" w:rsidP="00016914">
            <w:pPr>
              <w:pStyle w:val="TableofFigures"/>
              <w:rPr>
                <w:rFonts w:eastAsiaTheme="minorEastAsia"/>
                <w:lang w:eastAsia="en-AU"/>
              </w:rPr>
            </w:pPr>
            <w:r w:rsidRPr="00FE4D6D">
              <w:rPr>
                <w:rFonts w:eastAsiaTheme="minorEastAsia"/>
                <w:lang w:eastAsia="en-AU"/>
              </w:rPr>
              <w:t>1 468 561</w:t>
            </w:r>
          </w:p>
        </w:tc>
        <w:tc>
          <w:tcPr>
            <w:tcW w:w="1041" w:type="dxa"/>
            <w:tcBorders>
              <w:top w:val="nil"/>
              <w:left w:val="nil"/>
              <w:bottom w:val="nil"/>
              <w:right w:val="nil"/>
            </w:tcBorders>
            <w:shd w:val="solid" w:color="FFFFFF" w:fill="auto"/>
          </w:tcPr>
          <w:p w:rsidR="00B03921" w:rsidRPr="00FE4D6D" w:rsidRDefault="00B03921" w:rsidP="00016914">
            <w:pPr>
              <w:pStyle w:val="TableofFigures"/>
              <w:rPr>
                <w:rFonts w:eastAsiaTheme="minorEastAsia"/>
                <w:lang w:eastAsia="en-AU"/>
              </w:rPr>
            </w:pPr>
            <w:r w:rsidRPr="00FE4D6D">
              <w:rPr>
                <w:rFonts w:eastAsiaTheme="minorEastAsia"/>
                <w:lang w:eastAsia="en-AU"/>
              </w:rPr>
              <w:t>2.7</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Duty on vehicle registrations and transfers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713 990</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743 287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4.1</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Liquor licence fees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22 434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21 936</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(2.2)</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Other taxes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110 030</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127 288</w:t>
            </w:r>
          </w:p>
        </w:tc>
        <w:tc>
          <w:tcPr>
            <w:tcW w:w="1041"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15.7</w:t>
            </w:r>
          </w:p>
        </w:tc>
      </w:tr>
      <w:tr w:rsidR="00B03921" w:rsidRPr="002F0E53" w:rsidTr="00A857BE">
        <w:tc>
          <w:tcPr>
            <w:tcW w:w="4640"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w:t>
            </w:r>
          </w:p>
        </w:tc>
        <w:tc>
          <w:tcPr>
            <w:tcW w:w="1040"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18 355 208</w:t>
            </w:r>
          </w:p>
        </w:tc>
        <w:tc>
          <w:tcPr>
            <w:tcW w:w="1040" w:type="dxa"/>
            <w:tcBorders>
              <w:top w:val="single" w:sz="6" w:space="0" w:color="auto"/>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19 323 516</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5.3</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Fines and regulatory fees</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Fines </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384 361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349 056</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(9.2)</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Regulatory fees </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472 354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538 171</w:t>
            </w:r>
          </w:p>
        </w:tc>
        <w:tc>
          <w:tcPr>
            <w:tcW w:w="1041"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13.9</w:t>
            </w:r>
          </w:p>
        </w:tc>
      </w:tr>
      <w:tr w:rsidR="00B03921" w:rsidRPr="002F0E53" w:rsidTr="00A857BE">
        <w:tc>
          <w:tcPr>
            <w:tcW w:w="4640"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w:t>
            </w:r>
          </w:p>
        </w:tc>
        <w:tc>
          <w:tcPr>
            <w:tcW w:w="1040"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856 715</w:t>
            </w:r>
          </w:p>
        </w:tc>
        <w:tc>
          <w:tcPr>
            <w:tcW w:w="1040" w:type="dxa"/>
            <w:tcBorders>
              <w:top w:val="single" w:sz="6" w:space="0" w:color="auto"/>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887 227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3.6</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Grants received</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 xml:space="preserve">   </w:t>
            </w:r>
            <w:r>
              <w:rPr>
                <w:rFonts w:eastAsiaTheme="minorEastAsia"/>
                <w:b/>
                <w:bCs/>
                <w:lang w:eastAsia="en-AU"/>
              </w:rPr>
              <w:t xml:space="preserve"> Grants received by department</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Department of Economic Development, Jobs, Transport and Resources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6 250</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A857BE">
              <w:rPr>
                <w:rFonts w:eastAsiaTheme="minorEastAsia"/>
                <w:lang w:eastAsia="en-AU"/>
              </w:rPr>
              <w:t>.</w:t>
            </w:r>
            <w:r w:rsidRPr="002F0E53">
              <w:rPr>
                <w:rFonts w:eastAsiaTheme="minorEastAsia"/>
                <w:lang w:eastAsia="en-AU"/>
              </w:rPr>
              <w:t>a</w:t>
            </w:r>
            <w:r w:rsidR="00A857BE">
              <w:rPr>
                <w:rFonts w:eastAsiaTheme="minorEastAsia"/>
                <w:lang w:eastAsia="en-AU"/>
              </w:rPr>
              <w:t>.</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Department of Enviro</w:t>
            </w:r>
            <w:r w:rsidR="00A857BE">
              <w:rPr>
                <w:rFonts w:eastAsiaTheme="minorEastAsia"/>
                <w:lang w:eastAsia="en-AU"/>
              </w:rPr>
              <w:t>nment, Land, Water and Planning</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24 854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34 373</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38.3</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Department of Health and Human Services </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25 304</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39 698</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56.9</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cs="Calibri"/>
                <w:lang w:eastAsia="en-AU"/>
              </w:rPr>
            </w:pPr>
            <w:r w:rsidRPr="002F0E53">
              <w:rPr>
                <w:rFonts w:eastAsiaTheme="minorEastAsia"/>
                <w:lang w:eastAsia="en-AU"/>
              </w:rPr>
              <w:t xml:space="preserve">    Department of Justice and Regulation</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5 314</w:t>
            </w:r>
          </w:p>
        </w:tc>
        <w:tc>
          <w:tcPr>
            <w:tcW w:w="1040" w:type="dxa"/>
            <w:tcBorders>
              <w:top w:val="nil"/>
              <w:left w:val="nil"/>
              <w:bottom w:val="nil"/>
              <w:right w:val="nil"/>
            </w:tcBorders>
          </w:tcPr>
          <w:p w:rsidR="00B03921" w:rsidRPr="002F0E53" w:rsidRDefault="00B03921" w:rsidP="00016914">
            <w:pPr>
              <w:pStyle w:val="TableofFigures"/>
              <w:rPr>
                <w:rFonts w:eastAsiaTheme="minorEastAsia" w:cs="Calibri"/>
                <w:lang w:eastAsia="en-AU"/>
              </w:rPr>
            </w:pPr>
            <w:r w:rsidRPr="002F0E53">
              <w:rPr>
                <w:rFonts w:eastAsiaTheme="minorEastAsia"/>
                <w:lang w:eastAsia="en-AU"/>
              </w:rPr>
              <w:t xml:space="preserve"> 3 </w:t>
            </w:r>
            <w:r w:rsidRPr="002F0E53">
              <w:rPr>
                <w:rFonts w:eastAsiaTheme="minorEastAsia" w:cs="Calibri"/>
                <w:lang w:eastAsia="en-AU"/>
              </w:rPr>
              <w:t>214</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lang w:eastAsia="en-AU"/>
              </w:rPr>
            </w:pPr>
            <w:r w:rsidRPr="002F0E53">
              <w:rPr>
                <w:rFonts w:eastAsiaTheme="minorEastAsia"/>
                <w:lang w:eastAsia="en-AU"/>
              </w:rPr>
              <w:t xml:space="preserve"> (</w:t>
            </w:r>
            <w:r w:rsidRPr="002F0E53">
              <w:rPr>
                <w:rFonts w:eastAsiaTheme="minorEastAsia" w:cs="Calibri"/>
                <w:lang w:eastAsia="en-AU"/>
              </w:rPr>
              <w:t>39.5)</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Department of Treasury and Finance</w:t>
            </w:r>
          </w:p>
        </w:tc>
        <w:tc>
          <w:tcPr>
            <w:tcW w:w="1040" w:type="dxa"/>
            <w:tcBorders>
              <w:top w:val="nil"/>
              <w:left w:val="nil"/>
              <w:bottom w:val="nil"/>
              <w:right w:val="nil"/>
            </w:tcBorders>
          </w:tcPr>
          <w:p w:rsidR="00B03921" w:rsidRPr="002F0E53" w:rsidRDefault="00B03921" w:rsidP="00016914">
            <w:pPr>
              <w:pStyle w:val="TableofFigures"/>
              <w:rPr>
                <w:rFonts w:eastAsiaTheme="minorEastAsia" w:cs="Calibri"/>
                <w:lang w:eastAsia="en-AU"/>
              </w:rPr>
            </w:pPr>
            <w:r w:rsidRPr="002F0E53">
              <w:rPr>
                <w:rFonts w:eastAsiaTheme="minorEastAsia"/>
                <w:lang w:eastAsia="en-AU"/>
              </w:rPr>
              <w:t>17 110 206</w:t>
            </w:r>
          </w:p>
        </w:tc>
        <w:tc>
          <w:tcPr>
            <w:tcW w:w="1040" w:type="dxa"/>
            <w:tcBorders>
              <w:top w:val="nil"/>
              <w:left w:val="nil"/>
              <w:bottom w:val="nil"/>
              <w:right w:val="nil"/>
            </w:tcBorders>
          </w:tcPr>
          <w:p w:rsidR="00B03921" w:rsidRPr="002F0E53" w:rsidRDefault="00B03921" w:rsidP="00016914">
            <w:pPr>
              <w:pStyle w:val="TableofFigures"/>
              <w:rPr>
                <w:rFonts w:eastAsiaTheme="minorEastAsia" w:cs="Calibri"/>
                <w:lang w:eastAsia="en-AU"/>
              </w:rPr>
            </w:pPr>
            <w:r w:rsidRPr="002F0E53">
              <w:rPr>
                <w:rFonts w:eastAsiaTheme="minorEastAsia"/>
                <w:lang w:eastAsia="en-AU"/>
              </w:rPr>
              <w:t>17 051 030</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(0.3)</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w:t>
            </w:r>
            <w:r w:rsidR="00A857BE">
              <w:rPr>
                <w:rFonts w:eastAsiaTheme="minorEastAsia"/>
                <w:lang w:eastAsia="en-AU"/>
              </w:rPr>
              <w:t>Department of Human Services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3 072</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1"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A857BE">
              <w:rPr>
                <w:rFonts w:eastAsiaTheme="minorEastAsia"/>
                <w:lang w:eastAsia="en-AU"/>
              </w:rPr>
              <w:t>.</w:t>
            </w:r>
            <w:r w:rsidRPr="002F0E53">
              <w:rPr>
                <w:rFonts w:eastAsiaTheme="minorEastAsia"/>
                <w:lang w:eastAsia="en-AU"/>
              </w:rPr>
              <w:t>a</w:t>
            </w:r>
            <w:r w:rsidR="00A857BE">
              <w:rPr>
                <w:rFonts w:eastAsiaTheme="minorEastAsia"/>
                <w:lang w:eastAsia="en-AU"/>
              </w:rPr>
              <w:t>.</w:t>
            </w:r>
          </w:p>
        </w:tc>
      </w:tr>
      <w:tr w:rsidR="00B03921" w:rsidRPr="002F0E53" w:rsidTr="00A857BE">
        <w:tc>
          <w:tcPr>
            <w:tcW w:w="4640"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w:t>
            </w:r>
          </w:p>
        </w:tc>
        <w:tc>
          <w:tcPr>
            <w:tcW w:w="1040"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17 174 999</w:t>
            </w:r>
          </w:p>
        </w:tc>
        <w:tc>
          <w:tcPr>
            <w:tcW w:w="1040" w:type="dxa"/>
            <w:tcBorders>
              <w:top w:val="single" w:sz="6" w:space="0" w:color="auto"/>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17 128 314</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(0.3)</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Sales of goods and services</w:t>
            </w:r>
          </w:p>
        </w:tc>
        <w:tc>
          <w:tcPr>
            <w:tcW w:w="1040" w:type="dxa"/>
            <w:tcBorders>
              <w:top w:val="nil"/>
              <w:left w:val="nil"/>
              <w:bottom w:val="nil"/>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5 466 952</w:t>
            </w:r>
          </w:p>
        </w:tc>
        <w:tc>
          <w:tcPr>
            <w:tcW w:w="1040" w:type="dxa"/>
            <w:tcBorders>
              <w:top w:val="nil"/>
              <w:left w:val="nil"/>
              <w:bottom w:val="nil"/>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5 720 807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4.6</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Interest received</w:t>
            </w:r>
          </w:p>
        </w:tc>
        <w:tc>
          <w:tcPr>
            <w:tcW w:w="1040" w:type="dxa"/>
            <w:tcBorders>
              <w:top w:val="nil"/>
              <w:left w:val="nil"/>
              <w:bottom w:val="nil"/>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513 871</w:t>
            </w:r>
          </w:p>
        </w:tc>
        <w:tc>
          <w:tcPr>
            <w:tcW w:w="1040" w:type="dxa"/>
            <w:tcBorders>
              <w:top w:val="nil"/>
              <w:left w:val="nil"/>
              <w:bottom w:val="nil"/>
              <w:right w:val="nil"/>
            </w:tcBorders>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536 242</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4.4</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rPr>
                <w:rFonts w:eastAsiaTheme="minorEastAsia"/>
                <w:b/>
                <w:lang w:eastAsia="en-AU"/>
              </w:rPr>
            </w:pPr>
            <w:r w:rsidRPr="002F0E53">
              <w:rPr>
                <w:rFonts w:eastAsiaTheme="minorEastAsia"/>
                <w:b/>
                <w:bCs/>
                <w:lang w:eastAsia="en-AU"/>
              </w:rPr>
              <w:t>Dividends and income tax equivalent and rate equivalent revenue</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Dividends</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414 005</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835 129</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101.7</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Income tax equivalent revenue</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159 291</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286 368</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79.8</w:t>
            </w:r>
          </w:p>
        </w:tc>
      </w:tr>
      <w:tr w:rsidR="00B03921" w:rsidRPr="002F0E53" w:rsidTr="000C0A43">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Local government tax equivalent revenue</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5 711</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7 516</w:t>
            </w:r>
          </w:p>
        </w:tc>
        <w:tc>
          <w:tcPr>
            <w:tcW w:w="1041"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31.6</w:t>
            </w:r>
          </w:p>
        </w:tc>
      </w:tr>
      <w:tr w:rsidR="00B03921" w:rsidRPr="002F0E53" w:rsidTr="000C0A43">
        <w:tc>
          <w:tcPr>
            <w:tcW w:w="46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579 007</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1 129 012</w:t>
            </w:r>
          </w:p>
        </w:tc>
        <w:tc>
          <w:tcPr>
            <w:tcW w:w="1041"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95.0</w:t>
            </w:r>
          </w:p>
        </w:tc>
      </w:tr>
    </w:tbl>
    <w:p w:rsidR="00A857BE" w:rsidRDefault="00A857BE">
      <w:pPr>
        <w:spacing w:after="0"/>
        <w:rPr>
          <w:rFonts w:ascii="Calibri" w:hAnsi="Calibri"/>
          <w:b/>
        </w:rPr>
      </w:pPr>
    </w:p>
    <w:p w:rsidR="00A857BE" w:rsidRDefault="00A857BE" w:rsidP="00A857BE">
      <w:pPr>
        <w:pStyle w:val="Tableheadingcontinued"/>
      </w:pPr>
      <w:r>
        <w:t>Table A.2:</w:t>
      </w:r>
      <w:r>
        <w:tab/>
        <w:t>Consolidated Fund receipts</w:t>
      </w:r>
      <w:r w:rsidRPr="00A857BE">
        <w:rPr>
          <w:vertAlign w:val="superscript"/>
        </w:rPr>
        <w:t>(a)(b)</w:t>
      </w:r>
      <w:r>
        <w:t xml:space="preserve"> </w:t>
      </w:r>
      <w:r w:rsidRPr="00A857BE">
        <w:rPr>
          <w:i/>
        </w:rPr>
        <w:t>(continued)</w:t>
      </w:r>
    </w:p>
    <w:p w:rsidR="00A857BE" w:rsidRDefault="00A857BE" w:rsidP="00A857BE">
      <w:pPr>
        <w:pStyle w:val="million"/>
      </w:pPr>
      <w:r>
        <w:t xml:space="preserve">($ thousand) </w:t>
      </w:r>
    </w:p>
    <w:tbl>
      <w:tblPr>
        <w:tblW w:w="7761"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1"/>
      </w:tblGrid>
      <w:tr w:rsidR="00A857BE" w:rsidRPr="002F0E53" w:rsidTr="00423972">
        <w:trPr>
          <w:trHeight w:val="503"/>
          <w:tblHeader/>
        </w:trPr>
        <w:tc>
          <w:tcPr>
            <w:tcW w:w="4640" w:type="dxa"/>
            <w:tcBorders>
              <w:top w:val="single" w:sz="6" w:space="0" w:color="000000"/>
              <w:left w:val="single" w:sz="6" w:space="0" w:color="000000"/>
              <w:right w:val="nil"/>
            </w:tcBorders>
            <w:shd w:val="clear" w:color="000000" w:fill="000000"/>
          </w:tcPr>
          <w:p w:rsidR="00A857BE" w:rsidRPr="002F0E53" w:rsidRDefault="00A857BE" w:rsidP="00423972">
            <w:pPr>
              <w:pStyle w:val="Tabletext"/>
              <w:rPr>
                <w:rFonts w:eastAsiaTheme="minorEastAsia"/>
                <w:lang w:eastAsia="en-AU"/>
              </w:rPr>
            </w:pPr>
          </w:p>
        </w:tc>
        <w:tc>
          <w:tcPr>
            <w:tcW w:w="1040" w:type="dxa"/>
            <w:tcBorders>
              <w:top w:val="single" w:sz="6" w:space="0" w:color="000000"/>
              <w:left w:val="nil"/>
              <w:right w:val="nil"/>
            </w:tcBorders>
            <w:shd w:val="clear" w:color="000000" w:fill="000000"/>
          </w:tcPr>
          <w:p w:rsidR="00A857BE" w:rsidRPr="002F0E53" w:rsidRDefault="00A857BE" w:rsidP="00423972">
            <w:pPr>
              <w:pStyle w:val="Tabletextheading"/>
              <w:rPr>
                <w:rFonts w:eastAsiaTheme="minorEastAsia"/>
                <w:iCs/>
                <w:color w:val="FFFFFF"/>
                <w:lang w:eastAsia="en-AU"/>
              </w:rPr>
            </w:pPr>
            <w:r w:rsidRPr="002F0E53">
              <w:rPr>
                <w:rFonts w:eastAsiaTheme="minorEastAsia"/>
                <w:iCs/>
                <w:color w:val="FFFFFF"/>
                <w:lang w:eastAsia="en-AU"/>
              </w:rPr>
              <w:t>2014-15</w:t>
            </w:r>
            <w:r>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000000"/>
              <w:left w:val="nil"/>
              <w:right w:val="nil"/>
            </w:tcBorders>
            <w:shd w:val="clear" w:color="000000" w:fill="000000"/>
          </w:tcPr>
          <w:p w:rsidR="00A857BE" w:rsidRPr="002F0E53" w:rsidRDefault="00A857BE" w:rsidP="00423972">
            <w:pPr>
              <w:pStyle w:val="Tabletextheading"/>
              <w:rPr>
                <w:rFonts w:eastAsiaTheme="minorEastAsia"/>
                <w:iCs/>
                <w:color w:val="FFFFFF"/>
                <w:lang w:eastAsia="en-AU"/>
              </w:rPr>
            </w:pPr>
            <w:r w:rsidRPr="002F0E53">
              <w:rPr>
                <w:rFonts w:eastAsiaTheme="minorEastAsia"/>
                <w:iCs/>
                <w:color w:val="FFFFFF"/>
                <w:lang w:eastAsia="en-AU"/>
              </w:rPr>
              <w:t>2015-16</w:t>
            </w:r>
            <w:r>
              <w:rPr>
                <w:rFonts w:eastAsiaTheme="minorEastAsia"/>
                <w:iCs/>
                <w:color w:val="FFFFFF"/>
                <w:lang w:eastAsia="en-AU"/>
              </w:rPr>
              <w:t xml:space="preserve"> </w:t>
            </w:r>
            <w:r w:rsidRPr="002F0E53">
              <w:rPr>
                <w:rFonts w:eastAsiaTheme="minorEastAsia"/>
                <w:iCs/>
                <w:color w:val="FFFFFF"/>
                <w:lang w:eastAsia="en-AU"/>
              </w:rPr>
              <w:t>budget</w:t>
            </w:r>
          </w:p>
        </w:tc>
        <w:tc>
          <w:tcPr>
            <w:tcW w:w="1041" w:type="dxa"/>
            <w:tcBorders>
              <w:top w:val="single" w:sz="6" w:space="0" w:color="000000"/>
              <w:left w:val="nil"/>
              <w:right w:val="single" w:sz="6" w:space="0" w:color="000000"/>
            </w:tcBorders>
            <w:shd w:val="clear" w:color="000000" w:fill="000000"/>
          </w:tcPr>
          <w:p w:rsidR="00A857BE" w:rsidRPr="002F0E53" w:rsidRDefault="00A857BE" w:rsidP="00423972">
            <w:pPr>
              <w:pStyle w:val="Tabletextheading"/>
              <w:rPr>
                <w:rFonts w:eastAsiaTheme="minorEastAsia"/>
                <w:iCs/>
                <w:color w:val="FFFFFF"/>
                <w:lang w:eastAsia="en-AU"/>
              </w:rPr>
            </w:pPr>
            <w:r>
              <w:rPr>
                <w:rFonts w:eastAsiaTheme="minorEastAsia"/>
                <w:iCs/>
                <w:color w:val="FFFFFF"/>
                <w:lang w:eastAsia="en-AU"/>
              </w:rPr>
              <w:t>v</w:t>
            </w:r>
            <w:r w:rsidRPr="002F0E53">
              <w:rPr>
                <w:rFonts w:eastAsiaTheme="minorEastAsia"/>
                <w:iCs/>
                <w:color w:val="FFFFFF"/>
                <w:lang w:eastAsia="en-AU"/>
              </w:rPr>
              <w:t>ariation</w:t>
            </w:r>
            <w:r>
              <w:rPr>
                <w:rFonts w:eastAsiaTheme="minorEastAsia"/>
                <w:iCs/>
                <w:color w:val="FFFFFF"/>
                <w:lang w:eastAsia="en-AU"/>
              </w:rPr>
              <w:br/>
            </w:r>
            <w:r w:rsidRPr="002F0E53">
              <w:rPr>
                <w:rFonts w:eastAsiaTheme="minorEastAsia"/>
                <w:iCs/>
                <w:color w:val="FFFFFF"/>
                <w:lang w:eastAsia="en-AU"/>
              </w:rPr>
              <w:t>%</w:t>
            </w:r>
          </w:p>
        </w:tc>
      </w:tr>
      <w:tr w:rsidR="00A857BE" w:rsidRPr="002F0E53" w:rsidTr="00423972">
        <w:tc>
          <w:tcPr>
            <w:tcW w:w="7761" w:type="dxa"/>
            <w:gridSpan w:val="4"/>
            <w:tcBorders>
              <w:top w:val="nil"/>
              <w:left w:val="nil"/>
              <w:bottom w:val="nil"/>
              <w:right w:val="nil"/>
            </w:tcBorders>
            <w:shd w:val="solid" w:color="FFFFFF" w:fill="auto"/>
          </w:tcPr>
          <w:p w:rsidR="00A857BE" w:rsidRPr="002F0E53" w:rsidRDefault="00A857BE" w:rsidP="00A857BE">
            <w:pPr>
              <w:pStyle w:val="Tabletext"/>
              <w:ind w:left="181" w:hanging="181"/>
              <w:rPr>
                <w:rFonts w:eastAsiaTheme="minorEastAsia"/>
                <w:b/>
                <w:lang w:eastAsia="en-AU"/>
              </w:rPr>
            </w:pPr>
            <w:r w:rsidRPr="002F0E53">
              <w:rPr>
                <w:rFonts w:eastAsiaTheme="minorEastAsia"/>
                <w:b/>
                <w:bCs/>
                <w:lang w:eastAsia="en-AU"/>
              </w:rPr>
              <w:t>Other receipts</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Land rent received</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16 645</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18 327</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10.1</w:t>
            </w:r>
          </w:p>
        </w:tc>
      </w:tr>
      <w:tr w:rsidR="00B03921" w:rsidRPr="002F0E53" w:rsidTr="00A857BE">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Royalties received</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49 617</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50 806</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2.4</w:t>
            </w:r>
          </w:p>
        </w:tc>
      </w:tr>
      <w:tr w:rsidR="00B03921" w:rsidRPr="002F0E53" w:rsidTr="00A857BE">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Other</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219 404</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237 012</w:t>
            </w:r>
          </w:p>
        </w:tc>
        <w:tc>
          <w:tcPr>
            <w:tcW w:w="1041"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8.0</w:t>
            </w:r>
          </w:p>
        </w:tc>
      </w:tr>
      <w:tr w:rsidR="00B03921" w:rsidRPr="002F0E53" w:rsidTr="00A857BE">
        <w:tc>
          <w:tcPr>
            <w:tcW w:w="4640" w:type="dxa"/>
            <w:tcBorders>
              <w:top w:val="nil"/>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285 666</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306 146</w:t>
            </w:r>
          </w:p>
        </w:tc>
        <w:tc>
          <w:tcPr>
            <w:tcW w:w="1041"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7.2</w:t>
            </w:r>
          </w:p>
        </w:tc>
      </w:tr>
      <w:tr w:rsidR="00B03921" w:rsidRPr="002F0E53" w:rsidTr="00A857BE">
        <w:tc>
          <w:tcPr>
            <w:tcW w:w="4640"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operating activities</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43 232 418</w:t>
            </w:r>
          </w:p>
        </w:tc>
        <w:tc>
          <w:tcPr>
            <w:tcW w:w="1040" w:type="dxa"/>
            <w:tcBorders>
              <w:top w:val="single" w:sz="6" w:space="0" w:color="auto"/>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45 031 265</w:t>
            </w:r>
          </w:p>
        </w:tc>
        <w:tc>
          <w:tcPr>
            <w:tcW w:w="1041"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4.2</w:t>
            </w:r>
          </w:p>
        </w:tc>
      </w:tr>
      <w:tr w:rsidR="00B03921" w:rsidRPr="002F0E53" w:rsidTr="00A857BE">
        <w:tc>
          <w:tcPr>
            <w:tcW w:w="46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cash in flows from investing and financing </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4 041 851</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3 166 369</w:t>
            </w:r>
          </w:p>
        </w:tc>
        <w:tc>
          <w:tcPr>
            <w:tcW w:w="1041"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b/>
                <w:bCs/>
                <w:lang w:eastAsia="en-AU"/>
              </w:rPr>
            </w:pPr>
            <w:r w:rsidRPr="002F0E53">
              <w:rPr>
                <w:rFonts w:eastAsiaTheme="minorEastAsia"/>
                <w:b/>
                <w:bCs/>
                <w:lang w:eastAsia="en-AU"/>
              </w:rPr>
              <w:t xml:space="preserve"> (</w:t>
            </w:r>
            <w:r w:rsidRPr="002F0E53">
              <w:rPr>
                <w:rFonts w:eastAsiaTheme="minorEastAsia" w:cs="Calibri"/>
                <w:b/>
                <w:bCs/>
                <w:lang w:eastAsia="en-AU"/>
              </w:rPr>
              <w:t>21.7)</w:t>
            </w:r>
          </w:p>
        </w:tc>
      </w:tr>
      <w:tr w:rsidR="00B03921" w:rsidRPr="002F0E53" w:rsidTr="00A857BE">
        <w:tc>
          <w:tcPr>
            <w:tcW w:w="46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Consolidated Funds receipts</w:t>
            </w:r>
          </w:p>
        </w:tc>
        <w:tc>
          <w:tcPr>
            <w:tcW w:w="1040" w:type="dxa"/>
            <w:tcBorders>
              <w:top w:val="single" w:sz="6" w:space="0" w:color="auto"/>
              <w:left w:val="nil"/>
              <w:bottom w:val="single" w:sz="12" w:space="0" w:color="000000"/>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47 274 270</w:t>
            </w:r>
          </w:p>
        </w:tc>
        <w:tc>
          <w:tcPr>
            <w:tcW w:w="10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48 197 634</w:t>
            </w:r>
          </w:p>
        </w:tc>
        <w:tc>
          <w:tcPr>
            <w:tcW w:w="1041"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2.0</w:t>
            </w:r>
          </w:p>
        </w:tc>
      </w:tr>
    </w:tbl>
    <w:p w:rsidR="00B03921" w:rsidRDefault="00B03921" w:rsidP="00016914">
      <w:pPr>
        <w:pStyle w:val="Source"/>
      </w:pPr>
      <w:r>
        <w:t>S</w:t>
      </w:r>
      <w:r w:rsidRPr="00F205BF">
        <w:t>ource: Department of Treasury and Finance</w:t>
      </w:r>
    </w:p>
    <w:p w:rsidR="00B03921" w:rsidRPr="00424F91" w:rsidRDefault="00B03921" w:rsidP="00016914">
      <w:pPr>
        <w:pStyle w:val="Notes"/>
        <w:rPr>
          <w:lang w:eastAsia="en-AU"/>
        </w:rPr>
      </w:pPr>
      <w:r w:rsidRPr="00424F91">
        <w:t>Notes</w:t>
      </w:r>
      <w:r w:rsidRPr="00424F91">
        <w:rPr>
          <w:lang w:eastAsia="en-AU"/>
        </w:rPr>
        <w:t>:</w:t>
      </w:r>
    </w:p>
    <w:p w:rsidR="00B03921" w:rsidRPr="00424F91" w:rsidRDefault="000C0A43" w:rsidP="000C0A43">
      <w:pPr>
        <w:pStyle w:val="Notes"/>
        <w:rPr>
          <w:lang w:eastAsia="en-AU"/>
        </w:rPr>
      </w:pPr>
      <w:r>
        <w:rPr>
          <w:lang w:eastAsia="en-AU"/>
        </w:rPr>
        <w:t>(a)</w:t>
      </w:r>
      <w:r>
        <w:rPr>
          <w:lang w:eastAsia="en-AU"/>
        </w:rPr>
        <w:tab/>
      </w:r>
      <w:r w:rsidR="00B03921">
        <w:rPr>
          <w:lang w:eastAsia="en-AU"/>
        </w:rPr>
        <w:t xml:space="preserve">On 4 December 2014, the Premier announced </w:t>
      </w:r>
      <w:r w:rsidR="00B03921" w:rsidRPr="00424F91">
        <w:rPr>
          <w:lang w:eastAsia="en-AU"/>
        </w:rPr>
        <w:t xml:space="preserve">machinery of government changes effective </w:t>
      </w:r>
      <w:r w:rsidR="00B03921">
        <w:rPr>
          <w:lang w:eastAsia="en-AU"/>
        </w:rPr>
        <w:t xml:space="preserve">from </w:t>
      </w:r>
      <w:r w:rsidR="00B03921" w:rsidRPr="00424F91">
        <w:rPr>
          <w:lang w:eastAsia="en-AU"/>
        </w:rPr>
        <w:t>1 January 201</w:t>
      </w:r>
      <w:r w:rsidR="00B03921">
        <w:rPr>
          <w:lang w:eastAsia="en-AU"/>
        </w:rPr>
        <w:t>5. The following Victorian government departments were affected: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Education and Early Childhood Dev</w:t>
      </w:r>
      <w:r>
        <w:rPr>
          <w:rFonts w:asciiTheme="minorHAnsi" w:hAnsiTheme="minorHAnsi" w:cstheme="minorHAnsi"/>
        </w:rPr>
        <w:t xml:space="preserve">elopment was renamed </w:t>
      </w:r>
      <w:r w:rsidRPr="00424F91">
        <w:rPr>
          <w:rFonts w:asciiTheme="minorHAnsi" w:hAnsiTheme="minorHAnsi" w:cstheme="minorHAnsi"/>
        </w:rPr>
        <w:t xml:space="preserve">the Department of Education and Training;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Environment and P</w:t>
      </w:r>
      <w:r>
        <w:rPr>
          <w:rFonts w:asciiTheme="minorHAnsi" w:hAnsiTheme="minorHAnsi" w:cstheme="minorHAnsi"/>
        </w:rPr>
        <w:t>rimary Industries was renamed</w:t>
      </w:r>
      <w:r w:rsidRPr="00424F91">
        <w:rPr>
          <w:rFonts w:asciiTheme="minorHAnsi" w:hAnsiTheme="minorHAnsi" w:cstheme="minorHAnsi"/>
        </w:rPr>
        <w:t xml:space="preserve"> the Department of Environment, Land, Water and Planning;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w:t>
      </w:r>
      <w:r>
        <w:rPr>
          <w:rFonts w:asciiTheme="minorHAnsi" w:hAnsiTheme="minorHAnsi" w:cstheme="minorHAnsi"/>
        </w:rPr>
        <w:t>artment of Health was renamed</w:t>
      </w:r>
      <w:r w:rsidRPr="00424F91">
        <w:rPr>
          <w:rFonts w:asciiTheme="minorHAnsi" w:hAnsiTheme="minorHAnsi" w:cstheme="minorHAnsi"/>
        </w:rPr>
        <w:t xml:space="preserve"> the Department of Health and Human Services;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w:t>
      </w:r>
      <w:r>
        <w:rPr>
          <w:rFonts w:asciiTheme="minorHAnsi" w:hAnsiTheme="minorHAnsi" w:cstheme="minorHAnsi"/>
        </w:rPr>
        <w:t xml:space="preserve">tment of Justice was renamed </w:t>
      </w:r>
      <w:r w:rsidRPr="00424F91">
        <w:rPr>
          <w:rFonts w:asciiTheme="minorHAnsi" w:hAnsiTheme="minorHAnsi" w:cstheme="minorHAnsi"/>
        </w:rPr>
        <w:t xml:space="preserve">the Department of Justice and Regulation;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State Development, Busines</w:t>
      </w:r>
      <w:r>
        <w:rPr>
          <w:rFonts w:asciiTheme="minorHAnsi" w:hAnsiTheme="minorHAnsi" w:cstheme="minorHAnsi"/>
        </w:rPr>
        <w:t xml:space="preserve">s and Innovation was renamed </w:t>
      </w:r>
      <w:r w:rsidRPr="00424F91">
        <w:rPr>
          <w:rFonts w:asciiTheme="minorHAnsi" w:hAnsiTheme="minorHAnsi" w:cstheme="minorHAnsi"/>
        </w:rPr>
        <w:t>the Department of Economic Development, Jobs, Transport and Resources;</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w:t>
      </w:r>
      <w:r>
        <w:rPr>
          <w:rFonts w:asciiTheme="minorHAnsi" w:hAnsiTheme="minorHAnsi" w:cstheme="minorHAnsi"/>
        </w:rPr>
        <w:t>f Human Services was abolished</w:t>
      </w:r>
      <w:r w:rsidRPr="00424F91">
        <w:rPr>
          <w:rFonts w:asciiTheme="minorHAnsi" w:hAnsiTheme="minorHAnsi" w:cstheme="minorHAnsi"/>
        </w:rPr>
        <w:t>; and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Transport, Planning and Local Infrastructure </w:t>
      </w:r>
      <w:r>
        <w:rPr>
          <w:rFonts w:asciiTheme="minorHAnsi" w:hAnsiTheme="minorHAnsi" w:cstheme="minorHAnsi"/>
        </w:rPr>
        <w:t>was abolished</w:t>
      </w:r>
      <w:r w:rsidRPr="00424F91">
        <w:rPr>
          <w:rFonts w:asciiTheme="minorHAnsi" w:hAnsiTheme="minorHAnsi" w:cstheme="minorHAnsi"/>
        </w:rPr>
        <w:t>.</w:t>
      </w:r>
    </w:p>
    <w:p w:rsidR="00B03921" w:rsidRPr="00424F91" w:rsidRDefault="00B03921" w:rsidP="00016914">
      <w:pPr>
        <w:pStyle w:val="Notes"/>
        <w:ind w:left="426" w:firstLine="0"/>
        <w:rPr>
          <w:rFonts w:asciiTheme="minorHAnsi" w:hAnsiTheme="minorHAnsi" w:cstheme="minorHAnsi"/>
          <w:lang w:eastAsia="en-AU"/>
        </w:rPr>
      </w:pPr>
      <w:r w:rsidRPr="00424F91">
        <w:rPr>
          <w:rFonts w:asciiTheme="minorHAnsi" w:hAnsiTheme="minorHAnsi" w:cstheme="minorHAnsi"/>
          <w:lang w:eastAsia="en-AU"/>
        </w:rPr>
        <w:t xml:space="preserve">The two </w:t>
      </w:r>
      <w:r>
        <w:rPr>
          <w:rFonts w:asciiTheme="minorHAnsi" w:hAnsiTheme="minorHAnsi" w:cstheme="minorHAnsi"/>
          <w:lang w:eastAsia="en-AU"/>
        </w:rPr>
        <w:t xml:space="preserve">abolished </w:t>
      </w:r>
      <w:r w:rsidRPr="00424F91">
        <w:rPr>
          <w:rFonts w:asciiTheme="minorHAnsi" w:hAnsiTheme="minorHAnsi" w:cstheme="minorHAnsi"/>
          <w:lang w:eastAsia="en-AU"/>
        </w:rPr>
        <w:t>departments had their functions and operations transferred to other Victorian government departments. Functions and operations of the Department of Human Servi</w:t>
      </w:r>
      <w:r>
        <w:rPr>
          <w:rFonts w:asciiTheme="minorHAnsi" w:hAnsiTheme="minorHAnsi" w:cstheme="minorHAnsi"/>
          <w:lang w:eastAsia="en-AU"/>
        </w:rPr>
        <w:t xml:space="preserve">ces were transferred to the </w:t>
      </w:r>
      <w:r w:rsidRPr="00424F91">
        <w:rPr>
          <w:rFonts w:asciiTheme="minorHAnsi" w:hAnsiTheme="minorHAnsi" w:cstheme="minorHAnsi"/>
          <w:lang w:eastAsia="en-AU"/>
        </w:rPr>
        <w:t>Department of Heal</w:t>
      </w:r>
      <w:r>
        <w:rPr>
          <w:rFonts w:asciiTheme="minorHAnsi" w:hAnsiTheme="minorHAnsi" w:cstheme="minorHAnsi"/>
          <w:lang w:eastAsia="en-AU"/>
        </w:rPr>
        <w:t xml:space="preserve">th and Human Services </w:t>
      </w:r>
      <w:r w:rsidRPr="00424F91">
        <w:rPr>
          <w:rFonts w:asciiTheme="minorHAnsi" w:hAnsiTheme="minorHAnsi" w:cstheme="minorHAnsi"/>
          <w:lang w:eastAsia="en-AU"/>
        </w:rPr>
        <w:t xml:space="preserve">and </w:t>
      </w:r>
      <w:r>
        <w:rPr>
          <w:rFonts w:asciiTheme="minorHAnsi" w:hAnsiTheme="minorHAnsi" w:cstheme="minorHAnsi"/>
          <w:lang w:eastAsia="en-AU"/>
        </w:rPr>
        <w:t xml:space="preserve">to </w:t>
      </w:r>
      <w:r w:rsidRPr="00424F91">
        <w:rPr>
          <w:rFonts w:asciiTheme="minorHAnsi" w:hAnsiTheme="minorHAnsi" w:cstheme="minorHAnsi"/>
          <w:lang w:eastAsia="en-AU"/>
        </w:rPr>
        <w:t xml:space="preserve">the Department </w:t>
      </w:r>
      <w:r>
        <w:rPr>
          <w:rFonts w:asciiTheme="minorHAnsi" w:hAnsiTheme="minorHAnsi" w:cstheme="minorHAnsi"/>
          <w:lang w:eastAsia="en-AU"/>
        </w:rPr>
        <w:t>of Premier and Cabinet.</w:t>
      </w:r>
      <w:r w:rsidRPr="00424F91">
        <w:rPr>
          <w:rFonts w:asciiTheme="minorHAnsi" w:hAnsiTheme="minorHAnsi" w:cstheme="minorHAnsi"/>
          <w:lang w:eastAsia="en-AU"/>
        </w:rPr>
        <w:t xml:space="preserve"> Functions and operations of the Department of Transport, Planning and Local Infrastructure were transferred to </w:t>
      </w:r>
      <w:r>
        <w:rPr>
          <w:rFonts w:asciiTheme="minorHAnsi" w:hAnsiTheme="minorHAnsi" w:cstheme="minorHAnsi"/>
          <w:lang w:eastAsia="en-AU"/>
        </w:rPr>
        <w:t xml:space="preserve">the </w:t>
      </w:r>
      <w:r w:rsidRPr="00424F91">
        <w:rPr>
          <w:rFonts w:asciiTheme="minorHAnsi" w:hAnsiTheme="minorHAnsi" w:cstheme="minorHAnsi"/>
          <w:lang w:eastAsia="en-AU"/>
        </w:rPr>
        <w:t>Department of Environment, La</w:t>
      </w:r>
      <w:r>
        <w:rPr>
          <w:rFonts w:asciiTheme="minorHAnsi" w:hAnsiTheme="minorHAnsi" w:cstheme="minorHAnsi"/>
          <w:lang w:eastAsia="en-AU"/>
        </w:rPr>
        <w:t>nd, Water and Planning</w:t>
      </w:r>
      <w:r w:rsidRPr="00424F91">
        <w:rPr>
          <w:rFonts w:asciiTheme="minorHAnsi" w:hAnsiTheme="minorHAnsi" w:cstheme="minorHAnsi"/>
          <w:lang w:eastAsia="en-AU"/>
        </w:rPr>
        <w:t>, the Department of Heal</w:t>
      </w:r>
      <w:r>
        <w:rPr>
          <w:rFonts w:asciiTheme="minorHAnsi" w:hAnsiTheme="minorHAnsi" w:cstheme="minorHAnsi"/>
          <w:lang w:eastAsia="en-AU"/>
        </w:rPr>
        <w:t xml:space="preserve">th and Human Services </w:t>
      </w:r>
      <w:r w:rsidRPr="00424F91">
        <w:rPr>
          <w:rFonts w:asciiTheme="minorHAnsi" w:hAnsiTheme="minorHAnsi" w:cstheme="minorHAnsi"/>
          <w:lang w:eastAsia="en-AU"/>
        </w:rPr>
        <w:t>and the Department of Economic Development, Jobs, T</w:t>
      </w:r>
      <w:r>
        <w:rPr>
          <w:rFonts w:asciiTheme="minorHAnsi" w:hAnsiTheme="minorHAnsi" w:cstheme="minorHAnsi"/>
          <w:lang w:eastAsia="en-AU"/>
        </w:rPr>
        <w:t>ransport and Resources</w:t>
      </w:r>
      <w:r w:rsidRPr="00424F91">
        <w:rPr>
          <w:rFonts w:asciiTheme="minorHAnsi" w:hAnsiTheme="minorHAnsi" w:cstheme="minorHAnsi"/>
          <w:lang w:eastAsia="en-AU"/>
        </w:rPr>
        <w:t xml:space="preserve">. Certain functions and operations of </w:t>
      </w:r>
      <w:r>
        <w:rPr>
          <w:rFonts w:asciiTheme="minorHAnsi" w:hAnsiTheme="minorHAnsi" w:cstheme="minorHAnsi"/>
          <w:lang w:eastAsia="en-AU"/>
        </w:rPr>
        <w:t>continuing</w:t>
      </w:r>
      <w:r w:rsidRPr="00424F91">
        <w:rPr>
          <w:rFonts w:asciiTheme="minorHAnsi" w:hAnsiTheme="minorHAnsi" w:cstheme="minorHAnsi"/>
          <w:lang w:eastAsia="en-AU"/>
        </w:rPr>
        <w:t xml:space="preserve"> Victorian government departments were also transferred</w:t>
      </w:r>
      <w:r>
        <w:rPr>
          <w:rFonts w:asciiTheme="minorHAnsi" w:hAnsiTheme="minorHAnsi" w:cstheme="minorHAnsi"/>
          <w:lang w:eastAsia="en-AU"/>
        </w:rPr>
        <w:t xml:space="preserve"> amongst departments</w:t>
      </w:r>
      <w:r w:rsidRPr="00424F91">
        <w:rPr>
          <w:rFonts w:asciiTheme="minorHAnsi" w:hAnsiTheme="minorHAnsi" w:cstheme="minorHAnsi"/>
          <w:lang w:eastAsia="en-AU"/>
        </w:rPr>
        <w:t xml:space="preserve"> as part of the </w:t>
      </w:r>
      <w:r>
        <w:rPr>
          <w:rFonts w:asciiTheme="minorHAnsi" w:hAnsiTheme="minorHAnsi" w:cstheme="minorHAnsi"/>
          <w:lang w:eastAsia="en-AU"/>
        </w:rPr>
        <w:t xml:space="preserve">machinery of government changes. </w:t>
      </w:r>
    </w:p>
    <w:p w:rsidR="00B03921" w:rsidRDefault="00B03921" w:rsidP="00016914">
      <w:pPr>
        <w:pStyle w:val="Notes"/>
      </w:pPr>
      <w:r>
        <w:t xml:space="preserve">(b) </w:t>
      </w:r>
      <w:r>
        <w:tab/>
        <w:t>Certain line items have been aggregated in the table above due to commercial sensitivities of balances.</w:t>
      </w:r>
    </w:p>
    <w:p w:rsidR="00B03921" w:rsidRPr="00F71338" w:rsidRDefault="00B03921" w:rsidP="00016914">
      <w:pPr>
        <w:pStyle w:val="Notes"/>
      </w:pPr>
    </w:p>
    <w:p w:rsidR="00B03921" w:rsidRDefault="00B03921" w:rsidP="00016914"/>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Table A.3:</w:t>
      </w:r>
      <w:r>
        <w:tab/>
        <w:t>Consolidated Fund appropriations – summary</w:t>
      </w:r>
      <w:r w:rsidRPr="00CA5FDF">
        <w:rPr>
          <w:vertAlign w:val="superscript"/>
        </w:rPr>
        <w:t>(a)</w:t>
      </w:r>
    </w:p>
    <w:p w:rsidR="00B03921" w:rsidRPr="002F0E53" w:rsidRDefault="00B03921" w:rsidP="00016914">
      <w:pPr>
        <w:pStyle w:val="million"/>
        <w:rPr>
          <w:rFonts w:ascii="Times New Roman" w:hAnsi="Times New Roman"/>
          <w:i w:val="0"/>
          <w:sz w:val="20"/>
          <w:szCs w:val="20"/>
          <w:lang w:eastAsia="en-AU"/>
        </w:rPr>
      </w:pPr>
      <w:r>
        <w:t>($ thousand)</w:t>
      </w:r>
    </w:p>
    <w:tbl>
      <w:tblPr>
        <w:tblW w:w="7788" w:type="dxa"/>
        <w:tblInd w:w="28" w:type="dxa"/>
        <w:tblLayout w:type="fixed"/>
        <w:tblCellMar>
          <w:left w:w="45" w:type="dxa"/>
          <w:right w:w="45" w:type="dxa"/>
        </w:tblCellMar>
        <w:tblLook w:val="0000" w:firstRow="0" w:lastRow="0" w:firstColumn="0" w:lastColumn="0" w:noHBand="0" w:noVBand="0"/>
      </w:tblPr>
      <w:tblGrid>
        <w:gridCol w:w="4413"/>
        <w:gridCol w:w="1134"/>
        <w:gridCol w:w="1173"/>
        <w:gridCol w:w="1040"/>
        <w:gridCol w:w="28"/>
      </w:tblGrid>
      <w:tr w:rsidR="000C0A43" w:rsidRPr="002F0E53" w:rsidTr="00E566A6">
        <w:trPr>
          <w:gridAfter w:val="1"/>
          <w:wAfter w:w="28" w:type="dxa"/>
          <w:trHeight w:val="503"/>
          <w:tblHeader/>
        </w:trPr>
        <w:tc>
          <w:tcPr>
            <w:tcW w:w="4413" w:type="dxa"/>
            <w:tcBorders>
              <w:top w:val="single" w:sz="6" w:space="0" w:color="auto"/>
              <w:left w:val="single" w:sz="6" w:space="0" w:color="auto"/>
              <w:right w:val="nil"/>
            </w:tcBorders>
            <w:shd w:val="clear" w:color="000000" w:fill="000000"/>
          </w:tcPr>
          <w:p w:rsidR="000C0A43" w:rsidRPr="002F0E53" w:rsidRDefault="000C0A43" w:rsidP="00016914">
            <w:pPr>
              <w:pStyle w:val="Tabletext"/>
              <w:rPr>
                <w:rFonts w:eastAsiaTheme="minorEastAsia"/>
                <w:lang w:eastAsia="en-AU"/>
              </w:rPr>
            </w:pPr>
          </w:p>
        </w:tc>
        <w:tc>
          <w:tcPr>
            <w:tcW w:w="1134" w:type="dxa"/>
            <w:tcBorders>
              <w:top w:val="single" w:sz="6" w:space="0" w:color="auto"/>
              <w:left w:val="nil"/>
              <w:right w:val="nil"/>
            </w:tcBorders>
            <w:shd w:val="clear" w:color="000000" w:fill="000000"/>
          </w:tcPr>
          <w:p w:rsidR="000C0A43" w:rsidRPr="002F0E53" w:rsidRDefault="000C0A43" w:rsidP="00E566A6">
            <w:pPr>
              <w:pStyle w:val="Tabletextheading"/>
              <w:rPr>
                <w:rFonts w:eastAsiaTheme="minorEastAsia"/>
                <w:iCs/>
                <w:color w:val="FFFFFF"/>
                <w:lang w:eastAsia="en-AU"/>
              </w:rPr>
            </w:pPr>
            <w:r w:rsidRPr="002F0E53">
              <w:rPr>
                <w:rFonts w:eastAsiaTheme="minorEastAsia"/>
                <w:iCs/>
                <w:color w:val="FFFFFF"/>
                <w:lang w:eastAsia="en-AU"/>
              </w:rPr>
              <w:t>2014-15</w:t>
            </w:r>
            <w:r>
              <w:rPr>
                <w:rFonts w:eastAsiaTheme="minorEastAsia"/>
                <w:iCs/>
                <w:color w:val="FFFFFF"/>
                <w:lang w:eastAsia="en-AU"/>
              </w:rPr>
              <w:t xml:space="preserve"> </w:t>
            </w:r>
            <w:r w:rsidRPr="002F0E53">
              <w:rPr>
                <w:rFonts w:eastAsiaTheme="minorEastAsia"/>
                <w:iCs/>
                <w:color w:val="FFFFFF"/>
                <w:lang w:eastAsia="en-AU"/>
              </w:rPr>
              <w:t>budget</w:t>
            </w:r>
            <w:r w:rsidRPr="002F0E53">
              <w:rPr>
                <w:rFonts w:eastAsiaTheme="minorEastAsia"/>
                <w:iCs/>
                <w:color w:val="FFFFFF"/>
                <w:vertAlign w:val="superscript"/>
                <w:lang w:eastAsia="en-AU"/>
              </w:rPr>
              <w:t>(b)</w:t>
            </w:r>
          </w:p>
        </w:tc>
        <w:tc>
          <w:tcPr>
            <w:tcW w:w="1173" w:type="dxa"/>
            <w:tcBorders>
              <w:top w:val="single" w:sz="6" w:space="0" w:color="auto"/>
              <w:left w:val="nil"/>
              <w:right w:val="nil"/>
            </w:tcBorders>
            <w:shd w:val="clear" w:color="000000" w:fill="000000"/>
          </w:tcPr>
          <w:p w:rsidR="000C0A43" w:rsidRPr="002F0E53" w:rsidRDefault="000C0A43" w:rsidP="000C0A43">
            <w:pPr>
              <w:pStyle w:val="Tabletextheading"/>
              <w:rPr>
                <w:rFonts w:eastAsiaTheme="minorEastAsia"/>
                <w:iCs/>
                <w:color w:val="FFFFFF"/>
                <w:lang w:eastAsia="en-AU"/>
              </w:rPr>
            </w:pPr>
            <w:r w:rsidRPr="002F0E53">
              <w:rPr>
                <w:rFonts w:eastAsiaTheme="minorEastAsia"/>
                <w:iCs/>
                <w:color w:val="FFFFFF"/>
                <w:lang w:eastAsia="en-AU"/>
              </w:rPr>
              <w:t>2015-16</w:t>
            </w:r>
            <w:r>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auto"/>
              <w:left w:val="nil"/>
              <w:right w:val="single" w:sz="6" w:space="0" w:color="auto"/>
            </w:tcBorders>
            <w:shd w:val="clear" w:color="000000" w:fill="000000"/>
          </w:tcPr>
          <w:p w:rsidR="000C0A43" w:rsidRPr="002F0E53" w:rsidRDefault="000C0A43" w:rsidP="00016914">
            <w:pPr>
              <w:pStyle w:val="Tabletextheading"/>
              <w:rPr>
                <w:rFonts w:eastAsiaTheme="minorEastAsia"/>
                <w:iCs/>
                <w:color w:val="FFFFFF"/>
                <w:lang w:eastAsia="en-AU"/>
              </w:rPr>
            </w:pPr>
            <w:r w:rsidRPr="002F0E53">
              <w:rPr>
                <w:rFonts w:eastAsiaTheme="minorEastAsia"/>
                <w:iCs/>
                <w:color w:val="FFFFFF"/>
                <w:lang w:eastAsia="en-AU"/>
              </w:rPr>
              <w:t>variation</w:t>
            </w:r>
          </w:p>
          <w:p w:rsidR="000C0A43" w:rsidRPr="002F0E53" w:rsidRDefault="000C0A43" w:rsidP="00016914">
            <w:pPr>
              <w:pStyle w:val="Tabletextheading"/>
              <w:rPr>
                <w:rFonts w:eastAsiaTheme="minorEastAsia"/>
                <w:iCs/>
                <w:color w:val="FFFFFF"/>
                <w:lang w:eastAsia="en-AU"/>
              </w:rPr>
            </w:pPr>
            <w:r w:rsidRPr="002F0E53">
              <w:rPr>
                <w:rFonts w:eastAsiaTheme="minorEastAsia"/>
                <w:iCs/>
                <w:color w:val="FFFFFF"/>
                <w:lang w:eastAsia="en-AU"/>
              </w:rPr>
              <w:t>%</w:t>
            </w:r>
          </w:p>
        </w:tc>
      </w:tr>
      <w:tr w:rsidR="00B03921" w:rsidRPr="002F0E53" w:rsidTr="000C0A43">
        <w:tc>
          <w:tcPr>
            <w:tcW w:w="7788" w:type="dxa"/>
            <w:gridSpan w:val="5"/>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Economic Development, Jobs, Transport and Resources </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173"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5 622</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0C0A43">
              <w:rPr>
                <w:rFonts w:eastAsiaTheme="minorEastAsia"/>
                <w:lang w:eastAsia="en-AU"/>
              </w:rPr>
              <w:t>.</w:t>
            </w:r>
            <w:r w:rsidRPr="002F0E53">
              <w:rPr>
                <w:rFonts w:eastAsiaTheme="minorEastAsia"/>
                <w:lang w:eastAsia="en-AU"/>
              </w:rPr>
              <w:t>a</w:t>
            </w:r>
            <w:r w:rsidR="000C0A43">
              <w:rPr>
                <w:rFonts w:eastAsiaTheme="minorEastAsia"/>
                <w:lang w:eastAsia="en-AU"/>
              </w:rPr>
              <w: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964 068</w:t>
            </w:r>
          </w:p>
        </w:tc>
        <w:tc>
          <w:tcPr>
            <w:tcW w:w="1173"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9 070 438</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840.9</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  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964 068</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9 076 060</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841.4</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Education and Training</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13 011</w:t>
            </w:r>
          </w:p>
        </w:tc>
        <w:tc>
          <w:tcPr>
            <w:tcW w:w="1173"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13 018</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0.1</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10 869 223</w:t>
            </w:r>
          </w:p>
        </w:tc>
        <w:tc>
          <w:tcPr>
            <w:tcW w:w="1173"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11 465 013</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5.5</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10 882 234</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11 478 031</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5.5</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Environment, Land, Water and Planning</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173"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14 100</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0C0A43">
              <w:rPr>
                <w:rFonts w:eastAsiaTheme="minorEastAsia"/>
                <w:lang w:eastAsia="en-AU"/>
              </w:rPr>
              <w:t>.</w:t>
            </w:r>
            <w:r w:rsidRPr="002F0E53">
              <w:rPr>
                <w:rFonts w:eastAsiaTheme="minorEastAsia"/>
                <w:lang w:eastAsia="en-AU"/>
              </w:rPr>
              <w:t>a</w:t>
            </w:r>
            <w:r w:rsidR="000C0A43">
              <w:rPr>
                <w:rFonts w:eastAsiaTheme="minorEastAsia"/>
                <w:lang w:eastAsia="en-AU"/>
              </w:rPr>
              <w: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2 343 809</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1 882 976</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(19.7)</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2 343 809</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1 897 076</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(19.1)</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Pr>
                <w:rFonts w:eastAsiaTheme="minorEastAsia"/>
                <w:b/>
                <w:bCs/>
                <w:lang w:eastAsia="en-AU"/>
              </w:rPr>
              <w:t>Health and Human Services</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1 192 712</w:t>
            </w:r>
          </w:p>
        </w:tc>
        <w:tc>
          <w:tcPr>
            <w:tcW w:w="1173"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1 408 366</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18.1</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 </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8 642 837</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13 158 758</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52.3</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9 835 548</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14 567 124</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48.1</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Justice and Regulation</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102 092</w:t>
            </w:r>
          </w:p>
        </w:tc>
        <w:tc>
          <w:tcPr>
            <w:tcW w:w="1173" w:type="dxa"/>
            <w:tcBorders>
              <w:top w:val="nil"/>
              <w:left w:val="nil"/>
              <w:bottom w:val="nil"/>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11 </w:t>
            </w:r>
            <w:r w:rsidRPr="002F0E53">
              <w:rPr>
                <w:rFonts w:eastAsiaTheme="minorEastAsia" w:cs="Calibri"/>
                <w:color w:val="000000"/>
                <w:lang w:eastAsia="en-AU"/>
              </w:rPr>
              <w:t>180</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w:t>
            </w:r>
            <w:r w:rsidRPr="002F0E53">
              <w:rPr>
                <w:rFonts w:eastAsiaTheme="minorEastAsia" w:cs="Calibri"/>
                <w:color w:val="000000"/>
                <w:lang w:eastAsia="en-AU"/>
              </w:rPr>
              <w:t>89.0)</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6 044 010</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5 888</w:t>
            </w:r>
            <w:r w:rsidRPr="002F0E53">
              <w:rPr>
                <w:rFonts w:eastAsiaTheme="minorEastAsia" w:cs="Calibri"/>
                <w:color w:val="000000"/>
                <w:lang w:eastAsia="en-AU"/>
              </w:rPr>
              <w:t xml:space="preserve"> 369</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w:t>
            </w:r>
            <w:r w:rsidRPr="002F0E53">
              <w:rPr>
                <w:rFonts w:eastAsiaTheme="minorEastAsia" w:cs="Calibri"/>
                <w:color w:val="000000"/>
                <w:lang w:eastAsia="en-AU"/>
              </w:rPr>
              <w:t>2.6)</w:t>
            </w:r>
          </w:p>
        </w:tc>
      </w:tr>
      <w:tr w:rsidR="00B03921" w:rsidRPr="000C0A43" w:rsidTr="00E566A6">
        <w:trPr>
          <w:gridAfter w:val="1"/>
          <w:wAfter w:w="28" w:type="dxa"/>
        </w:trPr>
        <w:tc>
          <w:tcPr>
            <w:tcW w:w="4413" w:type="dxa"/>
            <w:tcBorders>
              <w:top w:val="nil"/>
              <w:left w:val="nil"/>
              <w:bottom w:val="nil"/>
              <w:right w:val="nil"/>
            </w:tcBorders>
            <w:shd w:val="solid" w:color="FFFFFF" w:fill="auto"/>
          </w:tcPr>
          <w:p w:rsidR="00B03921" w:rsidRPr="000C0A43" w:rsidRDefault="00B03921" w:rsidP="00016914">
            <w:pPr>
              <w:pStyle w:val="Tabletext"/>
              <w:rPr>
                <w:rFonts w:eastAsiaTheme="minorEastAsia"/>
                <w:b/>
                <w:bCs/>
                <w:lang w:eastAsia="en-AU"/>
              </w:rPr>
            </w:pPr>
            <w:r w:rsidRPr="000C0A43">
              <w:rPr>
                <w:rFonts w:eastAsiaTheme="minorEastAsia"/>
                <w:b/>
                <w:lang w:eastAsia="en-AU"/>
              </w:rPr>
              <w:t xml:space="preserve">  </w:t>
            </w:r>
            <w:r w:rsidRPr="000C0A43">
              <w:rPr>
                <w:rFonts w:eastAsiaTheme="minorEastAsia"/>
                <w:b/>
                <w:bCs/>
                <w:lang w:eastAsia="en-AU"/>
              </w:rPr>
              <w:t>Total</w:t>
            </w:r>
          </w:p>
        </w:tc>
        <w:tc>
          <w:tcPr>
            <w:tcW w:w="1134" w:type="dxa"/>
            <w:tcBorders>
              <w:top w:val="nil"/>
              <w:left w:val="nil"/>
              <w:bottom w:val="nil"/>
              <w:right w:val="nil"/>
            </w:tcBorders>
            <w:shd w:val="solid" w:color="FFFFFF" w:fill="auto"/>
          </w:tcPr>
          <w:p w:rsidR="00B03921" w:rsidRPr="000C0A43" w:rsidRDefault="00B03921" w:rsidP="00016914">
            <w:pPr>
              <w:pStyle w:val="TableofFigures"/>
              <w:rPr>
                <w:rFonts w:eastAsiaTheme="minorEastAsia"/>
                <w:b/>
                <w:bCs/>
                <w:lang w:eastAsia="en-AU"/>
              </w:rPr>
            </w:pPr>
            <w:r w:rsidRPr="000C0A43">
              <w:rPr>
                <w:rFonts w:eastAsiaTheme="minorEastAsia"/>
                <w:b/>
                <w:bCs/>
                <w:lang w:eastAsia="en-AU"/>
              </w:rPr>
              <w:t>6 146 102</w:t>
            </w:r>
          </w:p>
        </w:tc>
        <w:tc>
          <w:tcPr>
            <w:tcW w:w="1173" w:type="dxa"/>
            <w:tcBorders>
              <w:top w:val="nil"/>
              <w:left w:val="nil"/>
              <w:bottom w:val="nil"/>
              <w:right w:val="nil"/>
            </w:tcBorders>
          </w:tcPr>
          <w:p w:rsidR="00B03921" w:rsidRPr="000C0A43" w:rsidRDefault="00B03921" w:rsidP="00016914">
            <w:pPr>
              <w:pStyle w:val="TableofFigures"/>
              <w:rPr>
                <w:rFonts w:eastAsiaTheme="minorEastAsia" w:cs="Calibri"/>
                <w:b/>
                <w:bCs/>
                <w:color w:val="000000"/>
                <w:lang w:eastAsia="en-AU"/>
              </w:rPr>
            </w:pPr>
            <w:r w:rsidRPr="000C0A43">
              <w:rPr>
                <w:rFonts w:eastAsiaTheme="minorEastAsia"/>
                <w:b/>
                <w:bCs/>
                <w:lang w:eastAsia="en-AU"/>
              </w:rPr>
              <w:t>5 899</w:t>
            </w:r>
            <w:r w:rsidRPr="000C0A43">
              <w:rPr>
                <w:rFonts w:eastAsiaTheme="minorEastAsia" w:cs="Calibri"/>
                <w:b/>
                <w:bCs/>
                <w:color w:val="000000"/>
                <w:lang w:eastAsia="en-AU"/>
              </w:rPr>
              <w:t xml:space="preserve"> 549</w:t>
            </w:r>
          </w:p>
        </w:tc>
        <w:tc>
          <w:tcPr>
            <w:tcW w:w="1040" w:type="dxa"/>
            <w:tcBorders>
              <w:top w:val="nil"/>
              <w:left w:val="nil"/>
              <w:bottom w:val="nil"/>
              <w:right w:val="nil"/>
            </w:tcBorders>
            <w:shd w:val="solid" w:color="FFFFFF" w:fill="auto"/>
          </w:tcPr>
          <w:p w:rsidR="00B03921" w:rsidRPr="000C0A43" w:rsidRDefault="00B03921" w:rsidP="00016914">
            <w:pPr>
              <w:pStyle w:val="TableofFigures"/>
              <w:rPr>
                <w:rFonts w:eastAsiaTheme="minorEastAsia" w:cs="Calibri"/>
                <w:b/>
                <w:color w:val="000000"/>
                <w:lang w:eastAsia="en-AU"/>
              </w:rPr>
            </w:pPr>
            <w:r w:rsidRPr="000C0A43">
              <w:rPr>
                <w:rFonts w:eastAsiaTheme="minorEastAsia"/>
                <w:b/>
                <w:lang w:eastAsia="en-AU"/>
              </w:rPr>
              <w:t xml:space="preserve"> (</w:t>
            </w:r>
            <w:r w:rsidRPr="000C0A43">
              <w:rPr>
                <w:rFonts w:eastAsiaTheme="minorEastAsia" w:cs="Calibri"/>
                <w:b/>
                <w:color w:val="000000"/>
                <w:lang w:eastAsia="en-AU"/>
              </w:rPr>
              <w:t>4.0)</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Premier and Cabinet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14 177</w:t>
            </w:r>
          </w:p>
        </w:tc>
        <w:tc>
          <w:tcPr>
            <w:tcW w:w="1173"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62 651</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341.9</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623 872</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344 189</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(44.8)</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638 049</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406 840</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 xml:space="preserve"> (36.2)</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Treasury and Finance</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2 252 445</w:t>
            </w:r>
          </w:p>
        </w:tc>
        <w:tc>
          <w:tcPr>
            <w:tcW w:w="1173" w:type="dxa"/>
            <w:tcBorders>
              <w:top w:val="nil"/>
              <w:left w:val="nil"/>
              <w:bottom w:val="nil"/>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2 418 165</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7.4</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2 695 666</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3 020 109</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12.0</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4 948 111</w:t>
            </w:r>
          </w:p>
        </w:tc>
        <w:tc>
          <w:tcPr>
            <w:tcW w:w="1173" w:type="dxa"/>
            <w:tcBorders>
              <w:top w:val="nil"/>
              <w:left w:val="nil"/>
              <w:bottom w:val="nil"/>
              <w:right w:val="nil"/>
            </w:tcBorders>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5 438 274</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9.9</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Parliament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38 589</w:t>
            </w:r>
          </w:p>
        </w:tc>
        <w:tc>
          <w:tcPr>
            <w:tcW w:w="1173" w:type="dxa"/>
            <w:tcBorders>
              <w:top w:val="nil"/>
              <w:left w:val="nil"/>
              <w:bottom w:val="nil"/>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42 </w:t>
            </w:r>
            <w:r w:rsidRPr="002F0E53">
              <w:rPr>
                <w:rFonts w:eastAsiaTheme="minorEastAsia" w:cs="Calibri"/>
                <w:color w:val="000000"/>
                <w:lang w:eastAsia="en-AU"/>
              </w:rPr>
              <w:t>849</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11.0</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144 652</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 xml:space="preserve"> 146 </w:t>
            </w:r>
            <w:r w:rsidRPr="002F0E53">
              <w:rPr>
                <w:rFonts w:eastAsiaTheme="minorEastAsia" w:cs="Calibri"/>
                <w:color w:val="000000"/>
                <w:lang w:eastAsia="en-AU"/>
              </w:rPr>
              <w:t>743</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1.4</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183 241</w:t>
            </w:r>
          </w:p>
        </w:tc>
        <w:tc>
          <w:tcPr>
            <w:tcW w:w="1173" w:type="dxa"/>
            <w:tcBorders>
              <w:top w:val="nil"/>
              <w:left w:val="nil"/>
              <w:bottom w:val="nil"/>
              <w:right w:val="nil"/>
            </w:tcBorders>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 xml:space="preserve"> 189 </w:t>
            </w:r>
            <w:r w:rsidRPr="002F0E53">
              <w:rPr>
                <w:rFonts w:eastAsiaTheme="minorEastAsia" w:cs="Calibri"/>
                <w:b/>
                <w:bCs/>
                <w:color w:val="000000"/>
                <w:lang w:eastAsia="en-AU"/>
              </w:rPr>
              <w:t>592</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3.5</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Courts</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189 555</w:t>
            </w:r>
          </w:p>
        </w:tc>
        <w:tc>
          <w:tcPr>
            <w:tcW w:w="1173"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199 265</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5.1</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309 112</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359 409</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16.3</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498 667</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558 674</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12.0</w:t>
            </w:r>
          </w:p>
        </w:tc>
      </w:tr>
      <w:tr w:rsidR="000C0A43" w:rsidRPr="002F0E53" w:rsidTr="00423972">
        <w:trPr>
          <w:gridAfter w:val="1"/>
          <w:wAfter w:w="28" w:type="dxa"/>
        </w:trPr>
        <w:tc>
          <w:tcPr>
            <w:tcW w:w="7760" w:type="dxa"/>
            <w:gridSpan w:val="4"/>
            <w:tcBorders>
              <w:top w:val="nil"/>
              <w:left w:val="nil"/>
              <w:bottom w:val="nil"/>
              <w:right w:val="nil"/>
            </w:tcBorders>
            <w:shd w:val="solid" w:color="FFFFFF" w:fill="auto"/>
          </w:tcPr>
          <w:p w:rsidR="000C0A43" w:rsidRPr="002F0E53" w:rsidRDefault="000C0A43" w:rsidP="000C0A43">
            <w:pPr>
              <w:pStyle w:val="Tabletext"/>
              <w:rPr>
                <w:rFonts w:eastAsiaTheme="minorEastAsia"/>
                <w:b/>
                <w:lang w:eastAsia="en-AU"/>
              </w:rPr>
            </w:pPr>
            <w:r w:rsidRPr="002F0E53">
              <w:rPr>
                <w:rFonts w:eastAsiaTheme="minorEastAsia"/>
                <w:b/>
                <w:bCs/>
                <w:lang w:eastAsia="en-AU"/>
              </w:rPr>
              <w:t xml:space="preserve">Human </w:t>
            </w:r>
            <w:r>
              <w:rPr>
                <w:rFonts w:eastAsiaTheme="minorEastAsia" w:cs="Calibri"/>
                <w:b/>
                <w:bCs/>
                <w:color w:val="000000"/>
                <w:lang w:eastAsia="en-AU"/>
              </w:rPr>
              <w:t>Services</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80 056</w:t>
            </w:r>
          </w:p>
        </w:tc>
        <w:tc>
          <w:tcPr>
            <w:tcW w:w="1173"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0C0A43">
              <w:rPr>
                <w:rFonts w:eastAsiaTheme="minorEastAsia"/>
                <w:lang w:eastAsia="en-AU"/>
              </w:rPr>
              <w:t>.</w:t>
            </w:r>
            <w:r w:rsidRPr="002F0E53">
              <w:rPr>
                <w:rFonts w:eastAsiaTheme="minorEastAsia"/>
                <w:lang w:eastAsia="en-AU"/>
              </w:rPr>
              <w:t>a</w:t>
            </w:r>
            <w:r w:rsidR="000C0A43">
              <w:rPr>
                <w:rFonts w:eastAsiaTheme="minorEastAsia"/>
                <w:lang w:eastAsia="en-AU"/>
              </w:rPr>
              <w: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134"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3 865 303</w:t>
            </w:r>
          </w:p>
        </w:tc>
        <w:tc>
          <w:tcPr>
            <w:tcW w:w="1173"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0" w:type="dxa"/>
            <w:tcBorders>
              <w:top w:val="nil"/>
              <w:left w:val="nil"/>
              <w:bottom w:val="single" w:sz="6" w:space="0" w:color="auto"/>
              <w:right w:val="nil"/>
            </w:tcBorders>
            <w:shd w:val="solid" w:color="FFFFFF" w:fill="auto"/>
          </w:tcPr>
          <w:p w:rsidR="00B03921" w:rsidRPr="002F0E53" w:rsidRDefault="000C0A43" w:rsidP="00016914">
            <w:pPr>
              <w:pStyle w:val="TableofFigures"/>
              <w:rPr>
                <w:rFonts w:eastAsiaTheme="minorEastAsia"/>
                <w:lang w:eastAsia="en-AU"/>
              </w:rPr>
            </w:pPr>
            <w:r>
              <w:rPr>
                <w:rFonts w:eastAsiaTheme="minorEastAsia"/>
                <w:lang w:eastAsia="en-AU"/>
              </w:rPr>
              <w:t>n.</w:t>
            </w:r>
            <w:r w:rsidR="00B03921" w:rsidRPr="002F0E53">
              <w:rPr>
                <w:rFonts w:eastAsiaTheme="minorEastAsia"/>
                <w:lang w:eastAsia="en-AU"/>
              </w:rPr>
              <w:t>a</w:t>
            </w:r>
            <w:r>
              <w:rPr>
                <w:rFonts w:eastAsiaTheme="minorEastAsia"/>
                <w:lang w:eastAsia="en-AU"/>
              </w:rPr>
              <w:t>.</w:t>
            </w:r>
          </w:p>
        </w:tc>
      </w:tr>
      <w:tr w:rsidR="00B03921" w:rsidRPr="002F0E53" w:rsidTr="00E566A6">
        <w:trPr>
          <w:gridAfter w:val="1"/>
          <w:wAfter w:w="28" w:type="dxa"/>
        </w:trPr>
        <w:tc>
          <w:tcPr>
            <w:tcW w:w="4413"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134"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3 945 359</w:t>
            </w:r>
          </w:p>
        </w:tc>
        <w:tc>
          <w:tcPr>
            <w:tcW w:w="1173"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1040" w:type="dxa"/>
            <w:tcBorders>
              <w:top w:val="single" w:sz="6" w:space="0" w:color="auto"/>
              <w:left w:val="nil"/>
              <w:bottom w:val="nil"/>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n</w:t>
            </w:r>
            <w:r w:rsidR="000C0A43">
              <w:rPr>
                <w:rFonts w:eastAsiaTheme="minorEastAsia"/>
                <w:b/>
                <w:lang w:eastAsia="en-AU"/>
              </w:rPr>
              <w:t>.</w:t>
            </w:r>
            <w:r w:rsidRPr="002F0E53">
              <w:rPr>
                <w:rFonts w:eastAsiaTheme="minorEastAsia"/>
                <w:b/>
                <w:lang w:eastAsia="en-AU"/>
              </w:rPr>
              <w:t>a</w:t>
            </w:r>
            <w:r w:rsidR="000C0A43">
              <w:rPr>
                <w:rFonts w:eastAsiaTheme="minorEastAsia"/>
                <w:b/>
                <w:lang w:eastAsia="en-AU"/>
              </w:rPr>
              <w:t>.</w:t>
            </w:r>
          </w:p>
        </w:tc>
      </w:tr>
    </w:tbl>
    <w:p w:rsidR="000C0A43" w:rsidRDefault="000C0A43" w:rsidP="000C0A43">
      <w:pPr>
        <w:pStyle w:val="BodyText"/>
      </w:pPr>
    </w:p>
    <w:p w:rsidR="000C0A43" w:rsidRDefault="000C0A43" w:rsidP="000C0A43">
      <w:pPr>
        <w:pStyle w:val="BodyText"/>
        <w:rPr>
          <w:rFonts w:ascii="Calibri" w:hAnsi="Calibri"/>
        </w:rPr>
      </w:pPr>
      <w:r>
        <w:br w:type="page"/>
      </w:r>
    </w:p>
    <w:p w:rsidR="000C0A43" w:rsidRDefault="000C0A43" w:rsidP="000C0A43">
      <w:pPr>
        <w:pStyle w:val="Tableheadingcontinued"/>
      </w:pPr>
      <w:r>
        <w:t>Table A.3:</w:t>
      </w:r>
      <w:r>
        <w:tab/>
        <w:t>Consolidated Fund appropriations – summary</w:t>
      </w:r>
      <w:r w:rsidRPr="000C0A43">
        <w:rPr>
          <w:vertAlign w:val="superscript"/>
        </w:rPr>
        <w:t>(a)</w:t>
      </w:r>
      <w:r>
        <w:t xml:space="preserve"> </w:t>
      </w:r>
      <w:r w:rsidRPr="000C0A43">
        <w:rPr>
          <w:i/>
        </w:rPr>
        <w:t>(continued)</w:t>
      </w:r>
    </w:p>
    <w:p w:rsidR="000C0A43" w:rsidRDefault="000C0A43" w:rsidP="000C0A43">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0C0A43" w:rsidRPr="002F0E53" w:rsidTr="000C0A43">
        <w:trPr>
          <w:trHeight w:val="503"/>
          <w:tblHeader/>
        </w:trPr>
        <w:tc>
          <w:tcPr>
            <w:tcW w:w="4640" w:type="dxa"/>
            <w:tcBorders>
              <w:top w:val="single" w:sz="6" w:space="0" w:color="auto"/>
              <w:left w:val="single" w:sz="6" w:space="0" w:color="auto"/>
              <w:right w:val="nil"/>
            </w:tcBorders>
            <w:shd w:val="clear" w:color="000000" w:fill="000000"/>
          </w:tcPr>
          <w:p w:rsidR="000C0A43" w:rsidRPr="002F0E53" w:rsidRDefault="000C0A43" w:rsidP="00423972">
            <w:pPr>
              <w:pStyle w:val="Tabletext"/>
              <w:rPr>
                <w:rFonts w:eastAsiaTheme="minorEastAsia"/>
                <w:lang w:eastAsia="en-AU"/>
              </w:rPr>
            </w:pPr>
          </w:p>
        </w:tc>
        <w:tc>
          <w:tcPr>
            <w:tcW w:w="1040" w:type="dxa"/>
            <w:tcBorders>
              <w:top w:val="single" w:sz="6" w:space="0" w:color="auto"/>
              <w:left w:val="nil"/>
              <w:right w:val="nil"/>
            </w:tcBorders>
            <w:shd w:val="clear" w:color="000000" w:fill="000000"/>
          </w:tcPr>
          <w:p w:rsidR="000C0A43" w:rsidRPr="002F0E53" w:rsidRDefault="000C0A43" w:rsidP="00E566A6">
            <w:pPr>
              <w:pStyle w:val="Tabletextheading"/>
              <w:rPr>
                <w:rFonts w:eastAsiaTheme="minorEastAsia"/>
                <w:iCs/>
                <w:color w:val="FFFFFF"/>
                <w:lang w:eastAsia="en-AU"/>
              </w:rPr>
            </w:pPr>
            <w:r w:rsidRPr="002F0E53">
              <w:rPr>
                <w:rFonts w:eastAsiaTheme="minorEastAsia"/>
                <w:iCs/>
                <w:color w:val="FFFFFF"/>
                <w:lang w:eastAsia="en-AU"/>
              </w:rPr>
              <w:t>2014-15</w:t>
            </w:r>
            <w:r>
              <w:rPr>
                <w:rFonts w:eastAsiaTheme="minorEastAsia"/>
                <w:iCs/>
                <w:color w:val="FFFFFF"/>
                <w:lang w:eastAsia="en-AU"/>
              </w:rPr>
              <w:t xml:space="preserve"> </w:t>
            </w:r>
            <w:r w:rsidRPr="002F0E53">
              <w:rPr>
                <w:rFonts w:eastAsiaTheme="minorEastAsia"/>
                <w:iCs/>
                <w:color w:val="FFFFFF"/>
                <w:lang w:eastAsia="en-AU"/>
              </w:rPr>
              <w:t>budget</w:t>
            </w:r>
            <w:r w:rsidRPr="002F0E53">
              <w:rPr>
                <w:rFonts w:eastAsiaTheme="minorEastAsia"/>
                <w:iCs/>
                <w:color w:val="FFFFFF"/>
                <w:vertAlign w:val="superscript"/>
                <w:lang w:eastAsia="en-AU"/>
              </w:rPr>
              <w:t>(b)</w:t>
            </w:r>
          </w:p>
        </w:tc>
        <w:tc>
          <w:tcPr>
            <w:tcW w:w="1040" w:type="dxa"/>
            <w:tcBorders>
              <w:top w:val="single" w:sz="6" w:space="0" w:color="auto"/>
              <w:left w:val="nil"/>
              <w:right w:val="nil"/>
            </w:tcBorders>
            <w:shd w:val="clear" w:color="000000" w:fill="000000"/>
          </w:tcPr>
          <w:p w:rsidR="000C0A43" w:rsidRPr="002F0E53" w:rsidRDefault="000C0A43" w:rsidP="00423972">
            <w:pPr>
              <w:pStyle w:val="Tabletextheading"/>
              <w:rPr>
                <w:rFonts w:eastAsiaTheme="minorEastAsia"/>
                <w:iCs/>
                <w:color w:val="FFFFFF"/>
                <w:lang w:eastAsia="en-AU"/>
              </w:rPr>
            </w:pPr>
            <w:r w:rsidRPr="002F0E53">
              <w:rPr>
                <w:rFonts w:eastAsiaTheme="minorEastAsia"/>
                <w:iCs/>
                <w:color w:val="FFFFFF"/>
                <w:lang w:eastAsia="en-AU"/>
              </w:rPr>
              <w:t>2015-16</w:t>
            </w:r>
            <w:r>
              <w:rPr>
                <w:rFonts w:eastAsiaTheme="minorEastAsia"/>
                <w:iCs/>
                <w:color w:val="FFFFFF"/>
                <w:lang w:eastAsia="en-AU"/>
              </w:rPr>
              <w:t xml:space="preserve"> </w:t>
            </w:r>
            <w:r w:rsidRPr="002F0E53">
              <w:rPr>
                <w:rFonts w:eastAsiaTheme="minorEastAsia"/>
                <w:iCs/>
                <w:color w:val="FFFFFF"/>
                <w:lang w:eastAsia="en-AU"/>
              </w:rPr>
              <w:t>budget</w:t>
            </w:r>
          </w:p>
        </w:tc>
        <w:tc>
          <w:tcPr>
            <w:tcW w:w="1040" w:type="dxa"/>
            <w:tcBorders>
              <w:top w:val="single" w:sz="6" w:space="0" w:color="auto"/>
              <w:left w:val="nil"/>
              <w:right w:val="single" w:sz="6" w:space="0" w:color="auto"/>
            </w:tcBorders>
            <w:shd w:val="clear" w:color="000000" w:fill="000000"/>
          </w:tcPr>
          <w:p w:rsidR="000C0A43" w:rsidRPr="002F0E53" w:rsidRDefault="000C0A43" w:rsidP="00423972">
            <w:pPr>
              <w:pStyle w:val="Tabletextheading"/>
              <w:rPr>
                <w:rFonts w:eastAsiaTheme="minorEastAsia"/>
                <w:iCs/>
                <w:color w:val="FFFFFF"/>
                <w:lang w:eastAsia="en-AU"/>
              </w:rPr>
            </w:pPr>
            <w:r w:rsidRPr="002F0E53">
              <w:rPr>
                <w:rFonts w:eastAsiaTheme="minorEastAsia"/>
                <w:iCs/>
                <w:color w:val="FFFFFF"/>
                <w:lang w:eastAsia="en-AU"/>
              </w:rPr>
              <w:t>variation</w:t>
            </w:r>
          </w:p>
          <w:p w:rsidR="000C0A43" w:rsidRPr="002F0E53" w:rsidRDefault="000C0A43" w:rsidP="00423972">
            <w:pPr>
              <w:pStyle w:val="Tabletextheading"/>
              <w:rPr>
                <w:rFonts w:eastAsiaTheme="minorEastAsia"/>
                <w:iCs/>
                <w:color w:val="FFFFFF"/>
                <w:lang w:eastAsia="en-AU"/>
              </w:rPr>
            </w:pPr>
            <w:r w:rsidRPr="002F0E53">
              <w:rPr>
                <w:rFonts w:eastAsiaTheme="minorEastAsia"/>
                <w:iCs/>
                <w:color w:val="FFFFFF"/>
                <w:lang w:eastAsia="en-AU"/>
              </w:rPr>
              <w:t>%</w:t>
            </w:r>
          </w:p>
        </w:tc>
      </w:tr>
      <w:tr w:rsidR="000C0A43" w:rsidRPr="002F0E53" w:rsidTr="00423972">
        <w:tc>
          <w:tcPr>
            <w:tcW w:w="7760" w:type="dxa"/>
            <w:gridSpan w:val="4"/>
            <w:tcBorders>
              <w:top w:val="nil"/>
              <w:left w:val="nil"/>
              <w:bottom w:val="nil"/>
              <w:right w:val="nil"/>
            </w:tcBorders>
            <w:shd w:val="solid" w:color="FFFFFF" w:fill="auto"/>
          </w:tcPr>
          <w:p w:rsidR="000C0A43" w:rsidRPr="002F0E53" w:rsidRDefault="000C0A43" w:rsidP="000C0A43">
            <w:pPr>
              <w:pStyle w:val="Tabletext"/>
              <w:ind w:left="181" w:hanging="181"/>
              <w:rPr>
                <w:rFonts w:eastAsiaTheme="minorEastAsia"/>
                <w:b/>
                <w:lang w:eastAsia="en-AU"/>
              </w:rPr>
            </w:pPr>
            <w:r w:rsidRPr="002F0E53">
              <w:rPr>
                <w:rFonts w:eastAsiaTheme="minorEastAsia"/>
                <w:b/>
                <w:bCs/>
                <w:lang w:eastAsia="en-AU"/>
              </w:rPr>
              <w:t>Transport,</w:t>
            </w:r>
            <w:r w:rsidRPr="002F0E53">
              <w:rPr>
                <w:rFonts w:eastAsiaTheme="minorEastAsia" w:cs="Calibri"/>
                <w:b/>
                <w:bCs/>
                <w:color w:val="000000"/>
                <w:lang w:eastAsia="en-AU"/>
              </w:rPr>
              <w:t xml:space="preserve"> Pl</w:t>
            </w:r>
            <w:r>
              <w:rPr>
                <w:rFonts w:eastAsiaTheme="minorEastAsia" w:cs="Calibri"/>
                <w:b/>
                <w:bCs/>
                <w:color w:val="000000"/>
                <w:lang w:eastAsia="en-AU"/>
              </w:rPr>
              <w:t>anning and Local Infrastructure</w:t>
            </w:r>
          </w:p>
        </w:tc>
      </w:tr>
      <w:tr w:rsidR="00B03921" w:rsidRPr="002F0E53" w:rsidTr="000C0A43">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Special appropriations</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 xml:space="preserve"> 23 007</w:t>
            </w:r>
          </w:p>
        </w:tc>
        <w:tc>
          <w:tcPr>
            <w:tcW w:w="1040" w:type="dxa"/>
            <w:tcBorders>
              <w:top w:val="nil"/>
              <w:left w:val="nil"/>
              <w:bottom w:val="nil"/>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E566A6">
              <w:rPr>
                <w:rFonts w:eastAsiaTheme="minorEastAsia"/>
                <w:lang w:eastAsia="en-AU"/>
              </w:rPr>
              <w:t>.</w:t>
            </w:r>
            <w:r w:rsidRPr="002F0E53">
              <w:rPr>
                <w:rFonts w:eastAsiaTheme="minorEastAsia"/>
                <w:lang w:eastAsia="en-AU"/>
              </w:rPr>
              <w:t>a</w:t>
            </w:r>
            <w:r w:rsidR="00E566A6">
              <w:rPr>
                <w:rFonts w:eastAsiaTheme="minorEastAsia"/>
                <w:lang w:eastAsia="en-AU"/>
              </w:rPr>
              <w:t>.</w:t>
            </w:r>
          </w:p>
        </w:tc>
      </w:tr>
      <w:tr w:rsidR="00B03921" w:rsidRPr="002F0E53" w:rsidTr="000C0A43">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Annual appropriations</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cs="Calibri"/>
                <w:color w:val="000000"/>
                <w:lang w:eastAsia="en-AU"/>
              </w:rPr>
            </w:pPr>
            <w:r w:rsidRPr="002F0E53">
              <w:rPr>
                <w:rFonts w:eastAsiaTheme="minorEastAsia"/>
                <w:lang w:eastAsia="en-AU"/>
              </w:rPr>
              <w:t>8 079 328</w:t>
            </w:r>
          </w:p>
        </w:tc>
        <w:tc>
          <w:tcPr>
            <w:tcW w:w="1040" w:type="dxa"/>
            <w:tcBorders>
              <w:top w:val="nil"/>
              <w:left w:val="nil"/>
              <w:bottom w:val="single" w:sz="6" w:space="0" w:color="auto"/>
              <w:right w:val="nil"/>
            </w:tcBorders>
          </w:tcPr>
          <w:p w:rsidR="00B03921" w:rsidRPr="002F0E53" w:rsidRDefault="00B03921" w:rsidP="00016914">
            <w:pPr>
              <w:pStyle w:val="TableofFigures"/>
              <w:rPr>
                <w:rFonts w:eastAsiaTheme="minorEastAsia"/>
                <w:lang w:eastAsia="en-AU"/>
              </w:rPr>
            </w:pPr>
            <w:r w:rsidRPr="002F0E53">
              <w:rPr>
                <w:rFonts w:eastAsiaTheme="minorEastAsia"/>
                <w:lang w:eastAsia="en-AU"/>
              </w:rPr>
              <w:t>..</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lang w:eastAsia="en-AU"/>
              </w:rPr>
            </w:pPr>
            <w:r w:rsidRPr="002F0E53">
              <w:rPr>
                <w:rFonts w:eastAsiaTheme="minorEastAsia"/>
                <w:lang w:eastAsia="en-AU"/>
              </w:rPr>
              <w:t>n</w:t>
            </w:r>
            <w:r w:rsidR="00E566A6">
              <w:rPr>
                <w:rFonts w:eastAsiaTheme="minorEastAsia"/>
                <w:lang w:eastAsia="en-AU"/>
              </w:rPr>
              <w:t>.</w:t>
            </w:r>
            <w:r w:rsidRPr="002F0E53">
              <w:rPr>
                <w:rFonts w:eastAsiaTheme="minorEastAsia"/>
                <w:lang w:eastAsia="en-AU"/>
              </w:rPr>
              <w:t>a</w:t>
            </w:r>
            <w:r w:rsidR="00E566A6">
              <w:rPr>
                <w:rFonts w:eastAsiaTheme="minorEastAsia"/>
                <w:lang w:eastAsia="en-AU"/>
              </w:rPr>
              <w:t>.</w:t>
            </w:r>
          </w:p>
        </w:tc>
      </w:tr>
      <w:tr w:rsidR="00B03921" w:rsidRPr="002F0E53" w:rsidTr="000C0A43">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lang w:eastAsia="en-AU"/>
              </w:rPr>
              <w:t xml:space="preserve">  </w:t>
            </w:r>
            <w:r w:rsidRPr="002F0E53">
              <w:rPr>
                <w:rFonts w:eastAsiaTheme="minorEastAsia"/>
                <w:b/>
                <w:bCs/>
                <w:lang w:eastAsia="en-AU"/>
              </w:rPr>
              <w:t>Total</w:t>
            </w:r>
          </w:p>
        </w:tc>
        <w:tc>
          <w:tcPr>
            <w:tcW w:w="1040" w:type="dxa"/>
            <w:tcBorders>
              <w:top w:val="nil"/>
              <w:left w:val="nil"/>
              <w:bottom w:val="nil"/>
              <w:right w:val="nil"/>
            </w:tcBorders>
            <w:shd w:val="solid" w:color="FFFFFF" w:fill="auto"/>
          </w:tcPr>
          <w:p w:rsidR="00B03921" w:rsidRPr="002F0E53" w:rsidRDefault="00B03921" w:rsidP="00016914">
            <w:pPr>
              <w:pStyle w:val="TableofFigures"/>
              <w:rPr>
                <w:rFonts w:eastAsiaTheme="minorEastAsia" w:cs="Calibri"/>
                <w:b/>
                <w:bCs/>
                <w:color w:val="000000"/>
                <w:lang w:eastAsia="en-AU"/>
              </w:rPr>
            </w:pPr>
            <w:r w:rsidRPr="002F0E53">
              <w:rPr>
                <w:rFonts w:eastAsiaTheme="minorEastAsia"/>
                <w:b/>
                <w:bCs/>
                <w:lang w:eastAsia="en-AU"/>
              </w:rPr>
              <w:t>8 102 335</w:t>
            </w:r>
          </w:p>
        </w:tc>
        <w:tc>
          <w:tcPr>
            <w:tcW w:w="1040"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1040" w:type="dxa"/>
            <w:tcBorders>
              <w:top w:val="nil"/>
              <w:left w:val="nil"/>
              <w:bottom w:val="single" w:sz="6" w:space="0" w:color="auto"/>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n</w:t>
            </w:r>
            <w:r w:rsidR="00E566A6">
              <w:rPr>
                <w:rFonts w:eastAsiaTheme="minorEastAsia"/>
                <w:b/>
                <w:lang w:eastAsia="en-AU"/>
              </w:rPr>
              <w:t>.</w:t>
            </w:r>
            <w:r w:rsidRPr="002F0E53">
              <w:rPr>
                <w:rFonts w:eastAsiaTheme="minorEastAsia"/>
                <w:b/>
                <w:lang w:eastAsia="en-AU"/>
              </w:rPr>
              <w:t>a</w:t>
            </w:r>
            <w:r w:rsidR="00E566A6">
              <w:rPr>
                <w:rFonts w:eastAsiaTheme="minorEastAsia"/>
                <w:b/>
                <w:lang w:eastAsia="en-AU"/>
              </w:rPr>
              <w:t>.</w:t>
            </w:r>
          </w:p>
        </w:tc>
      </w:tr>
      <w:tr w:rsidR="00B03921" w:rsidRPr="002F0E53" w:rsidTr="000C0A43">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special appropriations</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3 905 644</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4 175 216</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6.9</w:t>
            </w:r>
          </w:p>
        </w:tc>
      </w:tr>
      <w:tr w:rsidR="00B03921" w:rsidRPr="002F0E53" w:rsidTr="000C0A43">
        <w:tc>
          <w:tcPr>
            <w:tcW w:w="4640"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vertAlign w:val="superscript"/>
                <w:lang w:eastAsia="en-AU"/>
              </w:rPr>
            </w:pPr>
            <w:r w:rsidRPr="002F0E53">
              <w:rPr>
                <w:rFonts w:eastAsiaTheme="minorEastAsia"/>
                <w:b/>
                <w:bCs/>
                <w:lang w:eastAsia="en-AU"/>
              </w:rPr>
              <w:t xml:space="preserve">Total annual appropriations </w:t>
            </w:r>
            <w:r w:rsidRPr="002F0E53">
              <w:rPr>
                <w:rFonts w:eastAsiaTheme="minorEastAsia"/>
                <w:b/>
                <w:bCs/>
                <w:vertAlign w:val="superscript"/>
                <w:lang w:eastAsia="en-AU"/>
              </w:rPr>
              <w:t>(c)</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44 581 879</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45 336 002</w:t>
            </w:r>
          </w:p>
        </w:tc>
        <w:tc>
          <w:tcPr>
            <w:tcW w:w="1040" w:type="dxa"/>
            <w:tcBorders>
              <w:top w:val="single" w:sz="6" w:space="0" w:color="auto"/>
              <w:left w:val="nil"/>
              <w:bottom w:val="single" w:sz="6" w:space="0" w:color="auto"/>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1.7</w:t>
            </w:r>
          </w:p>
        </w:tc>
      </w:tr>
      <w:tr w:rsidR="00B03921" w:rsidRPr="002F0E53" w:rsidTr="000C0A43">
        <w:tc>
          <w:tcPr>
            <w:tcW w:w="4640" w:type="dxa"/>
            <w:tcBorders>
              <w:top w:val="nil"/>
              <w:left w:val="nil"/>
              <w:bottom w:val="single" w:sz="12" w:space="0" w:color="000000"/>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Total appropriations</w:t>
            </w:r>
          </w:p>
        </w:tc>
        <w:tc>
          <w:tcPr>
            <w:tcW w:w="10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48 487 522</w:t>
            </w:r>
          </w:p>
        </w:tc>
        <w:tc>
          <w:tcPr>
            <w:tcW w:w="1040" w:type="dxa"/>
            <w:tcBorders>
              <w:top w:val="single" w:sz="6" w:space="0" w:color="auto"/>
              <w:left w:val="nil"/>
              <w:bottom w:val="single" w:sz="12" w:space="0" w:color="000000"/>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49 511 218</w:t>
            </w:r>
          </w:p>
        </w:tc>
        <w:tc>
          <w:tcPr>
            <w:tcW w:w="1040" w:type="dxa"/>
            <w:tcBorders>
              <w:top w:val="single" w:sz="6" w:space="0" w:color="auto"/>
              <w:left w:val="nil"/>
              <w:bottom w:val="single" w:sz="12" w:space="0" w:color="000000"/>
              <w:right w:val="nil"/>
            </w:tcBorders>
            <w:shd w:val="solid" w:color="FFFFFF" w:fill="auto"/>
          </w:tcPr>
          <w:p w:rsidR="00B03921" w:rsidRPr="002F0E53" w:rsidRDefault="00B03921" w:rsidP="00016914">
            <w:pPr>
              <w:pStyle w:val="TableofFigures"/>
              <w:rPr>
                <w:rFonts w:eastAsiaTheme="minorEastAsia"/>
                <w:b/>
                <w:lang w:eastAsia="en-AU"/>
              </w:rPr>
            </w:pPr>
            <w:r w:rsidRPr="002F0E53">
              <w:rPr>
                <w:rFonts w:eastAsiaTheme="minorEastAsia"/>
                <w:b/>
                <w:lang w:eastAsia="en-AU"/>
              </w:rPr>
              <w:t>2.1</w:t>
            </w:r>
          </w:p>
        </w:tc>
      </w:tr>
    </w:tbl>
    <w:p w:rsidR="00B03921" w:rsidRDefault="00B03921" w:rsidP="00016914">
      <w:pPr>
        <w:pStyle w:val="Source"/>
      </w:pPr>
      <w:r>
        <w:t>Source: Department of Treasury and Finance</w:t>
      </w:r>
    </w:p>
    <w:p w:rsidR="00B03921" w:rsidRPr="00424F91" w:rsidRDefault="00B03921" w:rsidP="00016914">
      <w:pPr>
        <w:pStyle w:val="Notes"/>
        <w:rPr>
          <w:lang w:eastAsia="en-AU"/>
        </w:rPr>
      </w:pPr>
      <w:r w:rsidRPr="00424F91">
        <w:t>Notes</w:t>
      </w:r>
      <w:r w:rsidRPr="00424F91">
        <w:rPr>
          <w:lang w:eastAsia="en-AU"/>
        </w:rPr>
        <w:t>:</w:t>
      </w:r>
    </w:p>
    <w:p w:rsidR="00B03921" w:rsidRPr="00424F91" w:rsidRDefault="00B03921" w:rsidP="00016914">
      <w:pPr>
        <w:pStyle w:val="Notes"/>
        <w:numPr>
          <w:ilvl w:val="0"/>
          <w:numId w:val="44"/>
        </w:numPr>
        <w:rPr>
          <w:rFonts w:asciiTheme="minorHAnsi" w:hAnsiTheme="minorHAnsi" w:cstheme="minorHAnsi"/>
          <w:lang w:eastAsia="en-AU"/>
        </w:rPr>
      </w:pPr>
      <w:r>
        <w:t xml:space="preserve">On </w:t>
      </w:r>
      <w:r>
        <w:rPr>
          <w:rFonts w:asciiTheme="minorHAnsi" w:hAnsiTheme="minorHAnsi" w:cstheme="minorHAnsi"/>
          <w:lang w:eastAsia="en-AU"/>
        </w:rPr>
        <w:t xml:space="preserve">4 December 2014, the Premier announced </w:t>
      </w:r>
      <w:r w:rsidRPr="00424F91">
        <w:rPr>
          <w:rFonts w:asciiTheme="minorHAnsi" w:hAnsiTheme="minorHAnsi" w:cstheme="minorHAnsi"/>
          <w:lang w:eastAsia="en-AU"/>
        </w:rPr>
        <w:t xml:space="preserve">machinery of government changes effective </w:t>
      </w:r>
      <w:r>
        <w:rPr>
          <w:rFonts w:asciiTheme="minorHAnsi" w:hAnsiTheme="minorHAnsi" w:cstheme="minorHAnsi"/>
          <w:lang w:eastAsia="en-AU"/>
        </w:rPr>
        <w:t xml:space="preserve">from </w:t>
      </w:r>
      <w:r w:rsidRPr="00424F91">
        <w:rPr>
          <w:rFonts w:asciiTheme="minorHAnsi" w:hAnsiTheme="minorHAnsi" w:cstheme="minorHAnsi"/>
          <w:lang w:eastAsia="en-AU"/>
        </w:rPr>
        <w:t>1 January 201</w:t>
      </w:r>
      <w:r>
        <w:rPr>
          <w:rFonts w:asciiTheme="minorHAnsi" w:hAnsiTheme="minorHAnsi" w:cstheme="minorHAnsi"/>
          <w:lang w:eastAsia="en-AU"/>
        </w:rPr>
        <w:t>5. The following Victorian government departments were affected: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Education and Early Child</w:t>
      </w:r>
      <w:r>
        <w:rPr>
          <w:rFonts w:asciiTheme="minorHAnsi" w:hAnsiTheme="minorHAnsi" w:cstheme="minorHAnsi"/>
        </w:rPr>
        <w:t xml:space="preserve">hood Development was renamed </w:t>
      </w:r>
      <w:r w:rsidRPr="00424F91">
        <w:rPr>
          <w:rFonts w:asciiTheme="minorHAnsi" w:hAnsiTheme="minorHAnsi" w:cstheme="minorHAnsi"/>
        </w:rPr>
        <w:t xml:space="preserve">the Department of Education and Training;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Environment and P</w:t>
      </w:r>
      <w:r>
        <w:rPr>
          <w:rFonts w:asciiTheme="minorHAnsi" w:hAnsiTheme="minorHAnsi" w:cstheme="minorHAnsi"/>
        </w:rPr>
        <w:t>rimary Industries was renamed</w:t>
      </w:r>
      <w:r w:rsidRPr="00424F91">
        <w:rPr>
          <w:rFonts w:asciiTheme="minorHAnsi" w:hAnsiTheme="minorHAnsi" w:cstheme="minorHAnsi"/>
        </w:rPr>
        <w:t xml:space="preserve"> the Department of Environment, Land, Water and Planning;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Health</w:t>
      </w:r>
      <w:r>
        <w:rPr>
          <w:rFonts w:asciiTheme="minorHAnsi" w:hAnsiTheme="minorHAnsi" w:cstheme="minorHAnsi"/>
        </w:rPr>
        <w:t xml:space="preserve"> was renamed the </w:t>
      </w:r>
      <w:r w:rsidRPr="00424F91">
        <w:rPr>
          <w:rFonts w:asciiTheme="minorHAnsi" w:hAnsiTheme="minorHAnsi" w:cstheme="minorHAnsi"/>
        </w:rPr>
        <w:t xml:space="preserve">Department of Health and Human Services;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w:t>
      </w:r>
      <w:r>
        <w:rPr>
          <w:rFonts w:asciiTheme="minorHAnsi" w:hAnsiTheme="minorHAnsi" w:cstheme="minorHAnsi"/>
        </w:rPr>
        <w:t xml:space="preserve">nt of Justice was renamed the </w:t>
      </w:r>
      <w:r w:rsidRPr="00424F91">
        <w:rPr>
          <w:rFonts w:asciiTheme="minorHAnsi" w:hAnsiTheme="minorHAnsi" w:cstheme="minorHAnsi"/>
        </w:rPr>
        <w:t xml:space="preserve">Department of Justice and Regulation;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State Development, Busines</w:t>
      </w:r>
      <w:r>
        <w:rPr>
          <w:rFonts w:asciiTheme="minorHAnsi" w:hAnsiTheme="minorHAnsi" w:cstheme="minorHAnsi"/>
        </w:rPr>
        <w:t xml:space="preserve">s and Innovation was renamed </w:t>
      </w:r>
      <w:r w:rsidRPr="00424F91">
        <w:rPr>
          <w:rFonts w:asciiTheme="minorHAnsi" w:hAnsiTheme="minorHAnsi" w:cstheme="minorHAnsi"/>
        </w:rPr>
        <w:t>the Department of Economic Development, Jobs, Transport and Resources;</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Human Ser</w:t>
      </w:r>
      <w:r>
        <w:rPr>
          <w:rFonts w:asciiTheme="minorHAnsi" w:hAnsiTheme="minorHAnsi" w:cstheme="minorHAnsi"/>
        </w:rPr>
        <w:t>vices was abolished</w:t>
      </w:r>
      <w:r w:rsidRPr="00424F91">
        <w:rPr>
          <w:rFonts w:asciiTheme="minorHAnsi" w:hAnsiTheme="minorHAnsi" w:cstheme="minorHAnsi"/>
        </w:rPr>
        <w:t>; and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Transport, Planning and Local Infrastructure</w:t>
      </w:r>
      <w:r>
        <w:rPr>
          <w:rFonts w:asciiTheme="minorHAnsi" w:hAnsiTheme="minorHAnsi" w:cstheme="minorHAnsi"/>
        </w:rPr>
        <w:t xml:space="preserve"> was abolished.</w:t>
      </w:r>
    </w:p>
    <w:p w:rsidR="00B03921" w:rsidRDefault="00B03921" w:rsidP="00016914">
      <w:pPr>
        <w:pStyle w:val="Notes"/>
        <w:rPr>
          <w:rFonts w:asciiTheme="minorHAnsi" w:hAnsiTheme="minorHAnsi" w:cstheme="minorHAnsi"/>
          <w:lang w:eastAsia="en-AU"/>
        </w:rPr>
      </w:pPr>
      <w:r>
        <w:rPr>
          <w:rFonts w:asciiTheme="minorHAnsi" w:hAnsiTheme="minorHAnsi" w:cstheme="minorHAnsi"/>
          <w:lang w:eastAsia="en-AU"/>
        </w:rPr>
        <w:tab/>
      </w:r>
      <w:r w:rsidRPr="00424F91">
        <w:rPr>
          <w:rFonts w:asciiTheme="minorHAnsi" w:hAnsiTheme="minorHAnsi" w:cstheme="minorHAnsi"/>
          <w:lang w:eastAsia="en-AU"/>
        </w:rPr>
        <w:t xml:space="preserve">The two </w:t>
      </w:r>
      <w:r>
        <w:rPr>
          <w:rFonts w:asciiTheme="minorHAnsi" w:hAnsiTheme="minorHAnsi" w:cstheme="minorHAnsi"/>
          <w:lang w:eastAsia="en-AU"/>
        </w:rPr>
        <w:t>abolished</w:t>
      </w:r>
      <w:r w:rsidRPr="00424F91">
        <w:rPr>
          <w:rFonts w:asciiTheme="minorHAnsi" w:hAnsiTheme="minorHAnsi" w:cstheme="minorHAnsi"/>
          <w:lang w:eastAsia="en-AU"/>
        </w:rPr>
        <w:t xml:space="preserve"> departments had their functions and operations transferred to other Victorian government departments. Functions and operations of the Department of Human Servi</w:t>
      </w:r>
      <w:r>
        <w:rPr>
          <w:rFonts w:asciiTheme="minorHAnsi" w:hAnsiTheme="minorHAnsi" w:cstheme="minorHAnsi"/>
          <w:lang w:eastAsia="en-AU"/>
        </w:rPr>
        <w:t xml:space="preserve">ces were transferred to the </w:t>
      </w:r>
      <w:r w:rsidRPr="00424F91">
        <w:rPr>
          <w:rFonts w:asciiTheme="minorHAnsi" w:hAnsiTheme="minorHAnsi" w:cstheme="minorHAnsi"/>
          <w:lang w:eastAsia="en-AU"/>
        </w:rPr>
        <w:t>Department of Heal</w:t>
      </w:r>
      <w:r>
        <w:rPr>
          <w:rFonts w:asciiTheme="minorHAnsi" w:hAnsiTheme="minorHAnsi" w:cstheme="minorHAnsi"/>
          <w:lang w:eastAsia="en-AU"/>
        </w:rPr>
        <w:t xml:space="preserve">th and Human Services </w:t>
      </w:r>
      <w:r w:rsidRPr="00424F91">
        <w:rPr>
          <w:rFonts w:asciiTheme="minorHAnsi" w:hAnsiTheme="minorHAnsi" w:cstheme="minorHAnsi"/>
          <w:lang w:eastAsia="en-AU"/>
        </w:rPr>
        <w:t xml:space="preserve">and the Department </w:t>
      </w:r>
      <w:r>
        <w:rPr>
          <w:rFonts w:asciiTheme="minorHAnsi" w:hAnsiTheme="minorHAnsi" w:cstheme="minorHAnsi"/>
          <w:lang w:eastAsia="en-AU"/>
        </w:rPr>
        <w:t>of Premier and Cabinet</w:t>
      </w:r>
      <w:r w:rsidRPr="00424F91">
        <w:rPr>
          <w:rFonts w:asciiTheme="minorHAnsi" w:hAnsiTheme="minorHAnsi" w:cstheme="minorHAnsi"/>
          <w:lang w:eastAsia="en-AU"/>
        </w:rPr>
        <w:t>. Functions and operations of the Department of Transport, Planning and Local Infrastructure were transferred to</w:t>
      </w:r>
      <w:r>
        <w:rPr>
          <w:rFonts w:asciiTheme="minorHAnsi" w:hAnsiTheme="minorHAnsi" w:cstheme="minorHAnsi"/>
          <w:lang w:eastAsia="en-AU"/>
        </w:rPr>
        <w:t xml:space="preserve"> the </w:t>
      </w:r>
      <w:r w:rsidRPr="00424F91">
        <w:rPr>
          <w:rFonts w:asciiTheme="minorHAnsi" w:hAnsiTheme="minorHAnsi" w:cstheme="minorHAnsi"/>
          <w:lang w:eastAsia="en-AU"/>
        </w:rPr>
        <w:t>Department of Environment, La</w:t>
      </w:r>
      <w:r>
        <w:rPr>
          <w:rFonts w:asciiTheme="minorHAnsi" w:hAnsiTheme="minorHAnsi" w:cstheme="minorHAnsi"/>
          <w:lang w:eastAsia="en-AU"/>
        </w:rPr>
        <w:t xml:space="preserve">nd, Water and Planning, the </w:t>
      </w:r>
      <w:r w:rsidRPr="00424F91">
        <w:rPr>
          <w:rFonts w:asciiTheme="minorHAnsi" w:hAnsiTheme="minorHAnsi" w:cstheme="minorHAnsi"/>
          <w:lang w:eastAsia="en-AU"/>
        </w:rPr>
        <w:t>Department of Heal</w:t>
      </w:r>
      <w:r>
        <w:rPr>
          <w:rFonts w:asciiTheme="minorHAnsi" w:hAnsiTheme="minorHAnsi" w:cstheme="minorHAnsi"/>
          <w:lang w:eastAsia="en-AU"/>
        </w:rPr>
        <w:t xml:space="preserve">th and Human Services and the </w:t>
      </w:r>
      <w:r w:rsidRPr="00424F91">
        <w:rPr>
          <w:rFonts w:asciiTheme="minorHAnsi" w:hAnsiTheme="minorHAnsi" w:cstheme="minorHAnsi"/>
          <w:lang w:eastAsia="en-AU"/>
        </w:rPr>
        <w:t>Department of Economic Development, Jobs, Transp</w:t>
      </w:r>
      <w:r>
        <w:rPr>
          <w:rFonts w:asciiTheme="minorHAnsi" w:hAnsiTheme="minorHAnsi" w:cstheme="minorHAnsi"/>
          <w:lang w:eastAsia="en-AU"/>
        </w:rPr>
        <w:t>ort and Resources</w:t>
      </w:r>
      <w:r w:rsidRPr="00424F91">
        <w:rPr>
          <w:rFonts w:asciiTheme="minorHAnsi" w:hAnsiTheme="minorHAnsi" w:cstheme="minorHAnsi"/>
          <w:lang w:eastAsia="en-AU"/>
        </w:rPr>
        <w:t xml:space="preserve">. Certain functions and operations of </w:t>
      </w:r>
      <w:r>
        <w:rPr>
          <w:rFonts w:asciiTheme="minorHAnsi" w:hAnsiTheme="minorHAnsi" w:cstheme="minorHAnsi"/>
          <w:lang w:eastAsia="en-AU"/>
        </w:rPr>
        <w:t>continuing</w:t>
      </w:r>
      <w:r w:rsidRPr="00424F91">
        <w:rPr>
          <w:rFonts w:asciiTheme="minorHAnsi" w:hAnsiTheme="minorHAnsi" w:cstheme="minorHAnsi"/>
          <w:lang w:eastAsia="en-AU"/>
        </w:rPr>
        <w:t xml:space="preserve"> Victorian government departments were also transferred</w:t>
      </w:r>
      <w:r>
        <w:rPr>
          <w:rFonts w:asciiTheme="minorHAnsi" w:hAnsiTheme="minorHAnsi" w:cstheme="minorHAnsi"/>
          <w:lang w:eastAsia="en-AU"/>
        </w:rPr>
        <w:t xml:space="preserve"> amongst departments</w:t>
      </w:r>
      <w:r w:rsidRPr="00424F91">
        <w:rPr>
          <w:rFonts w:asciiTheme="minorHAnsi" w:hAnsiTheme="minorHAnsi" w:cstheme="minorHAnsi"/>
          <w:lang w:eastAsia="en-AU"/>
        </w:rPr>
        <w:t xml:space="preserve"> as part of the </w:t>
      </w:r>
      <w:r>
        <w:rPr>
          <w:rFonts w:asciiTheme="minorHAnsi" w:hAnsiTheme="minorHAnsi" w:cstheme="minorHAnsi"/>
          <w:lang w:eastAsia="en-AU"/>
        </w:rPr>
        <w:t>machinery of government changes.</w:t>
      </w:r>
    </w:p>
    <w:p w:rsidR="00B03921" w:rsidRDefault="00B03921" w:rsidP="00016914">
      <w:pPr>
        <w:pStyle w:val="Notes"/>
      </w:pPr>
      <w:r>
        <w:rPr>
          <w:rFonts w:asciiTheme="minorHAnsi" w:hAnsiTheme="minorHAnsi" w:cstheme="minorHAnsi"/>
          <w:lang w:eastAsia="en-AU"/>
        </w:rPr>
        <w:t>(b)</w:t>
      </w:r>
      <w:r>
        <w:rPr>
          <w:rFonts w:asciiTheme="minorHAnsi" w:hAnsiTheme="minorHAnsi" w:cstheme="minorHAnsi"/>
          <w:lang w:eastAsia="en-AU"/>
        </w:rPr>
        <w:tab/>
      </w:r>
      <w:r w:rsidRPr="0049626A">
        <w:rPr>
          <w:rFonts w:asciiTheme="minorHAnsi" w:hAnsiTheme="minorHAnsi" w:cstheme="minorHAnsi"/>
          <w:lang w:eastAsia="en-AU"/>
        </w:rPr>
        <w:t>Reflects 2</w:t>
      </w:r>
      <w:r>
        <w:rPr>
          <w:rFonts w:asciiTheme="minorHAnsi" w:hAnsiTheme="minorHAnsi" w:cstheme="minorHAnsi"/>
          <w:lang w:eastAsia="en-AU"/>
        </w:rPr>
        <w:t>014</w:t>
      </w:r>
      <w:r>
        <w:rPr>
          <w:rFonts w:asciiTheme="minorHAnsi" w:hAnsiTheme="minorHAnsi" w:cstheme="minorHAnsi"/>
          <w:lang w:eastAsia="en-AU"/>
        </w:rPr>
        <w:noBreakHyphen/>
        <w:t>15 published budget figures which have not been adjusted for the effects of the machinery of government changes which were effective from 1 January 2015.</w:t>
      </w:r>
    </w:p>
    <w:p w:rsidR="00B03921" w:rsidRDefault="00B03921" w:rsidP="00016914">
      <w:pPr>
        <w:pStyle w:val="Notes"/>
      </w:pPr>
      <w:r>
        <w:t>(c)</w:t>
      </w:r>
      <w:r>
        <w:tab/>
        <w:t>Includes receipts credited to appropriation and unapplied previous year appropriations carried over.</w:t>
      </w:r>
    </w:p>
    <w:p w:rsidR="00B03921" w:rsidRDefault="00B03921" w:rsidP="00016914">
      <w:pPr>
        <w:pStyle w:val="Notes"/>
      </w:pPr>
    </w:p>
    <w:p w:rsidR="00B03921" w:rsidRDefault="00B03921">
      <w:pPr>
        <w:spacing w:after="0"/>
        <w:rPr>
          <w:rFonts w:ascii="Calibri" w:hAnsi="Calibri"/>
          <w:b/>
        </w:rPr>
      </w:pPr>
      <w:r>
        <w:br w:type="page"/>
      </w:r>
    </w:p>
    <w:p w:rsidR="00B03921" w:rsidRDefault="00B03921" w:rsidP="00016914">
      <w:pPr>
        <w:pStyle w:val="Tableheading"/>
      </w:pPr>
      <w:r>
        <w:t>Table A.4:</w:t>
      </w:r>
      <w:r>
        <w:tab/>
        <w:t>Consolidated Fund payments – special appropriations</w:t>
      </w:r>
      <w:r w:rsidRPr="00D53F36">
        <w:rPr>
          <w:vertAlign w:val="superscript"/>
        </w:rPr>
        <w:t>(a)</w:t>
      </w:r>
    </w:p>
    <w:p w:rsidR="00B03921" w:rsidRDefault="00B03921" w:rsidP="00016914">
      <w:pPr>
        <w:pStyle w:val="million"/>
        <w:rPr>
          <w:rFonts w:ascii="Times New Roman" w:hAnsi="Times New Roman"/>
          <w:i w:val="0"/>
          <w:sz w:val="20"/>
          <w:szCs w:val="20"/>
          <w:lang w:eastAsia="en-AU"/>
        </w:rPr>
      </w:pPr>
      <w:r>
        <w:t>($ thousand)</w:t>
      </w:r>
      <w:r w:rsidRPr="00043E52">
        <w:t xml:space="preserve"> </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E566A6" w:rsidRPr="00BF7AEF" w:rsidTr="00423972">
        <w:trPr>
          <w:cantSplit/>
          <w:trHeight w:val="503"/>
          <w:tblHeader/>
        </w:trPr>
        <w:tc>
          <w:tcPr>
            <w:tcW w:w="4640" w:type="dxa"/>
            <w:tcBorders>
              <w:top w:val="single" w:sz="6" w:space="0" w:color="auto"/>
              <w:left w:val="single" w:sz="6" w:space="0" w:color="auto"/>
              <w:right w:val="nil"/>
            </w:tcBorders>
            <w:shd w:val="clear" w:color="000000" w:fill="000000"/>
          </w:tcPr>
          <w:p w:rsidR="00E566A6" w:rsidRPr="00BF7AEF" w:rsidRDefault="00E566A6" w:rsidP="00016914">
            <w:pPr>
              <w:pStyle w:val="Tabletextheading"/>
              <w:rPr>
                <w:rFonts w:eastAsiaTheme="minorEastAsia"/>
                <w:color w:val="FFFFFF"/>
                <w:lang w:eastAsia="en-AU"/>
              </w:rPr>
            </w:pPr>
          </w:p>
        </w:tc>
        <w:tc>
          <w:tcPr>
            <w:tcW w:w="1040" w:type="dxa"/>
            <w:tcBorders>
              <w:top w:val="single" w:sz="6" w:space="0" w:color="auto"/>
              <w:left w:val="nil"/>
              <w:right w:val="nil"/>
            </w:tcBorders>
            <w:shd w:val="clear" w:color="000000" w:fill="000000"/>
          </w:tcPr>
          <w:p w:rsidR="00E566A6" w:rsidRPr="00BF7AEF" w:rsidRDefault="00E566A6" w:rsidP="00E566A6">
            <w:pPr>
              <w:pStyle w:val="Tabletextheading"/>
              <w:rPr>
                <w:rFonts w:eastAsiaTheme="minorEastAsia"/>
                <w:color w:val="FFFFFF"/>
                <w:lang w:eastAsia="en-AU"/>
              </w:rPr>
            </w:pPr>
            <w:r w:rsidRPr="00BF7AEF">
              <w:rPr>
                <w:rFonts w:eastAsiaTheme="minorEastAsia"/>
                <w:color w:val="FFFFFF"/>
                <w:lang w:eastAsia="en-AU"/>
              </w:rPr>
              <w:t>2014-15</w:t>
            </w:r>
            <w:r>
              <w:rPr>
                <w:rFonts w:eastAsiaTheme="minorEastAsia"/>
                <w:color w:val="FFFFFF"/>
                <w:lang w:eastAsia="en-AU"/>
              </w:rPr>
              <w:t xml:space="preserve"> </w:t>
            </w:r>
            <w:r w:rsidRPr="00BF7AEF">
              <w:rPr>
                <w:rFonts w:eastAsiaTheme="minorEastAsia"/>
                <w:color w:val="FFFFFF"/>
                <w:lang w:eastAsia="en-AU"/>
              </w:rPr>
              <w:t>budget</w:t>
            </w:r>
            <w:r w:rsidRPr="00BF7AEF">
              <w:rPr>
                <w:rFonts w:eastAsiaTheme="minorEastAsia"/>
                <w:color w:val="FFFFFF"/>
                <w:vertAlign w:val="superscript"/>
                <w:lang w:eastAsia="en-AU"/>
              </w:rPr>
              <w:t>(b)</w:t>
            </w:r>
          </w:p>
        </w:tc>
        <w:tc>
          <w:tcPr>
            <w:tcW w:w="1040" w:type="dxa"/>
            <w:tcBorders>
              <w:top w:val="single" w:sz="6" w:space="0" w:color="auto"/>
              <w:left w:val="nil"/>
              <w:right w:val="nil"/>
            </w:tcBorders>
            <w:shd w:val="clear" w:color="000000" w:fill="000000"/>
          </w:tcPr>
          <w:p w:rsidR="00E566A6" w:rsidRPr="00BF7AEF" w:rsidRDefault="00E566A6" w:rsidP="00E566A6">
            <w:pPr>
              <w:pStyle w:val="Tabletextheading"/>
              <w:rPr>
                <w:rFonts w:eastAsiaTheme="minorEastAsia"/>
                <w:color w:val="FFFFFF"/>
                <w:lang w:eastAsia="en-AU"/>
              </w:rPr>
            </w:pPr>
            <w:r w:rsidRPr="00BF7AEF">
              <w:rPr>
                <w:rFonts w:eastAsiaTheme="minorEastAsia"/>
                <w:color w:val="FFFFFF"/>
                <w:lang w:eastAsia="en-AU"/>
              </w:rPr>
              <w:t>2015-16</w:t>
            </w:r>
            <w:r>
              <w:rPr>
                <w:rFonts w:eastAsiaTheme="minorEastAsia"/>
                <w:color w:val="FFFFFF"/>
                <w:lang w:eastAsia="en-AU"/>
              </w:rPr>
              <w:t xml:space="preserve"> </w:t>
            </w:r>
            <w:r w:rsidRPr="00BF7AEF">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E566A6" w:rsidRPr="00BF7AEF" w:rsidRDefault="00E566A6" w:rsidP="00016914">
            <w:pPr>
              <w:pStyle w:val="Tabletextheading"/>
              <w:rPr>
                <w:rFonts w:eastAsiaTheme="minorEastAsia"/>
                <w:color w:val="FFFFFF"/>
                <w:lang w:eastAsia="en-AU"/>
              </w:rPr>
            </w:pPr>
            <w:r w:rsidRPr="00BF7AEF">
              <w:rPr>
                <w:rFonts w:eastAsiaTheme="minorEastAsia"/>
                <w:color w:val="FFFFFF"/>
                <w:lang w:eastAsia="en-AU"/>
              </w:rPr>
              <w:t>variation</w:t>
            </w:r>
          </w:p>
          <w:p w:rsidR="00E566A6" w:rsidRPr="00BF7AEF" w:rsidRDefault="00E566A6" w:rsidP="00016914">
            <w:pPr>
              <w:pStyle w:val="Tabletextheading"/>
              <w:rPr>
                <w:rFonts w:eastAsiaTheme="minorEastAsia"/>
                <w:color w:val="FFFFFF"/>
                <w:lang w:eastAsia="en-AU"/>
              </w:rPr>
            </w:pPr>
            <w:r w:rsidRPr="00BF7AEF">
              <w:rPr>
                <w:rFonts w:eastAsiaTheme="minorEastAsia"/>
                <w:color w:val="FFFFFF"/>
                <w:lang w:eastAsia="en-AU"/>
              </w:rPr>
              <w:t>%</w:t>
            </w:r>
          </w:p>
        </w:tc>
      </w:tr>
      <w:tr w:rsidR="00E566A6" w:rsidRPr="00BF7AEF" w:rsidTr="00423972">
        <w:trPr>
          <w:cantSplit/>
        </w:trPr>
        <w:tc>
          <w:tcPr>
            <w:tcW w:w="7760" w:type="dxa"/>
            <w:gridSpan w:val="4"/>
            <w:tcBorders>
              <w:top w:val="single" w:sz="6" w:space="0" w:color="auto"/>
              <w:left w:val="nil"/>
              <w:bottom w:val="nil"/>
              <w:right w:val="nil"/>
            </w:tcBorders>
            <w:shd w:val="solid" w:color="FFFFFF" w:fill="auto"/>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Economic Development, Jobs, Transport and Resources</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10 – Appropriation of Commonwealth grants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3 122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BF7AEF">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E566A6">
            <w:pPr>
              <w:autoSpaceDE w:val="0"/>
              <w:autoSpaceDN w:val="0"/>
              <w:adjustRightInd w:val="0"/>
              <w:spacing w:after="0"/>
              <w:rPr>
                <w:rFonts w:ascii="Calibri" w:eastAsiaTheme="minorEastAsia" w:hAnsi="Calibri" w:cs="Calibri"/>
                <w:i/>
                <w:iCs/>
                <w:sz w:val="20"/>
                <w:vertAlign w:val="superscript"/>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xml:space="preserve"> Section 33 – Appropriation to meet certain obligations</w:t>
            </w:r>
            <w:r w:rsidRPr="00BF7AEF">
              <w:rPr>
                <w:rFonts w:ascii="Calibri" w:eastAsiaTheme="minorEastAsia" w:hAnsi="Calibri" w:cs="Calibri"/>
                <w:i/>
                <w:iCs/>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BF7AEF">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E411FD">
              <w:rPr>
                <w:rFonts w:ascii="Calibri" w:eastAsiaTheme="minorEastAsia" w:hAnsi="Calibri" w:cs="Calibri"/>
                <w:i/>
                <w:sz w:val="20"/>
                <w:lang w:eastAsia="en-AU"/>
              </w:rPr>
              <w:t>Transport (Compliance and Miscellaneous) Act,</w:t>
            </w:r>
            <w:r w:rsidRPr="00BF7AEF">
              <w:rPr>
                <w:rFonts w:ascii="Calibri" w:eastAsiaTheme="minorEastAsia" w:hAnsi="Calibri" w:cs="Calibri"/>
                <w:i/>
                <w:iCs/>
                <w:sz w:val="20"/>
                <w:lang w:eastAsia="en-AU"/>
              </w:rPr>
              <w:t xml:space="preserve"> </w:t>
            </w:r>
            <w:r w:rsidRPr="00E411FD">
              <w:rPr>
                <w:rFonts w:ascii="Calibri" w:eastAsiaTheme="minorEastAsia" w:hAnsi="Calibri" w:cs="Calibri"/>
                <w:iCs/>
                <w:sz w:val="20"/>
                <w:lang w:eastAsia="en-AU"/>
              </w:rPr>
              <w:t xml:space="preserve">Section 213A(4) </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2 000</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BF7AEF">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5 622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sz w:val="20"/>
                <w:lang w:eastAsia="en-AU"/>
              </w:rPr>
            </w:pPr>
            <w:r w:rsidRPr="00BF7AEF">
              <w:rPr>
                <w:rFonts w:ascii="Calibri" w:eastAsiaTheme="minorEastAsia" w:hAnsi="Calibri" w:cs="Calibri"/>
                <w:b/>
                <w:sz w:val="20"/>
                <w:lang w:eastAsia="en-AU"/>
              </w:rPr>
              <w:t>n</w:t>
            </w:r>
            <w:r w:rsidR="00E566A6">
              <w:rPr>
                <w:rFonts w:ascii="Calibri" w:eastAsiaTheme="minorEastAsia" w:hAnsi="Calibri" w:cs="Calibri"/>
                <w:b/>
                <w:sz w:val="20"/>
                <w:lang w:eastAsia="en-AU"/>
              </w:rPr>
              <w:t>.</w:t>
            </w:r>
            <w:r w:rsidRPr="00BF7AEF">
              <w:rPr>
                <w:rFonts w:ascii="Calibri" w:eastAsiaTheme="minorEastAsia" w:hAnsi="Calibri" w:cs="Calibri"/>
                <w:b/>
                <w:sz w:val="20"/>
                <w:lang w:eastAsia="en-AU"/>
              </w:rPr>
              <w:t>a</w:t>
            </w:r>
            <w:r w:rsidR="00E566A6">
              <w:rPr>
                <w:rFonts w:ascii="Calibri" w:eastAsiaTheme="minorEastAsia" w:hAnsi="Calibri" w:cs="Calibri"/>
                <w:b/>
                <w:sz w:val="20"/>
                <w:lang w:eastAsia="en-AU"/>
              </w:rPr>
              <w:t>.</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Education and Training</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10 – Appropriation of Commonwealth grants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12 742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12 742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Education and Training Reform Act No. 24/26 of 2006, </w:t>
            </w:r>
            <w:r w:rsidRPr="00BF7AEF">
              <w:rPr>
                <w:rFonts w:ascii="Calibri" w:eastAsiaTheme="minorEastAsia" w:hAnsi="Calibri" w:cs="Calibri"/>
                <w:sz w:val="20"/>
                <w:lang w:eastAsia="en-AU"/>
              </w:rPr>
              <w:t>Section 5.6.8 – Volunteer Workers Compensation</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269</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276</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2.6</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13 011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13 018</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0.1</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Environment, Land, Water and Planning</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5A04E6">
              <w:rPr>
                <w:rFonts w:ascii="Calibri" w:eastAsiaTheme="minorEastAsia" w:hAnsi="Calibri" w:cs="Calibri"/>
                <w:iCs/>
                <w:sz w:val="20"/>
                <w:lang w:eastAsia="en-AU"/>
              </w:rPr>
              <w:t xml:space="preserve">Payments to Growth Areas Public Transport Fund pursuant to Section 201V of the </w:t>
            </w:r>
            <w:r w:rsidRPr="00BF7AEF">
              <w:rPr>
                <w:rFonts w:ascii="Calibri" w:eastAsiaTheme="minorEastAsia" w:hAnsi="Calibri" w:cs="Calibri"/>
                <w:i/>
                <w:iCs/>
                <w:sz w:val="20"/>
                <w:lang w:eastAsia="en-AU"/>
              </w:rPr>
              <w:t>Planning and Environment Act No. 45 of 1987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i/>
                <w:sz w:val="20"/>
                <w:lang w:eastAsia="en-AU"/>
              </w:rPr>
            </w:pPr>
            <w:r w:rsidRPr="00BF7AEF">
              <w:rPr>
                <w:rFonts w:ascii="Calibri" w:eastAsiaTheme="minorEastAsia" w:hAnsi="Calibri" w:cs="Calibri"/>
                <w:i/>
                <w:sz w:val="20"/>
                <w:lang w:eastAsia="en-AU"/>
              </w:rPr>
              <w:t>..</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7 050</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3F67F9">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5A04E6">
              <w:rPr>
                <w:rFonts w:ascii="Calibri" w:eastAsiaTheme="minorEastAsia" w:hAnsi="Calibri" w:cs="Calibri"/>
                <w:iCs/>
                <w:sz w:val="20"/>
                <w:lang w:eastAsia="en-AU"/>
              </w:rPr>
              <w:t xml:space="preserve">Payments to Building New Communities Fund pursuant to Section 201V of the </w:t>
            </w:r>
            <w:r w:rsidRPr="00BF7AEF">
              <w:rPr>
                <w:rFonts w:ascii="Calibri" w:eastAsiaTheme="minorEastAsia" w:hAnsi="Calibri" w:cs="Calibri"/>
                <w:i/>
                <w:iCs/>
                <w:sz w:val="20"/>
                <w:lang w:eastAsia="en-AU"/>
              </w:rPr>
              <w:t>Planning and Environment Act No. 45 of 1987</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i/>
                <w:sz w:val="20"/>
                <w:lang w:eastAsia="en-AU"/>
              </w:rPr>
            </w:pPr>
            <w:r w:rsidRPr="00BF7AEF">
              <w:rPr>
                <w:rFonts w:ascii="Calibri" w:eastAsiaTheme="minorEastAsia" w:hAnsi="Calibri" w:cs="Calibri"/>
                <w:i/>
                <w:sz w:val="20"/>
                <w:lang w:eastAsia="en-AU"/>
              </w:rPr>
              <w:t>..</w:t>
            </w:r>
          </w:p>
        </w:tc>
        <w:tc>
          <w:tcPr>
            <w:tcW w:w="1040" w:type="dxa"/>
            <w:tcBorders>
              <w:top w:val="nil"/>
              <w:left w:val="nil"/>
              <w:bottom w:val="single" w:sz="6" w:space="0" w:color="auto"/>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7 050</w:t>
            </w:r>
          </w:p>
        </w:tc>
        <w:tc>
          <w:tcPr>
            <w:tcW w:w="1040" w:type="dxa"/>
            <w:tcBorders>
              <w:top w:val="nil"/>
              <w:left w:val="nil"/>
              <w:bottom w:val="single" w:sz="6" w:space="0" w:color="auto"/>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3F67F9">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14 100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n</w:t>
            </w:r>
            <w:r w:rsidR="00E566A6">
              <w:rPr>
                <w:rFonts w:ascii="Calibri" w:eastAsiaTheme="minorEastAsia" w:hAnsi="Calibri" w:cs="Calibri"/>
                <w:b/>
                <w:bCs/>
                <w:sz w:val="20"/>
                <w:lang w:eastAsia="en-AU"/>
              </w:rPr>
              <w:t>.</w:t>
            </w:r>
            <w:r w:rsidRPr="00BF7AEF">
              <w:rPr>
                <w:rFonts w:ascii="Calibri" w:eastAsiaTheme="minorEastAsia" w:hAnsi="Calibri" w:cs="Calibri"/>
                <w:b/>
                <w:bCs/>
                <w:sz w:val="20"/>
                <w:lang w:eastAsia="en-AU"/>
              </w:rPr>
              <w:t>a</w:t>
            </w:r>
            <w:r w:rsidR="00E566A6">
              <w:rPr>
                <w:rFonts w:ascii="Calibri" w:eastAsiaTheme="minorEastAsia" w:hAnsi="Calibri" w:cs="Calibri"/>
                <w:b/>
                <w:bCs/>
                <w:sz w:val="20"/>
                <w:lang w:eastAsia="en-AU"/>
              </w:rPr>
              <w:t>.</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Health and Human Services</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Casino Control Act No. 47 of 1991,</w:t>
            </w:r>
            <w:r w:rsidRPr="00BF7AEF">
              <w:rPr>
                <w:rFonts w:ascii="Calibri" w:eastAsiaTheme="minorEastAsia" w:hAnsi="Calibri" w:cs="Calibri"/>
                <w:sz w:val="20"/>
                <w:lang w:eastAsia="en-AU"/>
              </w:rPr>
              <w:t xml:space="preserve"> Section 114 – Hospitals and Charities Fund</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15 909</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16 655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4.7</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10 – Appropriation of Commonwealth Grants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11 604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3877DC"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vertAlign w:val="superscript"/>
                <w:lang w:eastAsia="en-AU"/>
              </w:rPr>
            </w:pPr>
            <w:r w:rsidRPr="00BF7AEF">
              <w:rPr>
                <w:rFonts w:ascii="Calibri" w:eastAsiaTheme="minorEastAsia" w:hAnsi="Calibri" w:cs="Calibri"/>
                <w:i/>
                <w:iCs/>
                <w:sz w:val="20"/>
                <w:lang w:eastAsia="en-AU"/>
              </w:rPr>
              <w:t xml:space="preserve">Financial Management Act No. 18 of 1994, </w:t>
            </w:r>
            <w:r w:rsidRPr="003877DC">
              <w:rPr>
                <w:rFonts w:ascii="Calibri" w:eastAsiaTheme="minorEastAsia" w:hAnsi="Calibri" w:cs="Calibri"/>
                <w:iCs/>
                <w:sz w:val="20"/>
                <w:lang w:eastAsia="en-AU"/>
              </w:rPr>
              <w:t xml:space="preserve">Section 33 – </w:t>
            </w:r>
            <w:r w:rsidRPr="003F67F9">
              <w:rPr>
                <w:rFonts w:ascii="Calibri" w:eastAsiaTheme="minorEastAsia" w:hAnsi="Calibri" w:cs="Calibri"/>
                <w:iCs/>
                <w:sz w:val="20"/>
                <w:lang w:eastAsia="en-AU"/>
              </w:rPr>
              <w:t>Appropriation to meet certain obligations</w:t>
            </w:r>
            <w:r w:rsidRPr="003F67F9">
              <w:rPr>
                <w:rFonts w:ascii="Calibri" w:eastAsiaTheme="minorEastAsia" w:hAnsi="Calibri" w:cs="Calibri"/>
                <w:iCs/>
                <w:sz w:val="20"/>
                <w:vertAlign w:val="superscript"/>
                <w:lang w:eastAsia="en-AU"/>
              </w:rPr>
              <w:t>(c)</w:t>
            </w:r>
          </w:p>
        </w:tc>
        <w:tc>
          <w:tcPr>
            <w:tcW w:w="1040" w:type="dxa"/>
            <w:tcBorders>
              <w:top w:val="nil"/>
              <w:left w:val="nil"/>
              <w:bottom w:val="nil"/>
              <w:right w:val="nil"/>
            </w:tcBorders>
          </w:tcPr>
          <w:p w:rsidR="00B03921" w:rsidRPr="003877DC" w:rsidRDefault="00B03921" w:rsidP="00016914">
            <w:pPr>
              <w:autoSpaceDE w:val="0"/>
              <w:autoSpaceDN w:val="0"/>
              <w:adjustRightInd w:val="0"/>
              <w:spacing w:after="0"/>
              <w:jc w:val="right"/>
              <w:rPr>
                <w:rFonts w:ascii="Calibri" w:eastAsiaTheme="minorEastAsia" w:hAnsi="Calibri" w:cs="Calibri"/>
                <w:sz w:val="20"/>
                <w:lang w:eastAsia="en-AU"/>
              </w:rPr>
            </w:pPr>
            <w:r w:rsidRPr="003877DC">
              <w:rPr>
                <w:rFonts w:ascii="Calibri" w:eastAsiaTheme="minorEastAsia" w:hAnsi="Calibri" w:cs="Calibri"/>
                <w:sz w:val="20"/>
                <w:lang w:eastAsia="en-AU"/>
              </w:rPr>
              <w:t>..</w:t>
            </w:r>
          </w:p>
        </w:tc>
        <w:tc>
          <w:tcPr>
            <w:tcW w:w="1040" w:type="dxa"/>
            <w:tcBorders>
              <w:top w:val="nil"/>
              <w:left w:val="nil"/>
              <w:bottom w:val="nil"/>
              <w:right w:val="nil"/>
            </w:tcBorders>
          </w:tcPr>
          <w:p w:rsidR="00B03921" w:rsidRPr="003877DC" w:rsidRDefault="00B03921" w:rsidP="00016914">
            <w:pPr>
              <w:autoSpaceDE w:val="0"/>
              <w:autoSpaceDN w:val="0"/>
              <w:adjustRightInd w:val="0"/>
              <w:spacing w:after="0"/>
              <w:jc w:val="right"/>
              <w:rPr>
                <w:rFonts w:ascii="Calibri" w:eastAsiaTheme="minorEastAsia" w:hAnsi="Calibri" w:cs="Calibri"/>
                <w:sz w:val="20"/>
                <w:lang w:eastAsia="en-AU"/>
              </w:rPr>
            </w:pPr>
            <w:r w:rsidRPr="003877DC">
              <w:rPr>
                <w:rFonts w:ascii="Calibri" w:eastAsiaTheme="minorEastAsia" w:hAnsi="Calibri" w:cs="Calibri"/>
                <w:sz w:val="20"/>
                <w:lang w:eastAsia="en-AU"/>
              </w:rPr>
              <w:t xml:space="preserve"> 47 420</w:t>
            </w:r>
          </w:p>
        </w:tc>
        <w:tc>
          <w:tcPr>
            <w:tcW w:w="1040" w:type="dxa"/>
            <w:tcBorders>
              <w:top w:val="nil"/>
              <w:left w:val="nil"/>
              <w:bottom w:val="nil"/>
              <w:right w:val="nil"/>
            </w:tcBorders>
          </w:tcPr>
          <w:p w:rsidR="00B03921" w:rsidRPr="003877DC" w:rsidRDefault="00B03921" w:rsidP="00016914">
            <w:pPr>
              <w:autoSpaceDE w:val="0"/>
              <w:autoSpaceDN w:val="0"/>
              <w:adjustRightInd w:val="0"/>
              <w:spacing w:after="0"/>
              <w:jc w:val="right"/>
              <w:rPr>
                <w:rFonts w:ascii="Calibri" w:eastAsiaTheme="minorEastAsia" w:hAnsi="Calibri" w:cs="Calibri"/>
                <w:sz w:val="20"/>
                <w:lang w:eastAsia="en-AU"/>
              </w:rPr>
            </w:pPr>
            <w:r w:rsidRPr="003877DC">
              <w:rPr>
                <w:rFonts w:ascii="Calibri" w:eastAsiaTheme="minorEastAsia" w:hAnsi="Calibri" w:cs="Calibri"/>
                <w:sz w:val="20"/>
                <w:lang w:eastAsia="en-AU"/>
              </w:rPr>
              <w:t>n</w:t>
            </w:r>
            <w:r w:rsidR="00E566A6">
              <w:rPr>
                <w:rFonts w:ascii="Calibri" w:eastAsiaTheme="minorEastAsia" w:hAnsi="Calibri" w:cs="Calibri"/>
                <w:sz w:val="20"/>
                <w:lang w:eastAsia="en-AU"/>
              </w:rPr>
              <w:t>.</w:t>
            </w:r>
            <w:r w:rsidRPr="003877DC">
              <w:rPr>
                <w:rFonts w:ascii="Calibri" w:eastAsiaTheme="minorEastAsia" w:hAnsi="Calibri" w:cs="Calibri"/>
                <w:sz w:val="20"/>
                <w:lang w:eastAsia="en-AU"/>
              </w:rPr>
              <w:t>a</w:t>
            </w:r>
            <w:r w:rsidR="00E566A6">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Gambling Regulation Act No. 114 of 2003, </w:t>
            </w:r>
            <w:r w:rsidRPr="00BF7AEF">
              <w:rPr>
                <w:rFonts w:ascii="Calibri" w:eastAsiaTheme="minorEastAsia" w:hAnsi="Calibri" w:cs="Calibri"/>
                <w:sz w:val="20"/>
                <w:lang w:eastAsia="en-AU"/>
              </w:rPr>
              <w:t xml:space="preserve">Section 3.6.11 – Hospitals and Charities Fund and Mental Health Fund </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751 029</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847 910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12.9</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Gambling Regulation Act No. 114 of 2003, </w:t>
            </w:r>
            <w:r w:rsidRPr="00BF7AEF">
              <w:rPr>
                <w:rFonts w:ascii="Calibri" w:eastAsiaTheme="minorEastAsia" w:hAnsi="Calibri" w:cs="Calibri"/>
                <w:sz w:val="20"/>
                <w:lang w:eastAsia="en-AU"/>
              </w:rPr>
              <w:t>Sections 4.4.11 and 4.6.8 – Hospitals and Charities Fund</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65 087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66 198</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1.7</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Gambling Regulation Act No. 114 of 2003,</w:t>
            </w:r>
            <w:r w:rsidRPr="00BF7AEF">
              <w:rPr>
                <w:rFonts w:ascii="Calibri" w:eastAsiaTheme="minorEastAsia" w:hAnsi="Calibri" w:cs="Calibri"/>
                <w:sz w:val="20"/>
                <w:lang w:eastAsia="en-AU"/>
              </w:rPr>
              <w:t xml:space="preserve"> Section 5.4.6 – Hospitals and Charities Fund and Mental Health Fund</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345 006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424 157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22.9</w:t>
            </w:r>
          </w:p>
        </w:tc>
      </w:tr>
      <w:tr w:rsidR="00B03921" w:rsidRPr="00BF7AEF" w:rsidTr="00016914">
        <w:trPr>
          <w:cantSplit/>
        </w:trPr>
        <w:tc>
          <w:tcPr>
            <w:tcW w:w="46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Gambling Regulation Act No. 114 of 2003, </w:t>
            </w:r>
            <w:r w:rsidRPr="00BF7AEF">
              <w:rPr>
                <w:rFonts w:ascii="Calibri" w:eastAsiaTheme="minorEastAsia" w:hAnsi="Calibri" w:cs="Calibri"/>
                <w:sz w:val="20"/>
                <w:lang w:eastAsia="en-AU"/>
              </w:rPr>
              <w:t>Section 6A.4.4(1) – Contributions to Hospital and Charities Fund and Mental Health Fund</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4 076</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6 026</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47.8</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1 192 712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1 408 366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18.1</w:t>
            </w:r>
          </w:p>
        </w:tc>
      </w:tr>
    </w:tbl>
    <w:p w:rsidR="00E566A6" w:rsidRDefault="00E566A6" w:rsidP="00E566A6">
      <w:pPr>
        <w:pStyle w:val="Tableheadingcontinued"/>
      </w:pPr>
    </w:p>
    <w:p w:rsidR="00E566A6" w:rsidRDefault="00E566A6">
      <w:pPr>
        <w:spacing w:after="0"/>
        <w:rPr>
          <w:rFonts w:ascii="Calibri" w:hAnsi="Calibri"/>
          <w:b/>
        </w:rPr>
      </w:pPr>
      <w:r>
        <w:br w:type="page"/>
      </w:r>
    </w:p>
    <w:p w:rsidR="00E566A6" w:rsidRDefault="00E566A6" w:rsidP="00E566A6">
      <w:pPr>
        <w:pStyle w:val="Tableheadingcontinued"/>
      </w:pPr>
      <w:r>
        <w:t>Table A.4:</w:t>
      </w:r>
      <w:r>
        <w:tab/>
        <w:t>Consolidated Fund payments – special appropriations</w:t>
      </w:r>
      <w:r w:rsidRPr="00E566A6">
        <w:rPr>
          <w:vertAlign w:val="superscript"/>
        </w:rPr>
        <w:t>(a)</w:t>
      </w:r>
      <w:r>
        <w:t xml:space="preserve"> </w:t>
      </w:r>
      <w:r w:rsidRPr="00E566A6">
        <w:rPr>
          <w:i/>
        </w:rPr>
        <w:t>(continued)</w:t>
      </w:r>
    </w:p>
    <w:p w:rsidR="00E566A6" w:rsidRDefault="00E566A6" w:rsidP="00E566A6">
      <w:pPr>
        <w:pStyle w:val="million"/>
      </w:pPr>
      <w:r>
        <w:t xml:space="preserve">($ thousand) </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E566A6" w:rsidRPr="00BF7AEF" w:rsidTr="00423972">
        <w:trPr>
          <w:cantSplit/>
          <w:trHeight w:val="503"/>
          <w:tblHeader/>
        </w:trPr>
        <w:tc>
          <w:tcPr>
            <w:tcW w:w="4640" w:type="dxa"/>
            <w:tcBorders>
              <w:top w:val="single" w:sz="6" w:space="0" w:color="auto"/>
              <w:left w:val="single" w:sz="6" w:space="0" w:color="auto"/>
              <w:right w:val="nil"/>
            </w:tcBorders>
            <w:shd w:val="clear" w:color="000000" w:fill="000000"/>
          </w:tcPr>
          <w:p w:rsidR="00E566A6" w:rsidRPr="00BF7AEF" w:rsidRDefault="00E566A6" w:rsidP="00423972">
            <w:pPr>
              <w:pStyle w:val="Tabletextheading"/>
              <w:rPr>
                <w:rFonts w:eastAsiaTheme="minorEastAsia"/>
                <w:color w:val="FFFFFF"/>
                <w:lang w:eastAsia="en-AU"/>
              </w:rPr>
            </w:pPr>
          </w:p>
        </w:tc>
        <w:tc>
          <w:tcPr>
            <w:tcW w:w="1040" w:type="dxa"/>
            <w:tcBorders>
              <w:top w:val="single" w:sz="6" w:space="0" w:color="auto"/>
              <w:left w:val="nil"/>
              <w:right w:val="nil"/>
            </w:tcBorders>
            <w:shd w:val="clear" w:color="000000" w:fill="000000"/>
          </w:tcPr>
          <w:p w:rsidR="00E566A6" w:rsidRPr="00BF7AEF" w:rsidRDefault="00E566A6" w:rsidP="00423972">
            <w:pPr>
              <w:pStyle w:val="Tabletextheading"/>
              <w:rPr>
                <w:rFonts w:eastAsiaTheme="minorEastAsia"/>
                <w:color w:val="FFFFFF"/>
                <w:lang w:eastAsia="en-AU"/>
              </w:rPr>
            </w:pPr>
            <w:r w:rsidRPr="00BF7AEF">
              <w:rPr>
                <w:rFonts w:eastAsiaTheme="minorEastAsia"/>
                <w:color w:val="FFFFFF"/>
                <w:lang w:eastAsia="en-AU"/>
              </w:rPr>
              <w:t>2014-15</w:t>
            </w:r>
            <w:r>
              <w:rPr>
                <w:rFonts w:eastAsiaTheme="minorEastAsia"/>
                <w:color w:val="FFFFFF"/>
                <w:lang w:eastAsia="en-AU"/>
              </w:rPr>
              <w:t xml:space="preserve"> </w:t>
            </w:r>
            <w:r w:rsidRPr="00BF7AEF">
              <w:rPr>
                <w:rFonts w:eastAsiaTheme="minorEastAsia"/>
                <w:color w:val="FFFFFF"/>
                <w:lang w:eastAsia="en-AU"/>
              </w:rPr>
              <w:t>budget</w:t>
            </w:r>
            <w:r w:rsidRPr="00BF7AEF">
              <w:rPr>
                <w:rFonts w:eastAsiaTheme="minorEastAsia"/>
                <w:color w:val="FFFFFF"/>
                <w:vertAlign w:val="superscript"/>
                <w:lang w:eastAsia="en-AU"/>
              </w:rPr>
              <w:t>(b)</w:t>
            </w:r>
          </w:p>
        </w:tc>
        <w:tc>
          <w:tcPr>
            <w:tcW w:w="1040" w:type="dxa"/>
            <w:tcBorders>
              <w:top w:val="single" w:sz="6" w:space="0" w:color="auto"/>
              <w:left w:val="nil"/>
              <w:right w:val="nil"/>
            </w:tcBorders>
            <w:shd w:val="clear" w:color="000000" w:fill="000000"/>
          </w:tcPr>
          <w:p w:rsidR="00E566A6" w:rsidRPr="00BF7AEF" w:rsidRDefault="00E566A6" w:rsidP="00423972">
            <w:pPr>
              <w:pStyle w:val="Tabletextheading"/>
              <w:rPr>
                <w:rFonts w:eastAsiaTheme="minorEastAsia"/>
                <w:color w:val="FFFFFF"/>
                <w:lang w:eastAsia="en-AU"/>
              </w:rPr>
            </w:pPr>
            <w:r w:rsidRPr="00BF7AEF">
              <w:rPr>
                <w:rFonts w:eastAsiaTheme="minorEastAsia"/>
                <w:color w:val="FFFFFF"/>
                <w:lang w:eastAsia="en-AU"/>
              </w:rPr>
              <w:t>2015-16</w:t>
            </w:r>
            <w:r>
              <w:rPr>
                <w:rFonts w:eastAsiaTheme="minorEastAsia"/>
                <w:color w:val="FFFFFF"/>
                <w:lang w:eastAsia="en-AU"/>
              </w:rPr>
              <w:t xml:space="preserve"> </w:t>
            </w:r>
            <w:r w:rsidRPr="00BF7AEF">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E566A6" w:rsidRPr="00BF7AEF" w:rsidRDefault="00E566A6" w:rsidP="00423972">
            <w:pPr>
              <w:pStyle w:val="Tabletextheading"/>
              <w:rPr>
                <w:rFonts w:eastAsiaTheme="minorEastAsia"/>
                <w:color w:val="FFFFFF"/>
                <w:lang w:eastAsia="en-AU"/>
              </w:rPr>
            </w:pPr>
            <w:r w:rsidRPr="00BF7AEF">
              <w:rPr>
                <w:rFonts w:eastAsiaTheme="minorEastAsia"/>
                <w:color w:val="FFFFFF"/>
                <w:lang w:eastAsia="en-AU"/>
              </w:rPr>
              <w:t>variation</w:t>
            </w:r>
          </w:p>
          <w:p w:rsidR="00E566A6" w:rsidRPr="00BF7AEF" w:rsidRDefault="00E566A6" w:rsidP="00423972">
            <w:pPr>
              <w:pStyle w:val="Tabletextheading"/>
              <w:rPr>
                <w:rFonts w:eastAsiaTheme="minorEastAsia"/>
                <w:color w:val="FFFFFF"/>
                <w:lang w:eastAsia="en-AU"/>
              </w:rPr>
            </w:pPr>
            <w:r w:rsidRPr="00BF7AEF">
              <w:rPr>
                <w:rFonts w:eastAsiaTheme="minorEastAsia"/>
                <w:color w:val="FFFFFF"/>
                <w:lang w:eastAsia="en-AU"/>
              </w:rPr>
              <w:t>%</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Justice and Regulation</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Crown Proceedings – Act No. 6232</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4 996</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5 121</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EastLink Project Act No. 39 of 2004</w:t>
            </w:r>
            <w:r w:rsidRPr="00BF7AEF">
              <w:rPr>
                <w:rFonts w:ascii="Calibri" w:eastAsiaTheme="minorEastAsia" w:hAnsi="Calibri" w:cs="Calibri"/>
                <w:sz w:val="20"/>
                <w:lang w:eastAsia="en-AU"/>
              </w:rPr>
              <w:t>, Section 26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1 215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1 538</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26.6</w:t>
            </w:r>
          </w:p>
        </w:tc>
      </w:tr>
      <w:tr w:rsidR="00B03921" w:rsidRPr="003F67F9"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Electoral Act No. 23 of 2002</w:t>
            </w:r>
            <w:r w:rsidRPr="00BF7AEF">
              <w:rPr>
                <w:rFonts w:ascii="Calibri" w:eastAsiaTheme="minorEastAsia" w:hAnsi="Calibri" w:cs="Calibri"/>
                <w:sz w:val="20"/>
                <w:lang w:eastAsia="en-AU"/>
              </w:rPr>
              <w:t>, Section 181 – Electoral Expenses</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72 060</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(100.0)</w:t>
            </w:r>
          </w:p>
        </w:tc>
      </w:tr>
      <w:tr w:rsidR="00B03921" w:rsidRPr="003F67F9"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 xml:space="preserve">Electoral Act No. 23 of 2002, </w:t>
            </w:r>
            <w:r w:rsidRPr="000B354A">
              <w:rPr>
                <w:rFonts w:ascii="Calibri" w:eastAsiaTheme="minorEastAsia" w:hAnsi="Calibri" w:cs="Calibri"/>
                <w:iCs/>
                <w:sz w:val="20"/>
                <w:lang w:eastAsia="en-AU"/>
              </w:rPr>
              <w:t>Section 215 – Electoral Entitlement</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11 600</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w:t>
            </w:r>
          </w:p>
        </w:tc>
        <w:tc>
          <w:tcPr>
            <w:tcW w:w="1040" w:type="dxa"/>
            <w:tcBorders>
              <w:top w:val="nil"/>
              <w:left w:val="nil"/>
              <w:bottom w:val="nil"/>
              <w:right w:val="nil"/>
            </w:tcBorders>
          </w:tcPr>
          <w:p w:rsidR="00B03921" w:rsidRPr="003F67F9" w:rsidRDefault="00B03921" w:rsidP="00016914">
            <w:pPr>
              <w:autoSpaceDE w:val="0"/>
              <w:autoSpaceDN w:val="0"/>
              <w:adjustRightInd w:val="0"/>
              <w:spacing w:after="0"/>
              <w:jc w:val="right"/>
              <w:rPr>
                <w:rFonts w:ascii="Calibri" w:eastAsiaTheme="minorEastAsia" w:hAnsi="Calibri" w:cs="Calibri"/>
                <w:sz w:val="20"/>
                <w:lang w:eastAsia="en-AU"/>
              </w:rPr>
            </w:pPr>
            <w:r w:rsidRPr="003F67F9">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Emergency Management Act No 30 of 1986, </w:t>
            </w:r>
            <w:r w:rsidRPr="00BF7AEF">
              <w:rPr>
                <w:rFonts w:ascii="Calibri" w:eastAsiaTheme="minorEastAsia" w:hAnsi="Calibri" w:cs="Calibri"/>
                <w:sz w:val="20"/>
                <w:lang w:eastAsia="en-AU"/>
              </w:rPr>
              <w:t>Section 32 – Volunteer Workers Compensation</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331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339</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2.4</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xml:space="preserve"> Section 10 – Appropriation of Commonwealth grants etc.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2 100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xml:space="preserve"> Section 33 – Appropriation to meet certain obligations</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5 906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Melbourne City Link, Act No. 107 of 1995</w:t>
            </w:r>
            <w:r w:rsidRPr="00BF7AEF">
              <w:rPr>
                <w:rFonts w:ascii="Calibri" w:eastAsiaTheme="minorEastAsia" w:hAnsi="Calibri" w:cs="Calibri"/>
                <w:sz w:val="20"/>
                <w:lang w:eastAsia="en-AU"/>
              </w:rPr>
              <w:t>, Section 14(4)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2 870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3 142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9.5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Victoria State Emergency Service Act No. 51 of 2005, </w:t>
            </w:r>
            <w:r w:rsidRPr="00BF7AEF">
              <w:rPr>
                <w:rFonts w:ascii="Calibri" w:eastAsiaTheme="minorEastAsia" w:hAnsi="Calibri" w:cs="Calibri"/>
                <w:sz w:val="20"/>
                <w:lang w:eastAsia="en-AU"/>
              </w:rPr>
              <w:t>Section 52 – Volunteer Workers Compensation</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902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925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Work Cover Authority Fund, Corrections Act 1986,</w:t>
            </w:r>
            <w:r w:rsidRPr="00BF7AEF">
              <w:rPr>
                <w:rFonts w:ascii="Calibri" w:eastAsiaTheme="minorEastAsia" w:hAnsi="Calibri" w:cs="Calibri"/>
                <w:sz w:val="20"/>
                <w:lang w:eastAsia="en-AU"/>
              </w:rPr>
              <w:t xml:space="preserve"> Part 9D, S.104ZW</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112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115</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2.7</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102 092</w:t>
            </w:r>
          </w:p>
        </w:tc>
        <w:tc>
          <w:tcPr>
            <w:tcW w:w="10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11 180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(89.0)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Premier and Cabinet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sz w:val="20"/>
                <w:lang w:eastAsia="en-AU"/>
              </w:rPr>
            </w:pPr>
            <w:r w:rsidRPr="00BF7AEF">
              <w:rPr>
                <w:rFonts w:ascii="Calibri" w:eastAsiaTheme="minorEastAsia" w:hAnsi="Calibri" w:cs="Calibri"/>
                <w:b/>
                <w:sz w:val="20"/>
                <w:lang w:eastAsia="en-AU"/>
              </w:rPr>
              <w:t xml:space="preserve"> </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Executive Council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w:t>
            </w:r>
            <w:r w:rsidRPr="00BF7AEF">
              <w:rPr>
                <w:rFonts w:ascii="Calibri" w:eastAsiaTheme="minorEastAsia" w:hAnsi="Calibri" w:cs="Calibri"/>
                <w:sz w:val="20"/>
                <w:lang w:eastAsia="en-AU"/>
              </w:rPr>
              <w:t>– Governor</w:t>
            </w:r>
            <w:r w:rsidR="00BA5A16">
              <w:rPr>
                <w:rFonts w:ascii="Calibri" w:eastAsiaTheme="minorEastAsia" w:hAnsi="Calibri" w:cs="Calibri"/>
                <w:sz w:val="20"/>
                <w:lang w:eastAsia="en-AU"/>
              </w:rPr>
              <w:t>’</w:t>
            </w:r>
            <w:r w:rsidRPr="00BF7AEF">
              <w:rPr>
                <w:rFonts w:ascii="Calibri" w:eastAsiaTheme="minorEastAsia" w:hAnsi="Calibri" w:cs="Calibri"/>
                <w:sz w:val="20"/>
                <w:lang w:eastAsia="en-AU"/>
              </w:rPr>
              <w:t>s Salary</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433</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455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5.1</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 xml:space="preserve">Electoral Act No. 23 of 2002, </w:t>
            </w:r>
            <w:r w:rsidRPr="00233E59">
              <w:rPr>
                <w:rFonts w:ascii="Calibri" w:eastAsiaTheme="minorEastAsia" w:hAnsi="Calibri" w:cs="Calibri"/>
                <w:iCs/>
                <w:sz w:val="20"/>
                <w:lang w:eastAsia="en-AU"/>
              </w:rPr>
              <w:t>Section 181 – Electoral Expenses</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35 558</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na</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Section 33 – Appropriation to meet certain obligations</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5 520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 xml:space="preserve">Inquiries Act No. 67 of 2014, </w:t>
            </w:r>
            <w:r w:rsidRPr="003E18C4">
              <w:rPr>
                <w:rFonts w:ascii="Calibri" w:eastAsiaTheme="minorEastAsia" w:hAnsi="Calibri" w:cs="Calibri"/>
                <w:iCs/>
                <w:sz w:val="20"/>
                <w:lang w:eastAsia="en-AU"/>
              </w:rPr>
              <w:t>Section 11 - Expenses and financial obligations of Royal Commission</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18 000</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na</w:t>
            </w:r>
          </w:p>
        </w:tc>
      </w:tr>
      <w:tr w:rsidR="00B03921" w:rsidRPr="0040134D"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Ombudsman Act No. 8414</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511</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537</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5.1</w:t>
            </w:r>
          </w:p>
        </w:tc>
      </w:tr>
      <w:tr w:rsidR="00B03921" w:rsidRPr="0040134D"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Parliamentary Salaries and Superannuation Act No. 7723 of 1968</w:t>
            </w:r>
          </w:p>
        </w:tc>
        <w:tc>
          <w:tcPr>
            <w:tcW w:w="1040" w:type="dxa"/>
            <w:tcBorders>
              <w:top w:val="nil"/>
              <w:left w:val="nil"/>
              <w:bottom w:val="single" w:sz="6" w:space="0" w:color="auto"/>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7 663</w:t>
            </w:r>
          </w:p>
        </w:tc>
        <w:tc>
          <w:tcPr>
            <w:tcW w:w="1040" w:type="dxa"/>
            <w:tcBorders>
              <w:top w:val="nil"/>
              <w:left w:val="nil"/>
              <w:bottom w:val="single" w:sz="6" w:space="0" w:color="auto"/>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8 051</w:t>
            </w:r>
          </w:p>
        </w:tc>
        <w:tc>
          <w:tcPr>
            <w:tcW w:w="1040" w:type="dxa"/>
            <w:tcBorders>
              <w:top w:val="nil"/>
              <w:left w:val="nil"/>
              <w:bottom w:val="single" w:sz="6" w:space="0" w:color="auto"/>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5.1</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14 177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62 651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341.9</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Treasury and Finance</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Governor</w:t>
            </w:r>
            <w:r w:rsidR="00BA5A16">
              <w:rPr>
                <w:rFonts w:ascii="Calibri" w:eastAsiaTheme="minorEastAsia" w:hAnsi="Calibri" w:cs="Calibri"/>
                <w:sz w:val="20"/>
                <w:lang w:eastAsia="en-AU"/>
              </w:rPr>
              <w:t>’</w:t>
            </w:r>
            <w:r w:rsidRPr="00BF7AEF">
              <w:rPr>
                <w:rFonts w:ascii="Calibri" w:eastAsiaTheme="minorEastAsia" w:hAnsi="Calibri" w:cs="Calibri"/>
                <w:sz w:val="20"/>
                <w:lang w:eastAsia="en-AU"/>
              </w:rPr>
              <w:t>s Pension</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1 005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1 031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Judges of the Supreme Court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9 776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10 020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County Court Act No. 6230 </w:t>
            </w:r>
            <w:r w:rsidRPr="00BF7AEF">
              <w:rPr>
                <w:rFonts w:ascii="Calibri" w:eastAsiaTheme="minorEastAsia" w:hAnsi="Calibri" w:cs="Calibri"/>
                <w:sz w:val="20"/>
                <w:lang w:eastAsia="en-AU"/>
              </w:rPr>
              <w:t>– Judges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13 536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13 874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Section 33 – Appropriation to meet certain obligations</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2 800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na</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39 – Interest on Advances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20 000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20 000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Gambling Regulation Act No. 114 of 2003, </w:t>
            </w:r>
            <w:r w:rsidRPr="00BF7AEF">
              <w:rPr>
                <w:rFonts w:ascii="Calibri" w:eastAsiaTheme="minorEastAsia" w:hAnsi="Calibri" w:cs="Calibri"/>
                <w:sz w:val="20"/>
                <w:lang w:eastAsia="en-AU"/>
              </w:rPr>
              <w:t>Section 3.6.12 – Community Support Fund</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98 800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100 168</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1.4</w:t>
            </w:r>
          </w:p>
        </w:tc>
      </w:tr>
    </w:tbl>
    <w:p w:rsidR="00BA5A16" w:rsidRDefault="00BA5A16" w:rsidP="00BA5A16">
      <w:pPr>
        <w:pStyle w:val="Tableheadingcontinued"/>
      </w:pPr>
      <w:r>
        <w:t>Table A.4:</w:t>
      </w:r>
      <w:r>
        <w:tab/>
        <w:t>Consolidated Fund payments – special appropriations</w:t>
      </w:r>
      <w:r w:rsidRPr="00E566A6">
        <w:rPr>
          <w:vertAlign w:val="superscript"/>
        </w:rPr>
        <w:t>(a)</w:t>
      </w:r>
      <w:r>
        <w:t xml:space="preserve"> </w:t>
      </w:r>
      <w:r w:rsidRPr="00E566A6">
        <w:rPr>
          <w:i/>
        </w:rPr>
        <w:t>(continued)</w:t>
      </w:r>
    </w:p>
    <w:p w:rsidR="00BA5A16" w:rsidRDefault="00BA5A16" w:rsidP="00BA5A16">
      <w:pPr>
        <w:pStyle w:val="million"/>
      </w:pPr>
      <w:r>
        <w:t xml:space="preserve">($ thousand) </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BA5A16" w:rsidRPr="00BF7AEF" w:rsidTr="00423972">
        <w:trPr>
          <w:cantSplit/>
          <w:trHeight w:val="503"/>
          <w:tblHeader/>
        </w:trPr>
        <w:tc>
          <w:tcPr>
            <w:tcW w:w="4640" w:type="dxa"/>
            <w:tcBorders>
              <w:top w:val="single" w:sz="6" w:space="0" w:color="auto"/>
              <w:left w:val="single" w:sz="6" w:space="0" w:color="auto"/>
              <w:right w:val="nil"/>
            </w:tcBorders>
            <w:shd w:val="clear" w:color="000000" w:fill="000000"/>
          </w:tcPr>
          <w:p w:rsidR="00BA5A16" w:rsidRPr="00BF7AEF" w:rsidRDefault="00BA5A16" w:rsidP="00423972">
            <w:pPr>
              <w:pStyle w:val="Tabletextheading"/>
              <w:rPr>
                <w:rFonts w:eastAsiaTheme="minorEastAsia"/>
                <w:color w:val="FFFFFF"/>
                <w:lang w:eastAsia="en-AU"/>
              </w:rPr>
            </w:pPr>
          </w:p>
        </w:tc>
        <w:tc>
          <w:tcPr>
            <w:tcW w:w="1040" w:type="dxa"/>
            <w:tcBorders>
              <w:top w:val="single" w:sz="6" w:space="0" w:color="auto"/>
              <w:left w:val="nil"/>
              <w:right w:val="nil"/>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2014-15</w:t>
            </w:r>
            <w:r>
              <w:rPr>
                <w:rFonts w:eastAsiaTheme="minorEastAsia"/>
                <w:color w:val="FFFFFF"/>
                <w:lang w:eastAsia="en-AU"/>
              </w:rPr>
              <w:t xml:space="preserve"> </w:t>
            </w:r>
            <w:r w:rsidRPr="00BF7AEF">
              <w:rPr>
                <w:rFonts w:eastAsiaTheme="minorEastAsia"/>
                <w:color w:val="FFFFFF"/>
                <w:lang w:eastAsia="en-AU"/>
              </w:rPr>
              <w:t>budget</w:t>
            </w:r>
            <w:r w:rsidRPr="00BF7AEF">
              <w:rPr>
                <w:rFonts w:eastAsiaTheme="minorEastAsia"/>
                <w:color w:val="FFFFFF"/>
                <w:vertAlign w:val="superscript"/>
                <w:lang w:eastAsia="en-AU"/>
              </w:rPr>
              <w:t>(b)</w:t>
            </w:r>
          </w:p>
        </w:tc>
        <w:tc>
          <w:tcPr>
            <w:tcW w:w="1040" w:type="dxa"/>
            <w:tcBorders>
              <w:top w:val="single" w:sz="6" w:space="0" w:color="auto"/>
              <w:left w:val="nil"/>
              <w:right w:val="nil"/>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2015-16</w:t>
            </w:r>
            <w:r>
              <w:rPr>
                <w:rFonts w:eastAsiaTheme="minorEastAsia"/>
                <w:color w:val="FFFFFF"/>
                <w:lang w:eastAsia="en-AU"/>
              </w:rPr>
              <w:t xml:space="preserve"> </w:t>
            </w:r>
            <w:r w:rsidRPr="00BF7AEF">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variation</w:t>
            </w:r>
          </w:p>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w:t>
            </w:r>
          </w:p>
        </w:tc>
      </w:tr>
      <w:tr w:rsidR="00BA5A16" w:rsidRPr="00BF7AEF" w:rsidTr="00423972">
        <w:trPr>
          <w:cantSplit/>
        </w:trPr>
        <w:tc>
          <w:tcPr>
            <w:tcW w:w="7760" w:type="dxa"/>
            <w:gridSpan w:val="4"/>
            <w:tcBorders>
              <w:top w:val="nil"/>
              <w:left w:val="nil"/>
              <w:bottom w:val="nil"/>
              <w:right w:val="nil"/>
            </w:tcBorders>
          </w:tcPr>
          <w:p w:rsidR="00BA5A16" w:rsidRPr="00BF7AEF" w:rsidRDefault="00BA5A16" w:rsidP="00423972">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Treasury and Finance</w:t>
            </w:r>
            <w:r>
              <w:rPr>
                <w:rFonts w:ascii="Calibri" w:eastAsiaTheme="minorEastAsia" w:hAnsi="Calibri" w:cs="Calibri"/>
                <w:b/>
                <w:bCs/>
                <w:sz w:val="20"/>
                <w:lang w:eastAsia="en-AU"/>
              </w:rPr>
              <w:t xml:space="preserve"> </w:t>
            </w:r>
            <w:r w:rsidRPr="00BA5A16">
              <w:rPr>
                <w:rFonts w:ascii="Calibri" w:eastAsiaTheme="minorEastAsia" w:hAnsi="Calibri" w:cs="Calibri"/>
                <w:b/>
                <w:bCs/>
                <w:i/>
                <w:sz w:val="20"/>
                <w:lang w:eastAsia="en-AU"/>
              </w:rPr>
              <w:t>(continued)</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Liquor Control Reform Act No. 94 of 1998</w:t>
            </w:r>
            <w:r w:rsidRPr="00BF7AEF">
              <w:rPr>
                <w:rFonts w:ascii="Calibri" w:eastAsiaTheme="minorEastAsia" w:hAnsi="Calibri" w:cs="Calibri"/>
                <w:sz w:val="20"/>
                <w:lang w:eastAsia="en-AU"/>
              </w:rPr>
              <w:t>, Section 177(2)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3 500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3 500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State Electricity Commission Act 1958,</w:t>
            </w:r>
            <w:r w:rsidRPr="00BF7AEF">
              <w:rPr>
                <w:rFonts w:ascii="Calibri" w:eastAsiaTheme="minorEastAsia" w:hAnsi="Calibri" w:cs="Calibri"/>
                <w:sz w:val="20"/>
                <w:lang w:eastAsia="en-AU"/>
              </w:rPr>
              <w:t xml:space="preserve"> Section 85B(2) – Indemnity</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67 517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65 072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(3.6)</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State Superannuation Act  No. 50 of 1988, </w:t>
            </w:r>
            <w:r w:rsidRPr="00BF7AEF">
              <w:rPr>
                <w:rFonts w:ascii="Calibri" w:eastAsiaTheme="minorEastAsia" w:hAnsi="Calibri" w:cs="Calibri"/>
                <w:sz w:val="20"/>
                <w:lang w:eastAsia="en-AU"/>
              </w:rPr>
              <w:t>Section 90(2) – Contributions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1 036 611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1 200 000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15.8</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Taxation (Interest on Overpayments) Act No. 35 of 1986</w:t>
            </w:r>
            <w:r w:rsidRPr="00BF7AEF">
              <w:rPr>
                <w:rFonts w:ascii="Calibri" w:eastAsiaTheme="minorEastAsia" w:hAnsi="Calibri" w:cs="Calibri"/>
                <w:sz w:val="20"/>
                <w:lang w:eastAsia="en-AU"/>
              </w:rPr>
              <w:t>, Section 11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1 000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1 000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Treasury Corporation of Victoria Act No. 80 of 1992, </w:t>
            </w:r>
            <w:r w:rsidRPr="00BF7AEF">
              <w:rPr>
                <w:rFonts w:ascii="Calibri" w:eastAsiaTheme="minorEastAsia" w:hAnsi="Calibri" w:cs="Calibri"/>
                <w:sz w:val="20"/>
                <w:lang w:eastAsia="en-AU"/>
              </w:rPr>
              <w:t>Section 38 – Debt Retirement</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1 000 700</w:t>
            </w:r>
          </w:p>
        </w:tc>
        <w:tc>
          <w:tcPr>
            <w:tcW w:w="1040" w:type="dxa"/>
            <w:tcBorders>
              <w:top w:val="nil"/>
              <w:left w:val="nil"/>
              <w:bottom w:val="single" w:sz="6" w:space="0" w:color="auto"/>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1 000 700</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2 252 445</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2 418 165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7.4</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Parliament</w:t>
            </w:r>
            <w:r w:rsidRPr="00BF7AEF">
              <w:rPr>
                <w:rFonts w:ascii="Calibri" w:eastAsiaTheme="minorEastAsia" w:hAnsi="Calibri" w:cs="Calibri"/>
                <w:b/>
                <w:sz w:val="20"/>
                <w:lang w:eastAsia="en-AU"/>
              </w:rPr>
              <w:t xml:space="preserve"> </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Audit Act No. 2 of 1994, </w:t>
            </w:r>
            <w:r w:rsidRPr="00BF7AEF">
              <w:rPr>
                <w:rFonts w:ascii="Calibri" w:eastAsiaTheme="minorEastAsia" w:hAnsi="Calibri" w:cs="Calibri"/>
                <w:sz w:val="20"/>
                <w:lang w:eastAsia="en-AU"/>
              </w:rPr>
              <w:t>Section 17(3) – Audit of Auditor-General</w:t>
            </w:r>
            <w:r w:rsidR="00BA5A16">
              <w:rPr>
                <w:rFonts w:ascii="Calibri" w:eastAsiaTheme="minorEastAsia" w:hAnsi="Calibri" w:cs="Calibri"/>
                <w:sz w:val="20"/>
                <w:lang w:eastAsia="en-AU"/>
              </w:rPr>
              <w:t>’</w:t>
            </w:r>
            <w:r w:rsidRPr="00BF7AEF">
              <w:rPr>
                <w:rFonts w:ascii="Calibri" w:eastAsiaTheme="minorEastAsia" w:hAnsi="Calibri" w:cs="Calibri"/>
                <w:sz w:val="20"/>
                <w:lang w:eastAsia="en-AU"/>
              </w:rPr>
              <w:t>s Office</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25</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w:t>
            </w:r>
            <w:r w:rsidRPr="00BF7AEF">
              <w:rPr>
                <w:rFonts w:ascii="Calibri" w:eastAsiaTheme="minorEastAsia" w:hAnsi="Calibri" w:cs="Calibri"/>
                <w:sz w:val="20"/>
                <w:lang w:eastAsia="en-AU"/>
              </w:rPr>
              <w:t>Section 94A – Auditor-General</w:t>
            </w:r>
            <w:r w:rsidR="00BA5A16">
              <w:rPr>
                <w:rFonts w:ascii="Calibri" w:eastAsiaTheme="minorEastAsia" w:hAnsi="Calibri" w:cs="Calibri"/>
                <w:sz w:val="20"/>
                <w:lang w:eastAsia="en-AU"/>
              </w:rPr>
              <w:t>’</w:t>
            </w:r>
            <w:r w:rsidRPr="00BF7AEF">
              <w:rPr>
                <w:rFonts w:ascii="Calibri" w:eastAsiaTheme="minorEastAsia" w:hAnsi="Calibri" w:cs="Calibri"/>
                <w:sz w:val="20"/>
                <w:lang w:eastAsia="en-AU"/>
              </w:rPr>
              <w:t>s Salary</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541</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611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12.9</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Clerks of the Parliaments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w:t>
            </w:r>
            <w:r w:rsidRPr="00BF7AEF">
              <w:rPr>
                <w:rFonts w:ascii="Calibri" w:eastAsiaTheme="minorEastAsia" w:hAnsi="Calibri" w:cs="Calibri"/>
                <w:sz w:val="20"/>
                <w:lang w:eastAsia="en-AU"/>
              </w:rPr>
              <w:t>– Legislative Assembly</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550</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550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Legislative Council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200</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33 – Appropriation to meet certain obligations</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3 500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na</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Parliamentary Salaries and Superannuation Act No. 7723, </w:t>
            </w:r>
            <w:r w:rsidRPr="00BF7AEF">
              <w:rPr>
                <w:rFonts w:ascii="Calibri" w:eastAsiaTheme="minorEastAsia" w:hAnsi="Calibri" w:cs="Calibri"/>
                <w:sz w:val="20"/>
                <w:lang w:eastAsia="en-AU"/>
              </w:rPr>
              <w:t xml:space="preserve"> Section 13(1) – contributions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9 300</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9 300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r>
      <w:tr w:rsidR="00B03921" w:rsidRPr="00BF7AEF" w:rsidTr="00016914">
        <w:trPr>
          <w:cantSplit/>
        </w:trPr>
        <w:tc>
          <w:tcPr>
            <w:tcW w:w="46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Parliamentary Salaries and Superannuation Act No. 7723 </w:t>
            </w:r>
            <w:r w:rsidRPr="00BF7AEF">
              <w:rPr>
                <w:rFonts w:ascii="Calibri" w:eastAsiaTheme="minorEastAsia" w:hAnsi="Calibri" w:cs="Calibri"/>
                <w:sz w:val="20"/>
                <w:lang w:eastAsia="en-AU"/>
              </w:rPr>
              <w:t>– Salaries and Allowances</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27 971</w:t>
            </w:r>
          </w:p>
        </w:tc>
        <w:tc>
          <w:tcPr>
            <w:tcW w:w="1040" w:type="dxa"/>
            <w:tcBorders>
              <w:top w:val="nil"/>
              <w:left w:val="nil"/>
              <w:bottom w:val="single" w:sz="6" w:space="0" w:color="auto"/>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28 661</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38 589</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42 849</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11.0</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Pr>
                <w:rFonts w:ascii="Calibri" w:eastAsiaTheme="minorEastAsia" w:hAnsi="Calibri" w:cs="Calibri"/>
                <w:b/>
                <w:bCs/>
                <w:sz w:val="20"/>
                <w:lang w:eastAsia="en-AU"/>
              </w:rPr>
              <w:t>Courts</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Constitution Act No. 8750</w:t>
            </w:r>
            <w:r w:rsidRPr="00BF7AEF">
              <w:rPr>
                <w:rFonts w:ascii="Calibri" w:eastAsiaTheme="minorEastAsia" w:hAnsi="Calibri" w:cs="Calibri"/>
                <w:sz w:val="20"/>
                <w:lang w:eastAsia="en-AU"/>
              </w:rPr>
              <w:t xml:space="preserve"> – Chief Justice</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713</w:t>
            </w:r>
          </w:p>
        </w:tc>
        <w:tc>
          <w:tcPr>
            <w:tcW w:w="1040" w:type="dxa"/>
            <w:tcBorders>
              <w:top w:val="nil"/>
              <w:left w:val="nil"/>
              <w:bottom w:val="nil"/>
              <w:right w:val="nil"/>
            </w:tcBorders>
            <w:shd w:val="solid" w:color="FFFFFF" w:fill="auto"/>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745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 </w:t>
            </w:r>
            <w:r w:rsidRPr="00BF7AEF">
              <w:rPr>
                <w:rFonts w:ascii="Calibri" w:eastAsiaTheme="minorEastAsia" w:hAnsi="Calibri" w:cs="Calibri"/>
                <w:sz w:val="20"/>
                <w:lang w:eastAsia="en-AU"/>
              </w:rPr>
              <w:t>President Court of Appeal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573</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599</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4.5</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 </w:t>
            </w:r>
            <w:r w:rsidRPr="00BF7AEF">
              <w:rPr>
                <w:rFonts w:ascii="Calibri" w:eastAsiaTheme="minorEastAsia" w:hAnsi="Calibri" w:cs="Calibri"/>
                <w:sz w:val="20"/>
                <w:lang w:eastAsia="en-AU"/>
              </w:rPr>
              <w:t>Judges Court of Appeal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7 128</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7 312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2.6</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Constitution Act No. 8750 </w:t>
            </w:r>
            <w:r w:rsidRPr="00BF7AEF">
              <w:rPr>
                <w:rFonts w:ascii="Calibri" w:eastAsiaTheme="minorEastAsia" w:hAnsi="Calibri" w:cs="Calibri"/>
                <w:sz w:val="20"/>
                <w:lang w:eastAsia="en-AU"/>
              </w:rPr>
              <w:t>– Judges Supreme Court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22 835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23 995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5.1</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County Court Act No. 6230 – </w:t>
            </w:r>
            <w:r w:rsidRPr="00BF7AEF">
              <w:rPr>
                <w:rFonts w:ascii="Calibri" w:eastAsiaTheme="minorEastAsia" w:hAnsi="Calibri" w:cs="Calibri"/>
                <w:sz w:val="20"/>
                <w:lang w:eastAsia="en-AU"/>
              </w:rPr>
              <w:t>Judges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31 782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33 193</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4.4</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Juries Act No. 53 of 2000, </w:t>
            </w:r>
            <w:r w:rsidRPr="00BF7AEF">
              <w:rPr>
                <w:rFonts w:ascii="Calibri" w:eastAsiaTheme="minorEastAsia" w:hAnsi="Calibri" w:cs="Calibri"/>
                <w:sz w:val="20"/>
                <w:lang w:eastAsia="en-AU"/>
              </w:rPr>
              <w:t>Section 59 – Compensation to Jurors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25</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4.2</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i/>
                <w:iCs/>
                <w:sz w:val="20"/>
                <w:lang w:eastAsia="en-AU"/>
              </w:rPr>
              <w:t>Magistrates Court Act No. 51 of 1989</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51 556</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 xml:space="preserve"> 54 192</w:t>
            </w:r>
          </w:p>
        </w:tc>
        <w:tc>
          <w:tcPr>
            <w:tcW w:w="1040" w:type="dxa"/>
            <w:tcBorders>
              <w:top w:val="nil"/>
              <w:left w:val="nil"/>
              <w:bottom w:val="nil"/>
              <w:right w:val="nil"/>
            </w:tcBorders>
          </w:tcPr>
          <w:p w:rsidR="00B03921" w:rsidRPr="0040134D" w:rsidRDefault="00B03921" w:rsidP="00016914">
            <w:pPr>
              <w:autoSpaceDE w:val="0"/>
              <w:autoSpaceDN w:val="0"/>
              <w:adjustRightInd w:val="0"/>
              <w:spacing w:after="0"/>
              <w:jc w:val="right"/>
              <w:rPr>
                <w:rFonts w:ascii="Calibri" w:eastAsiaTheme="minorEastAsia" w:hAnsi="Calibri" w:cs="Calibri"/>
                <w:sz w:val="20"/>
                <w:lang w:eastAsia="en-AU"/>
              </w:rPr>
            </w:pPr>
            <w:r w:rsidRPr="0040134D">
              <w:rPr>
                <w:rFonts w:ascii="Calibri" w:eastAsiaTheme="minorEastAsia" w:hAnsi="Calibri" w:cs="Calibri"/>
                <w:sz w:val="20"/>
                <w:lang w:eastAsia="en-AU"/>
              </w:rPr>
              <w:t>5.1</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Victims of Crime Assistance Act No. 81 of 1996</w:t>
            </w:r>
            <w:r w:rsidRPr="00BF7AEF">
              <w:rPr>
                <w:rFonts w:ascii="Calibri" w:eastAsiaTheme="minorEastAsia" w:hAnsi="Calibri" w:cs="Calibri"/>
                <w:sz w:val="20"/>
                <w:lang w:eastAsia="en-AU"/>
              </w:rPr>
              <w:t>, Section 69 – Awards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58 111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61 614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6.0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Victims of Crime Assistance Act No. 81 of 1996</w:t>
            </w:r>
            <w:r w:rsidRPr="00BF7AEF">
              <w:rPr>
                <w:rFonts w:ascii="Calibri" w:eastAsiaTheme="minorEastAsia" w:hAnsi="Calibri" w:cs="Calibri"/>
                <w:sz w:val="20"/>
                <w:lang w:eastAsia="en-AU"/>
              </w:rPr>
              <w:t>, Section 69 – Expenses</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2 542</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2 656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4.5</w:t>
            </w:r>
          </w:p>
        </w:tc>
      </w:tr>
      <w:tr w:rsidR="00B03921" w:rsidRPr="00BF7AEF" w:rsidTr="00016914">
        <w:trPr>
          <w:cantSplit/>
        </w:trPr>
        <w:tc>
          <w:tcPr>
            <w:tcW w:w="46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Victorian Civil and Administrative Tribunal Act 53 of 1998,</w:t>
            </w:r>
            <w:r w:rsidRPr="00BF7AEF">
              <w:rPr>
                <w:rFonts w:ascii="Calibri" w:eastAsiaTheme="minorEastAsia" w:hAnsi="Calibri" w:cs="Calibri"/>
                <w:sz w:val="20"/>
                <w:lang w:eastAsia="en-AU"/>
              </w:rPr>
              <w:t xml:space="preserve"> Section 17AA</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14 291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14 934</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4.5</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189 555</w:t>
            </w:r>
          </w:p>
        </w:tc>
        <w:tc>
          <w:tcPr>
            <w:tcW w:w="10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199 265</w:t>
            </w:r>
          </w:p>
        </w:tc>
        <w:tc>
          <w:tcPr>
            <w:tcW w:w="10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5.1</w:t>
            </w:r>
          </w:p>
        </w:tc>
      </w:tr>
    </w:tbl>
    <w:p w:rsidR="00BA5A16" w:rsidRDefault="00BA5A16" w:rsidP="00BA5A16">
      <w:pPr>
        <w:pStyle w:val="Tableheadingcontinued"/>
      </w:pPr>
      <w:r>
        <w:t>Table A.4:</w:t>
      </w:r>
      <w:r>
        <w:tab/>
        <w:t>Consolidated Fund payments – special appropriations</w:t>
      </w:r>
      <w:r w:rsidRPr="00E566A6">
        <w:rPr>
          <w:vertAlign w:val="superscript"/>
        </w:rPr>
        <w:t>(a)</w:t>
      </w:r>
      <w:r>
        <w:t xml:space="preserve"> </w:t>
      </w:r>
      <w:r w:rsidRPr="00E566A6">
        <w:rPr>
          <w:i/>
        </w:rPr>
        <w:t>(continued)</w:t>
      </w:r>
    </w:p>
    <w:p w:rsidR="00BA5A16" w:rsidRDefault="00BA5A16" w:rsidP="00BA5A16">
      <w:pPr>
        <w:pStyle w:val="million"/>
      </w:pPr>
      <w:r>
        <w:t xml:space="preserve">($ thousand) </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BA5A16" w:rsidRPr="00BF7AEF" w:rsidTr="00423972">
        <w:trPr>
          <w:cantSplit/>
          <w:trHeight w:val="503"/>
          <w:tblHeader/>
        </w:trPr>
        <w:tc>
          <w:tcPr>
            <w:tcW w:w="4640" w:type="dxa"/>
            <w:tcBorders>
              <w:top w:val="single" w:sz="6" w:space="0" w:color="auto"/>
              <w:left w:val="single" w:sz="6" w:space="0" w:color="auto"/>
              <w:right w:val="nil"/>
            </w:tcBorders>
            <w:shd w:val="clear" w:color="000000" w:fill="000000"/>
          </w:tcPr>
          <w:p w:rsidR="00BA5A16" w:rsidRPr="00BF7AEF" w:rsidRDefault="00BA5A16" w:rsidP="00423972">
            <w:pPr>
              <w:pStyle w:val="Tabletextheading"/>
              <w:rPr>
                <w:rFonts w:eastAsiaTheme="minorEastAsia"/>
                <w:color w:val="FFFFFF"/>
                <w:lang w:eastAsia="en-AU"/>
              </w:rPr>
            </w:pPr>
          </w:p>
        </w:tc>
        <w:tc>
          <w:tcPr>
            <w:tcW w:w="1040" w:type="dxa"/>
            <w:tcBorders>
              <w:top w:val="single" w:sz="6" w:space="0" w:color="auto"/>
              <w:left w:val="nil"/>
              <w:right w:val="nil"/>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2014-15</w:t>
            </w:r>
            <w:r>
              <w:rPr>
                <w:rFonts w:eastAsiaTheme="minorEastAsia"/>
                <w:color w:val="FFFFFF"/>
                <w:lang w:eastAsia="en-AU"/>
              </w:rPr>
              <w:t xml:space="preserve"> </w:t>
            </w:r>
            <w:r w:rsidRPr="00BF7AEF">
              <w:rPr>
                <w:rFonts w:eastAsiaTheme="minorEastAsia"/>
                <w:color w:val="FFFFFF"/>
                <w:lang w:eastAsia="en-AU"/>
              </w:rPr>
              <w:t>budget</w:t>
            </w:r>
            <w:r w:rsidRPr="00BF7AEF">
              <w:rPr>
                <w:rFonts w:eastAsiaTheme="minorEastAsia"/>
                <w:color w:val="FFFFFF"/>
                <w:vertAlign w:val="superscript"/>
                <w:lang w:eastAsia="en-AU"/>
              </w:rPr>
              <w:t>(b)</w:t>
            </w:r>
          </w:p>
        </w:tc>
        <w:tc>
          <w:tcPr>
            <w:tcW w:w="1040" w:type="dxa"/>
            <w:tcBorders>
              <w:top w:val="single" w:sz="6" w:space="0" w:color="auto"/>
              <w:left w:val="nil"/>
              <w:right w:val="nil"/>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2015-16</w:t>
            </w:r>
            <w:r>
              <w:rPr>
                <w:rFonts w:eastAsiaTheme="minorEastAsia"/>
                <w:color w:val="FFFFFF"/>
                <w:lang w:eastAsia="en-AU"/>
              </w:rPr>
              <w:t xml:space="preserve"> </w:t>
            </w:r>
            <w:r w:rsidRPr="00BF7AEF">
              <w:rPr>
                <w:rFonts w:eastAsiaTheme="minorEastAsia"/>
                <w:color w:val="FFFFFF"/>
                <w:lang w:eastAsia="en-AU"/>
              </w:rPr>
              <w:t>budget</w:t>
            </w:r>
          </w:p>
        </w:tc>
        <w:tc>
          <w:tcPr>
            <w:tcW w:w="1040" w:type="dxa"/>
            <w:tcBorders>
              <w:top w:val="single" w:sz="6" w:space="0" w:color="auto"/>
              <w:left w:val="nil"/>
              <w:right w:val="single" w:sz="6" w:space="0" w:color="auto"/>
            </w:tcBorders>
            <w:shd w:val="clear" w:color="000000" w:fill="000000"/>
          </w:tcPr>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variation</w:t>
            </w:r>
          </w:p>
          <w:p w:rsidR="00BA5A16" w:rsidRPr="00BF7AEF" w:rsidRDefault="00BA5A16" w:rsidP="00423972">
            <w:pPr>
              <w:pStyle w:val="Tabletextheading"/>
              <w:rPr>
                <w:rFonts w:eastAsiaTheme="minorEastAsia"/>
                <w:color w:val="FFFFFF"/>
                <w:lang w:eastAsia="en-AU"/>
              </w:rPr>
            </w:pPr>
            <w:r w:rsidRPr="00BF7AEF">
              <w:rPr>
                <w:rFonts w:eastAsiaTheme="minorEastAsia"/>
                <w:color w:val="FFFFFF"/>
                <w:lang w:eastAsia="en-AU"/>
              </w:rPr>
              <w:t>%</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Human Services</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Financial Management Act No. 18 of 1994</w:t>
            </w:r>
            <w:r w:rsidRPr="00BF7AEF">
              <w:rPr>
                <w:rFonts w:ascii="Calibri" w:eastAsiaTheme="minorEastAsia" w:hAnsi="Calibri" w:cs="Calibri"/>
                <w:sz w:val="20"/>
                <w:lang w:eastAsia="en-AU"/>
              </w:rPr>
              <w:t xml:space="preserve">, Section 33 – Appropriation to meet certain obligations </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16 121</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Gambling Regulation Act No. 114 of 2003, </w:t>
            </w:r>
            <w:r w:rsidRPr="00BF7AEF">
              <w:rPr>
                <w:rFonts w:ascii="Calibri" w:eastAsiaTheme="minorEastAsia" w:hAnsi="Calibri" w:cs="Calibri"/>
                <w:sz w:val="20"/>
                <w:lang w:eastAsia="en-AU"/>
              </w:rPr>
              <w:t>Section 5.4.6 – Hospitals and Charities Fund and Mental Health Fund</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63 935</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single" w:sz="6" w:space="0" w:color="auto"/>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80 056</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(100.0)</w:t>
            </w:r>
          </w:p>
        </w:tc>
      </w:tr>
      <w:tr w:rsidR="00E566A6" w:rsidRPr="00BF7AEF" w:rsidTr="00423972">
        <w:trPr>
          <w:cantSplit/>
        </w:trPr>
        <w:tc>
          <w:tcPr>
            <w:tcW w:w="7760" w:type="dxa"/>
            <w:gridSpan w:val="4"/>
            <w:tcBorders>
              <w:top w:val="nil"/>
              <w:left w:val="nil"/>
              <w:bottom w:val="nil"/>
              <w:right w:val="nil"/>
            </w:tcBorders>
          </w:tcPr>
          <w:p w:rsidR="00E566A6" w:rsidRPr="00BF7AEF" w:rsidRDefault="00E566A6" w:rsidP="00E566A6">
            <w:pPr>
              <w:autoSpaceDE w:val="0"/>
              <w:autoSpaceDN w:val="0"/>
              <w:adjustRightInd w:val="0"/>
              <w:spacing w:after="0"/>
              <w:rPr>
                <w:rFonts w:ascii="Calibri" w:eastAsiaTheme="minorEastAsia" w:hAnsi="Calibri" w:cs="Calibri"/>
                <w:b/>
                <w:sz w:val="20"/>
                <w:lang w:eastAsia="en-AU"/>
              </w:rPr>
            </w:pPr>
            <w:r w:rsidRPr="00BF7AEF">
              <w:rPr>
                <w:rFonts w:ascii="Calibri" w:eastAsiaTheme="minorEastAsia" w:hAnsi="Calibri" w:cs="Calibri"/>
                <w:b/>
                <w:bCs/>
                <w:sz w:val="20"/>
                <w:lang w:eastAsia="en-AU"/>
              </w:rPr>
              <w:t>Transport, Planning and Local Infrastructure</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BF7AEF">
              <w:rPr>
                <w:rFonts w:ascii="Calibri" w:eastAsiaTheme="minorEastAsia" w:hAnsi="Calibri" w:cs="Calibri"/>
                <w:i/>
                <w:iCs/>
                <w:sz w:val="20"/>
                <w:lang w:eastAsia="en-AU"/>
              </w:rPr>
              <w:t xml:space="preserve">Financial Management Act No. 18 of 1994, </w:t>
            </w:r>
            <w:r w:rsidRPr="00BF7AEF">
              <w:rPr>
                <w:rFonts w:ascii="Calibri" w:eastAsiaTheme="minorEastAsia" w:hAnsi="Calibri" w:cs="Calibri"/>
                <w:sz w:val="20"/>
                <w:lang w:eastAsia="en-AU"/>
              </w:rPr>
              <w:t>Section 33 – Appropriation to meet certain obligations</w:t>
            </w:r>
            <w:r w:rsidRPr="00BF7AEF">
              <w:rPr>
                <w:rFonts w:ascii="Calibri" w:eastAsiaTheme="minorEastAsia" w:hAnsi="Calibri" w:cs="Calibri"/>
                <w:sz w:val="20"/>
                <w:vertAlign w:val="superscript"/>
                <w:lang w:eastAsia="en-AU"/>
              </w:rPr>
              <w:t>(c)</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9 107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sz w:val="20"/>
                <w:lang w:eastAsia="en-AU"/>
              </w:rPr>
              <w:t xml:space="preserve">Payments to Growth Areas Public Transport Fund pursuant to Section 201V of the </w:t>
            </w:r>
            <w:r w:rsidRPr="00BF7AEF">
              <w:rPr>
                <w:rFonts w:ascii="Calibri" w:eastAsiaTheme="minorEastAsia" w:hAnsi="Calibri" w:cs="Calibri"/>
                <w:i/>
                <w:iCs/>
                <w:sz w:val="20"/>
                <w:lang w:eastAsia="en-AU"/>
              </w:rPr>
              <w:t>Planning and Environment Act No. 45 of 1987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5 950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i/>
                <w:iCs/>
                <w:sz w:val="20"/>
                <w:lang w:eastAsia="en-AU"/>
              </w:rPr>
            </w:pPr>
            <w:r w:rsidRPr="00BF7AEF">
              <w:rPr>
                <w:rFonts w:ascii="Calibri" w:eastAsiaTheme="minorEastAsia" w:hAnsi="Calibri" w:cs="Calibri"/>
                <w:sz w:val="20"/>
                <w:lang w:eastAsia="en-AU"/>
              </w:rPr>
              <w:t xml:space="preserve">Payments to Building New Communities Fund pursuant to Section 201V of the </w:t>
            </w:r>
            <w:r w:rsidRPr="00BF7AEF">
              <w:rPr>
                <w:rFonts w:ascii="Calibri" w:eastAsiaTheme="minorEastAsia" w:hAnsi="Calibri" w:cs="Calibri"/>
                <w:i/>
                <w:iCs/>
                <w:sz w:val="20"/>
                <w:lang w:eastAsia="en-AU"/>
              </w:rPr>
              <w:t>Planning and Environment Act No. 45 of 1987</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5 950</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nil"/>
              <w:left w:val="nil"/>
              <w:bottom w:val="nil"/>
              <w:right w:val="nil"/>
            </w:tcBorders>
          </w:tcPr>
          <w:p w:rsidR="00B03921" w:rsidRPr="00BF7AEF" w:rsidRDefault="00B03921" w:rsidP="00016914">
            <w:pPr>
              <w:autoSpaceDE w:val="0"/>
              <w:autoSpaceDN w:val="0"/>
              <w:adjustRightInd w:val="0"/>
              <w:spacing w:after="0"/>
              <w:rPr>
                <w:rFonts w:ascii="Calibri" w:eastAsiaTheme="minorEastAsia" w:hAnsi="Calibri" w:cs="Calibri"/>
                <w:sz w:val="20"/>
                <w:lang w:eastAsia="en-AU"/>
              </w:rPr>
            </w:pPr>
            <w:r w:rsidRPr="00BF7AEF">
              <w:rPr>
                <w:rFonts w:ascii="Calibri" w:eastAsiaTheme="minorEastAsia" w:hAnsi="Calibri" w:cs="Calibri"/>
                <w:i/>
                <w:iCs/>
                <w:sz w:val="20"/>
                <w:lang w:eastAsia="en-AU"/>
              </w:rPr>
              <w:t xml:space="preserve">Transport (Compliance and Miscellaneous) Act, </w:t>
            </w:r>
            <w:r w:rsidRPr="00BF7AEF">
              <w:rPr>
                <w:rFonts w:ascii="Calibri" w:eastAsiaTheme="minorEastAsia" w:hAnsi="Calibri" w:cs="Calibri"/>
                <w:sz w:val="20"/>
                <w:lang w:eastAsia="en-AU"/>
              </w:rPr>
              <w:t xml:space="preserve">Section 213A(4) </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2 000</w:t>
            </w:r>
          </w:p>
        </w:tc>
        <w:tc>
          <w:tcPr>
            <w:tcW w:w="1040" w:type="dxa"/>
            <w:tcBorders>
              <w:top w:val="nil"/>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w:t>
            </w:r>
          </w:p>
        </w:tc>
        <w:tc>
          <w:tcPr>
            <w:tcW w:w="1040" w:type="dxa"/>
            <w:tcBorders>
              <w:top w:val="nil"/>
              <w:left w:val="nil"/>
              <w:bottom w:val="nil"/>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sz w:val="20"/>
                <w:lang w:eastAsia="en-AU"/>
              </w:rPr>
            </w:pPr>
            <w:r w:rsidRPr="00BF7AEF">
              <w:rPr>
                <w:rFonts w:ascii="Calibri" w:eastAsiaTheme="minorEastAsia" w:hAnsi="Calibri" w:cs="Calibri"/>
                <w:sz w:val="20"/>
                <w:lang w:eastAsia="en-AU"/>
              </w:rPr>
              <w:t xml:space="preserve"> (100.0)</w:t>
            </w:r>
          </w:p>
        </w:tc>
      </w:tr>
      <w:tr w:rsidR="00B03921" w:rsidRPr="00BF7AEF" w:rsidTr="00016914">
        <w:trPr>
          <w:cantSplit/>
        </w:trPr>
        <w:tc>
          <w:tcPr>
            <w:tcW w:w="4640" w:type="dxa"/>
            <w:tcBorders>
              <w:top w:val="single" w:sz="6" w:space="0" w:color="auto"/>
              <w:left w:val="nil"/>
              <w:bottom w:val="single" w:sz="6" w:space="0" w:color="auto"/>
              <w:right w:val="nil"/>
            </w:tcBorders>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w:t>
            </w:r>
          </w:p>
        </w:tc>
        <w:tc>
          <w:tcPr>
            <w:tcW w:w="1040" w:type="dxa"/>
            <w:tcBorders>
              <w:top w:val="single" w:sz="6" w:space="0" w:color="auto"/>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23 007</w:t>
            </w:r>
          </w:p>
        </w:tc>
        <w:tc>
          <w:tcPr>
            <w:tcW w:w="1040" w:type="dxa"/>
            <w:tcBorders>
              <w:top w:val="single" w:sz="6" w:space="0" w:color="auto"/>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w:t>
            </w:r>
          </w:p>
        </w:tc>
        <w:tc>
          <w:tcPr>
            <w:tcW w:w="1040" w:type="dxa"/>
            <w:tcBorders>
              <w:top w:val="single" w:sz="6" w:space="0" w:color="auto"/>
              <w:left w:val="nil"/>
              <w:bottom w:val="single" w:sz="6" w:space="0" w:color="auto"/>
              <w:right w:val="nil"/>
            </w:tcBorders>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 xml:space="preserve"> (100.0)</w:t>
            </w:r>
          </w:p>
        </w:tc>
      </w:tr>
      <w:tr w:rsidR="00B03921" w:rsidRPr="00BF7AEF" w:rsidTr="00016914">
        <w:trPr>
          <w:cantSplit/>
        </w:trPr>
        <w:tc>
          <w:tcPr>
            <w:tcW w:w="4640" w:type="dxa"/>
            <w:tcBorders>
              <w:top w:val="single" w:sz="6" w:space="0" w:color="auto"/>
              <w:left w:val="nil"/>
              <w:bottom w:val="single" w:sz="12" w:space="0" w:color="000000"/>
              <w:right w:val="nil"/>
            </w:tcBorders>
            <w:shd w:val="clear" w:color="auto" w:fill="auto"/>
          </w:tcPr>
          <w:p w:rsidR="00B03921" w:rsidRPr="00BF7AEF" w:rsidRDefault="00B03921" w:rsidP="00016914">
            <w:pPr>
              <w:autoSpaceDE w:val="0"/>
              <w:autoSpaceDN w:val="0"/>
              <w:adjustRightInd w:val="0"/>
              <w:spacing w:after="0"/>
              <w:rPr>
                <w:rFonts w:ascii="Calibri" w:eastAsiaTheme="minorEastAsia" w:hAnsi="Calibri" w:cs="Calibri"/>
                <w:b/>
                <w:bCs/>
                <w:sz w:val="20"/>
                <w:lang w:eastAsia="en-AU"/>
              </w:rPr>
            </w:pPr>
            <w:r w:rsidRPr="00BF7AEF">
              <w:rPr>
                <w:rFonts w:ascii="Calibri" w:eastAsiaTheme="minorEastAsia" w:hAnsi="Calibri" w:cs="Calibri"/>
                <w:b/>
                <w:bCs/>
                <w:sz w:val="20"/>
                <w:lang w:eastAsia="en-AU"/>
              </w:rPr>
              <w:t>Total special appropriations</w:t>
            </w:r>
          </w:p>
        </w:tc>
        <w:tc>
          <w:tcPr>
            <w:tcW w:w="1040" w:type="dxa"/>
            <w:tcBorders>
              <w:top w:val="single" w:sz="6" w:space="0" w:color="auto"/>
              <w:left w:val="nil"/>
              <w:bottom w:val="single" w:sz="12" w:space="0" w:color="000000"/>
              <w:right w:val="nil"/>
            </w:tcBorders>
            <w:shd w:val="clear" w:color="auto"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3 905 644</w:t>
            </w:r>
          </w:p>
        </w:tc>
        <w:tc>
          <w:tcPr>
            <w:tcW w:w="1040" w:type="dxa"/>
            <w:tcBorders>
              <w:top w:val="single" w:sz="6" w:space="0" w:color="auto"/>
              <w:left w:val="nil"/>
              <w:bottom w:val="single" w:sz="12" w:space="0" w:color="000000"/>
              <w:right w:val="nil"/>
            </w:tcBorders>
            <w:shd w:val="clear" w:color="auto"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4 175 216</w:t>
            </w:r>
          </w:p>
        </w:tc>
        <w:tc>
          <w:tcPr>
            <w:tcW w:w="1040" w:type="dxa"/>
            <w:tcBorders>
              <w:top w:val="single" w:sz="6" w:space="0" w:color="auto"/>
              <w:left w:val="nil"/>
              <w:bottom w:val="single" w:sz="12" w:space="0" w:color="000000"/>
              <w:right w:val="nil"/>
            </w:tcBorders>
            <w:shd w:val="clear" w:color="auto" w:fill="auto"/>
          </w:tcPr>
          <w:p w:rsidR="00B03921" w:rsidRPr="00BF7AEF" w:rsidRDefault="00B03921" w:rsidP="00016914">
            <w:pPr>
              <w:autoSpaceDE w:val="0"/>
              <w:autoSpaceDN w:val="0"/>
              <w:adjustRightInd w:val="0"/>
              <w:spacing w:after="0"/>
              <w:jc w:val="right"/>
              <w:rPr>
                <w:rFonts w:ascii="Calibri" w:eastAsiaTheme="minorEastAsia" w:hAnsi="Calibri" w:cs="Calibri"/>
                <w:b/>
                <w:bCs/>
                <w:sz w:val="20"/>
                <w:lang w:eastAsia="en-AU"/>
              </w:rPr>
            </w:pPr>
            <w:r w:rsidRPr="00BF7AEF">
              <w:rPr>
                <w:rFonts w:ascii="Calibri" w:eastAsiaTheme="minorEastAsia" w:hAnsi="Calibri" w:cs="Calibri"/>
                <w:b/>
                <w:bCs/>
                <w:sz w:val="20"/>
                <w:lang w:eastAsia="en-AU"/>
              </w:rPr>
              <w:t>6.9</w:t>
            </w:r>
          </w:p>
        </w:tc>
      </w:tr>
    </w:tbl>
    <w:p w:rsidR="00B03921" w:rsidRDefault="00B03921" w:rsidP="00016914">
      <w:pPr>
        <w:pStyle w:val="Source"/>
      </w:pPr>
      <w:r w:rsidRPr="00043E52">
        <w:t>Source: Department of Treasury and Financ</w:t>
      </w:r>
      <w:r>
        <w:t>e</w:t>
      </w:r>
    </w:p>
    <w:p w:rsidR="00B03921" w:rsidRDefault="00B03921" w:rsidP="00016914">
      <w:pPr>
        <w:pStyle w:val="Notes"/>
      </w:pPr>
      <w:r>
        <w:t>Notes:</w:t>
      </w:r>
    </w:p>
    <w:p w:rsidR="00B03921" w:rsidRDefault="00B03921" w:rsidP="00016914">
      <w:pPr>
        <w:pStyle w:val="Notes"/>
      </w:pPr>
      <w:r>
        <w:t>(a)</w:t>
      </w:r>
      <w:r>
        <w:tab/>
        <w:t>On 4 December 2014, the Premier announced machinery of government changes effective from 1 January 2015. The following Victorian government departments were affected:</w:t>
      </w:r>
    </w:p>
    <w:p w:rsidR="00B03921" w:rsidRDefault="00B03921" w:rsidP="00016914">
      <w:pPr>
        <w:pStyle w:val="NotesDash"/>
      </w:pPr>
      <w:r>
        <w:t xml:space="preserve">the Department of Education and Early Childhood Development was renamed the Department of Education and Training; </w:t>
      </w:r>
    </w:p>
    <w:p w:rsidR="00B03921" w:rsidRDefault="00B03921" w:rsidP="00016914">
      <w:pPr>
        <w:pStyle w:val="NotesDash"/>
      </w:pPr>
      <w:r>
        <w:t xml:space="preserve">the Department of Environment and Primary Industries was renamed the Department of Environment, Land, Water and Planning; </w:t>
      </w:r>
    </w:p>
    <w:p w:rsidR="00B03921" w:rsidRDefault="00B03921" w:rsidP="00016914">
      <w:pPr>
        <w:pStyle w:val="NotesDash"/>
      </w:pPr>
      <w:r>
        <w:t xml:space="preserve">the Department of Health was renamed the Department of Health and Human Services; </w:t>
      </w:r>
    </w:p>
    <w:p w:rsidR="00B03921" w:rsidRDefault="00B03921" w:rsidP="00016914">
      <w:pPr>
        <w:pStyle w:val="NotesDash"/>
      </w:pPr>
      <w:r>
        <w:t xml:space="preserve">the Department of Justice was renamed the Department of Justice and Regulation; </w:t>
      </w:r>
    </w:p>
    <w:p w:rsidR="00B03921" w:rsidRDefault="00B03921" w:rsidP="00016914">
      <w:pPr>
        <w:pStyle w:val="NotesDash"/>
      </w:pPr>
      <w:r>
        <w:t>the Department of State Development, Business and Innovation was renamed the Department of Economic Development, Jobs, Transport and Resources;</w:t>
      </w:r>
    </w:p>
    <w:p w:rsidR="00B03921" w:rsidRDefault="00B03921" w:rsidP="00016914">
      <w:pPr>
        <w:pStyle w:val="NotesDash"/>
      </w:pPr>
      <w:r>
        <w:t>the Department of Human Services was abolished; and</w:t>
      </w:r>
    </w:p>
    <w:p w:rsidR="00B03921" w:rsidRDefault="00B03921" w:rsidP="00016914">
      <w:pPr>
        <w:pStyle w:val="NotesDash"/>
      </w:pPr>
      <w:r>
        <w:t>the Department of Transport, Planning and Local Infrastructure was abolished.</w:t>
      </w:r>
    </w:p>
    <w:p w:rsidR="00B03921" w:rsidRDefault="00B03921" w:rsidP="00016914">
      <w:pPr>
        <w:pStyle w:val="Notes"/>
      </w:pPr>
      <w:r>
        <w:tab/>
        <w:t>The two abolished departments had their functions and operations transferred to other Victorian government departments. Functions and operations of the Department of Human Services were transferred to the Department of Health and Human Services and the Department of Premier and Cabinet. Functions and operations of the Department of Transport, Planning and Local Infrastructure were transferred to the Department of Environment, Land, Water and Planning, the Department of Health and Human Services and the Department of Economic Development, Jobs, Transport and Resources portfolio. Certain functions and operations of continuing Victorian government departments were also transferred amongst departments as part of the machinery of government changes.</w:t>
      </w:r>
    </w:p>
    <w:p w:rsidR="00B03921" w:rsidRDefault="00B03921" w:rsidP="00016914">
      <w:pPr>
        <w:pStyle w:val="Notes"/>
      </w:pPr>
      <w:r>
        <w:rPr>
          <w:rFonts w:asciiTheme="minorHAnsi" w:hAnsiTheme="minorHAnsi" w:cstheme="minorHAnsi"/>
          <w:lang w:eastAsia="en-AU"/>
        </w:rPr>
        <w:t>(b)</w:t>
      </w:r>
      <w:r>
        <w:rPr>
          <w:rFonts w:asciiTheme="minorHAnsi" w:hAnsiTheme="minorHAnsi" w:cstheme="minorHAnsi"/>
          <w:lang w:eastAsia="en-AU"/>
        </w:rPr>
        <w:tab/>
      </w:r>
      <w:r w:rsidRPr="0049626A">
        <w:rPr>
          <w:rFonts w:asciiTheme="minorHAnsi" w:hAnsiTheme="minorHAnsi" w:cstheme="minorHAnsi"/>
          <w:lang w:eastAsia="en-AU"/>
        </w:rPr>
        <w:t>Reflects 2</w:t>
      </w:r>
      <w:r>
        <w:rPr>
          <w:rFonts w:asciiTheme="minorHAnsi" w:hAnsiTheme="minorHAnsi" w:cstheme="minorHAnsi"/>
          <w:lang w:eastAsia="en-AU"/>
        </w:rPr>
        <w:t>014</w:t>
      </w:r>
      <w:r>
        <w:rPr>
          <w:rFonts w:asciiTheme="minorHAnsi" w:hAnsiTheme="minorHAnsi" w:cstheme="minorHAnsi"/>
          <w:lang w:eastAsia="en-AU"/>
        </w:rPr>
        <w:noBreakHyphen/>
        <w:t>15 published budget figures which have not been adjusted for the effects of the machinery of government changes which were effective from 1 January 2015.</w:t>
      </w:r>
    </w:p>
    <w:p w:rsidR="00B03921" w:rsidRDefault="00B03921" w:rsidP="00016914">
      <w:pPr>
        <w:pStyle w:val="Notes"/>
      </w:pPr>
      <w:r>
        <w:t xml:space="preserve">(c) </w:t>
      </w:r>
      <w:r>
        <w:tab/>
        <w:t>Relates to previously applied appropriations.</w:t>
      </w:r>
    </w:p>
    <w:p w:rsidR="00B03921" w:rsidRDefault="00B03921" w:rsidP="00016914"/>
    <w:p w:rsidR="00B03921" w:rsidRDefault="00B03921">
      <w:pPr>
        <w:spacing w:after="0"/>
        <w:rPr>
          <w:rFonts w:ascii="Calibri" w:hAnsi="Calibri"/>
          <w:b/>
        </w:rPr>
      </w:pPr>
      <w:r>
        <w:br w:type="page"/>
      </w:r>
    </w:p>
    <w:p w:rsidR="00B03921" w:rsidRDefault="00B03921" w:rsidP="00016914">
      <w:pPr>
        <w:pStyle w:val="Tableheading"/>
      </w:pPr>
      <w:r>
        <w:t>Table A.5:</w:t>
      </w:r>
      <w:r>
        <w:tab/>
        <w:t>Consolidated Fund payments: total annual appropriations</w:t>
      </w:r>
      <w:r w:rsidRPr="00100B94">
        <w:rPr>
          <w:vertAlign w:val="superscript"/>
        </w:rPr>
        <w:t>(a)</w:t>
      </w:r>
    </w:p>
    <w:p w:rsidR="00B03921" w:rsidRDefault="00B03921" w:rsidP="00016914">
      <w:r>
        <w:t xml:space="preserve">Details of total annual appropriations </w:t>
      </w:r>
      <w:r w:rsidRPr="004C3F0F">
        <w:t>for 2015</w:t>
      </w:r>
      <w:r>
        <w:noBreakHyphen/>
      </w:r>
      <w:r w:rsidRPr="004C3F0F">
        <w:t>16</w:t>
      </w:r>
      <w:r>
        <w:t xml:space="preserve"> are outlined below, including estimated</w:t>
      </w:r>
      <w:r w:rsidRPr="004C3F0F">
        <w:t xml:space="preserve"> </w:t>
      </w:r>
      <w:r>
        <w:t xml:space="preserve">amounts </w:t>
      </w:r>
      <w:r w:rsidRPr="004C3F0F">
        <w:t>of unapplied 2014</w:t>
      </w:r>
      <w:r>
        <w:noBreakHyphen/>
      </w:r>
      <w:r w:rsidRPr="004C3F0F">
        <w:t xml:space="preserve">15 appropriation carried forward pursuant to Section 32 of the </w:t>
      </w:r>
      <w:r w:rsidRPr="004C3F0F">
        <w:rPr>
          <w:i/>
        </w:rPr>
        <w:t>Financial</w:t>
      </w:r>
      <w:r w:rsidRPr="002868E9">
        <w:rPr>
          <w:i/>
        </w:rPr>
        <w:t xml:space="preserve"> Management Act 1994</w:t>
      </w:r>
      <w:r>
        <w:t xml:space="preserve"> and certain revenue and asset sales proceeds credited to appropriation pursuant to Section 29 of the </w:t>
      </w:r>
      <w:r w:rsidRPr="002868E9">
        <w:rPr>
          <w:i/>
        </w:rPr>
        <w:t>Financial Management Act 1994</w:t>
      </w:r>
      <w:r>
        <w:t xml:space="preserve">. Estimates for the </w:t>
      </w:r>
      <w:r>
        <w:rPr>
          <w:i/>
        </w:rPr>
        <w:t>2015</w:t>
      </w:r>
      <w:r>
        <w:rPr>
          <w:i/>
        </w:rPr>
        <w:noBreakHyphen/>
        <w:t>16</w:t>
      </w:r>
      <w:r w:rsidRPr="002868E9">
        <w:rPr>
          <w:i/>
        </w:rPr>
        <w:t xml:space="preserve"> Budget</w:t>
      </w:r>
      <w:r>
        <w:t xml:space="preserve"> are in </w:t>
      </w:r>
      <w:r w:rsidRPr="002868E9">
        <w:rPr>
          <w:b/>
        </w:rPr>
        <w:t>bold</w:t>
      </w:r>
      <w:r>
        <w:t xml:space="preserve">. Estimates for </w:t>
      </w:r>
      <w:r>
        <w:rPr>
          <w:i/>
        </w:rPr>
        <w:t>2014</w:t>
      </w:r>
      <w:r>
        <w:rPr>
          <w:i/>
        </w:rPr>
        <w:noBreakHyphen/>
        <w:t>15</w:t>
      </w:r>
      <w:r w:rsidRPr="002868E9">
        <w:rPr>
          <w:i/>
        </w:rPr>
        <w:t xml:space="preserve"> Budget</w:t>
      </w:r>
      <w:r>
        <w:t xml:space="preserve"> in </w:t>
      </w:r>
      <w:r w:rsidRPr="002868E9">
        <w:rPr>
          <w:i/>
        </w:rPr>
        <w:t>italics</w:t>
      </w:r>
      <w:r>
        <w:t xml:space="preserve"> reflect amounts published in the </w:t>
      </w:r>
      <w:r>
        <w:rPr>
          <w:i/>
        </w:rPr>
        <w:t>2014</w:t>
      </w:r>
      <w:r>
        <w:rPr>
          <w:i/>
        </w:rPr>
        <w:noBreakHyphen/>
        <w:t xml:space="preserve">15 </w:t>
      </w:r>
      <w:r w:rsidRPr="002868E9">
        <w:rPr>
          <w:i/>
        </w:rPr>
        <w:t>Budget</w:t>
      </w:r>
      <w:r>
        <w:t xml:space="preserve"> and do not include machinery of government changes. Please note that these figures are rounded to the nearest thousand dollars.</w:t>
      </w:r>
    </w:p>
    <w:p w:rsidR="00B03921" w:rsidRPr="002F0E53" w:rsidRDefault="00B03921" w:rsidP="00016914">
      <w:pPr>
        <w:pStyle w:val="million"/>
        <w:rPr>
          <w:rFonts w:ascii="Times New Roman" w:hAnsi="Times New Roman"/>
          <w:i w:val="0"/>
          <w:sz w:val="20"/>
          <w:szCs w:val="20"/>
          <w:lang w:eastAsia="en-AU"/>
        </w:rPr>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BA5A16" w:rsidRPr="002F0E53" w:rsidTr="00423972">
        <w:trPr>
          <w:trHeight w:val="992"/>
          <w:tblHeader/>
        </w:trPr>
        <w:tc>
          <w:tcPr>
            <w:tcW w:w="3784" w:type="dxa"/>
            <w:tcBorders>
              <w:top w:val="single" w:sz="6" w:space="0" w:color="auto"/>
              <w:left w:val="single" w:sz="6" w:space="0" w:color="auto"/>
              <w:right w:val="nil"/>
            </w:tcBorders>
            <w:shd w:val="clear" w:color="000000" w:fill="000000"/>
          </w:tcPr>
          <w:p w:rsidR="00BA5A16" w:rsidRPr="002F0E53" w:rsidRDefault="00BA5A16" w:rsidP="00016914">
            <w:pPr>
              <w:pStyle w:val="Tabletext"/>
              <w:rPr>
                <w:rFonts w:eastAsiaTheme="minorEastAsia"/>
                <w:i/>
                <w:lang w:eastAsia="en-AU"/>
              </w:rPr>
            </w:pPr>
            <w:r w:rsidRPr="002F0E53">
              <w:rPr>
                <w:rFonts w:eastAsiaTheme="minorEastAsia"/>
                <w:lang w:eastAsia="en-AU"/>
              </w:rPr>
              <w:t xml:space="preserve"> </w:t>
            </w:r>
          </w:p>
        </w:tc>
        <w:tc>
          <w:tcPr>
            <w:tcW w:w="994" w:type="dxa"/>
            <w:tcBorders>
              <w:top w:val="single" w:sz="6" w:space="0" w:color="auto"/>
              <w:left w:val="nil"/>
              <w:right w:val="nil"/>
            </w:tcBorders>
            <w:shd w:val="clear" w:color="000000" w:fill="000000"/>
          </w:tcPr>
          <w:p w:rsidR="00BA5A16" w:rsidRDefault="00BA5A16" w:rsidP="00016914">
            <w:pPr>
              <w:pStyle w:val="Tabletextheading"/>
              <w:rPr>
                <w:rFonts w:eastAsiaTheme="minorEastAsia"/>
                <w:color w:val="FFFFFF"/>
                <w:lang w:eastAsia="en-AU"/>
              </w:rPr>
            </w:pPr>
          </w:p>
          <w:p w:rsidR="00BA5A16" w:rsidRDefault="00BA5A16" w:rsidP="00016914">
            <w:pPr>
              <w:pStyle w:val="Tabletextheading"/>
              <w:rPr>
                <w:rFonts w:eastAsiaTheme="minorEastAsia"/>
                <w:color w:val="FFFFFF"/>
                <w:lang w:eastAsia="en-AU"/>
              </w:rPr>
            </w:pP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Provision</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 of outputs</w:t>
            </w:r>
          </w:p>
        </w:tc>
        <w:tc>
          <w:tcPr>
            <w:tcW w:w="994" w:type="dxa"/>
            <w:tcBorders>
              <w:top w:val="single" w:sz="6" w:space="0" w:color="auto"/>
              <w:left w:val="nil"/>
              <w:right w:val="nil"/>
            </w:tcBorders>
            <w:shd w:val="clear" w:color="000000" w:fill="000000"/>
          </w:tcPr>
          <w:p w:rsidR="00BA5A16" w:rsidRPr="002F0E53" w:rsidRDefault="00BA5A16" w:rsidP="00016914">
            <w:pPr>
              <w:pStyle w:val="Tabletextheading"/>
              <w:rPr>
                <w:rFonts w:eastAsiaTheme="minorEastAsia"/>
                <w:color w:val="FFFFFF"/>
                <w:lang w:eastAsia="en-AU"/>
              </w:rPr>
            </w:pP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Additions </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to net</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 asset base</w:t>
            </w:r>
          </w:p>
        </w:tc>
        <w:tc>
          <w:tcPr>
            <w:tcW w:w="994" w:type="dxa"/>
            <w:tcBorders>
              <w:top w:val="single" w:sz="6" w:space="0" w:color="auto"/>
              <w:left w:val="nil"/>
              <w:right w:val="nil"/>
            </w:tcBorders>
            <w:shd w:val="clear" w:color="000000" w:fill="000000"/>
          </w:tcPr>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Payments</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 made on </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behalf of</w:t>
            </w: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 the State</w:t>
            </w:r>
          </w:p>
        </w:tc>
        <w:tc>
          <w:tcPr>
            <w:tcW w:w="994" w:type="dxa"/>
            <w:tcBorders>
              <w:top w:val="single" w:sz="6" w:space="0" w:color="auto"/>
              <w:left w:val="nil"/>
              <w:right w:val="single" w:sz="6" w:space="0" w:color="auto"/>
            </w:tcBorders>
            <w:shd w:val="clear" w:color="000000" w:fill="000000"/>
          </w:tcPr>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 </w:t>
            </w:r>
          </w:p>
          <w:p w:rsidR="00BA5A16" w:rsidRDefault="00BA5A16" w:rsidP="00016914">
            <w:pPr>
              <w:pStyle w:val="Tabletextheading"/>
              <w:rPr>
                <w:rFonts w:eastAsiaTheme="minorEastAsia"/>
                <w:color w:val="FFFFFF"/>
                <w:lang w:eastAsia="en-AU"/>
              </w:rPr>
            </w:pPr>
          </w:p>
          <w:p w:rsidR="00BA5A16" w:rsidRPr="002F0E53" w:rsidRDefault="00BA5A16" w:rsidP="00016914">
            <w:pPr>
              <w:pStyle w:val="Tabletextheading"/>
              <w:rPr>
                <w:rFonts w:eastAsiaTheme="minorEastAsia"/>
                <w:color w:val="FFFFFF"/>
                <w:lang w:eastAsia="en-AU"/>
              </w:rPr>
            </w:pPr>
          </w:p>
          <w:p w:rsidR="00BA5A16" w:rsidRPr="002F0E53" w:rsidRDefault="00BA5A16" w:rsidP="00016914">
            <w:pPr>
              <w:pStyle w:val="Tabletextheading"/>
              <w:rPr>
                <w:rFonts w:eastAsiaTheme="minorEastAsia"/>
                <w:color w:val="FFFFFF"/>
                <w:lang w:eastAsia="en-AU"/>
              </w:rPr>
            </w:pPr>
            <w:r w:rsidRPr="002F0E53">
              <w:rPr>
                <w:rFonts w:eastAsiaTheme="minorEastAsia"/>
                <w:color w:val="FFFFFF"/>
                <w:lang w:eastAsia="en-AU"/>
              </w:rPr>
              <w:t xml:space="preserve">Total </w:t>
            </w:r>
          </w:p>
        </w:tc>
      </w:tr>
      <w:tr w:rsidR="00BA5A16" w:rsidRPr="002F0E53" w:rsidTr="00423972">
        <w:tc>
          <w:tcPr>
            <w:tcW w:w="7760" w:type="dxa"/>
            <w:gridSpan w:val="5"/>
            <w:tcBorders>
              <w:top w:val="single" w:sz="6" w:space="0" w:color="auto"/>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Economic Development, Jobs, Transport and Resources</w:t>
            </w:r>
          </w:p>
        </w:tc>
      </w:tr>
      <w:tr w:rsidR="00B03921" w:rsidRPr="002F0E53" w:rsidTr="00016914">
        <w:tc>
          <w:tcPr>
            <w:tcW w:w="3784" w:type="dxa"/>
            <w:tcBorders>
              <w:top w:val="nil"/>
              <w:left w:val="nil"/>
              <w:bottom w:val="nil"/>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F70E70">
              <w:rPr>
                <w:rFonts w:eastAsiaTheme="minorEastAsia"/>
                <w:lang w:eastAsia="en-AU"/>
              </w:rPr>
              <w:t xml:space="preserve">   Appropriation </w:t>
            </w:r>
            <w:r w:rsidRPr="00F70E70">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6 604 734</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1 808 391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66 767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8 479 892</w:t>
            </w:r>
          </w:p>
        </w:tc>
      </w:tr>
      <w:tr w:rsidR="00B03921" w:rsidRPr="002F0E53" w:rsidTr="00016914">
        <w:tc>
          <w:tcPr>
            <w:tcW w:w="3784" w:type="dxa"/>
            <w:tcBorders>
              <w:top w:val="nil"/>
              <w:left w:val="nil"/>
              <w:bottom w:val="nil"/>
              <w:right w:val="nil"/>
            </w:tcBorders>
            <w:shd w:val="solid" w:color="FFFFFF" w:fill="auto"/>
          </w:tcPr>
          <w:p w:rsidR="00B03921" w:rsidRPr="00F70E70" w:rsidRDefault="00B03921" w:rsidP="00016914">
            <w:pPr>
              <w:pStyle w:val="Tabletext"/>
              <w:rPr>
                <w:rFonts w:eastAsiaTheme="minorEastAsia"/>
                <w:lang w:eastAsia="en-AU"/>
              </w:rPr>
            </w:pPr>
            <w:r w:rsidRPr="00F70E70">
              <w:rPr>
                <w:rFonts w:eastAsiaTheme="minorEastAsia"/>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738 039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98 486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63 688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900 213</w:t>
            </w:r>
          </w:p>
        </w:tc>
      </w:tr>
      <w:tr w:rsidR="00B03921" w:rsidRPr="002F0E53" w:rsidTr="00016914">
        <w:tc>
          <w:tcPr>
            <w:tcW w:w="3784" w:type="dxa"/>
            <w:tcBorders>
              <w:top w:val="nil"/>
              <w:left w:val="nil"/>
              <w:bottom w:val="nil"/>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F70E70">
              <w:rPr>
                <w:rFonts w:eastAsiaTheme="minorEastAsia"/>
                <w:lang w:eastAsia="en-AU"/>
              </w:rPr>
              <w:t xml:space="preserve">   Receipts credited to appropriation</w:t>
            </w:r>
            <w:r w:rsidRPr="00F70E70">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556 896</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7 500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564 396</w:t>
            </w:r>
          </w:p>
        </w:tc>
      </w:tr>
      <w:tr w:rsidR="00B03921" w:rsidRPr="002F0E53" w:rsidTr="00016914">
        <w:tc>
          <w:tcPr>
            <w:tcW w:w="3784" w:type="dxa"/>
            <w:tcBorders>
              <w:top w:val="nil"/>
              <w:left w:val="nil"/>
              <w:bottom w:val="nil"/>
              <w:right w:val="nil"/>
            </w:tcBorders>
            <w:shd w:val="solid" w:color="FFFFFF" w:fill="auto"/>
          </w:tcPr>
          <w:p w:rsidR="00B03921" w:rsidRPr="00F70E70" w:rsidRDefault="00B03921" w:rsidP="00016914">
            <w:pPr>
              <w:pStyle w:val="Tabletext"/>
              <w:rPr>
                <w:rFonts w:eastAsiaTheme="minorEastAsia"/>
                <w:lang w:eastAsia="en-AU"/>
              </w:rPr>
            </w:pPr>
            <w:r w:rsidRPr="00F70E70">
              <w:rPr>
                <w:rFonts w:eastAsiaTheme="minorEastAsia"/>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300</w:t>
            </w:r>
          </w:p>
        </w:tc>
      </w:tr>
      <w:tr w:rsidR="00B03921" w:rsidRPr="002F0E53" w:rsidTr="00016914">
        <w:tc>
          <w:tcPr>
            <w:tcW w:w="3784" w:type="dxa"/>
            <w:tcBorders>
              <w:top w:val="nil"/>
              <w:left w:val="nil"/>
              <w:bottom w:val="nil"/>
              <w:right w:val="nil"/>
            </w:tcBorders>
            <w:shd w:val="solid" w:color="FFFFFF" w:fill="auto"/>
          </w:tcPr>
          <w:p w:rsidR="00B03921" w:rsidRPr="00F70E70" w:rsidRDefault="00B03921" w:rsidP="00016914">
            <w:pPr>
              <w:pStyle w:val="Tabletext"/>
              <w:rPr>
                <w:rFonts w:eastAsiaTheme="minorEastAsia"/>
                <w:lang w:eastAsia="en-AU"/>
              </w:rPr>
            </w:pPr>
            <w:r w:rsidRPr="00F70E70">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15 528</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10 622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26 150</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47 815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15 740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63 555</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7 177 158</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1 826 513</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66 767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9 070 438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786 154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114 226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63 688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964 068</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Education and Training</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10 840 317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10 840 317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10 211 944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10 211 944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450 454</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57 242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507 696</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435 928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51 351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487 279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117 000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117 000</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170 000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170 000</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11 407 771</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57 242</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11 465 013</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10 817 872</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51 351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10 869 223</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Environment, Land, Water and Planning</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996 730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32 484</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641 800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1 671 014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1 253 619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111 169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696 650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2 061 438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119 259</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27 535</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146 793</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158 934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61 259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220 193</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56 357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8 712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65 169</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51 071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11 107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62 178</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1 172 345</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60 118</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650 512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1 882 976</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1 463 624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183 535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696 650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2 343 809</w:t>
            </w:r>
          </w:p>
        </w:tc>
      </w:tr>
    </w:tbl>
    <w:p w:rsidR="00CD3B04" w:rsidRDefault="00CD3B04"/>
    <w:p w:rsidR="00CD3B04" w:rsidRDefault="00CD3B04">
      <w:pPr>
        <w:spacing w:after="0"/>
        <w:rPr>
          <w:rFonts w:ascii="Calibri" w:hAnsi="Calibri"/>
          <w:b/>
        </w:rPr>
      </w:pPr>
      <w:r>
        <w:br w:type="page"/>
      </w:r>
    </w:p>
    <w:p w:rsidR="00CD3B04" w:rsidRPr="00CD3B04" w:rsidRDefault="00CD3B04" w:rsidP="00CD3B04">
      <w:pPr>
        <w:pStyle w:val="Tableheadingcontinued"/>
      </w:pPr>
      <w:r>
        <w:t>Table A.5:</w:t>
      </w:r>
      <w:r>
        <w:tab/>
        <w:t>Consolidated Fund payments: total annual appropriations</w:t>
      </w:r>
      <w:r w:rsidRPr="00100B94">
        <w:rPr>
          <w:vertAlign w:val="superscript"/>
        </w:rPr>
        <w:t>(a)</w:t>
      </w:r>
      <w:r w:rsidRPr="00CD3B04">
        <w:t xml:space="preserve"> </w:t>
      </w:r>
      <w:r w:rsidRPr="00CD3B04">
        <w:rPr>
          <w:i/>
        </w:rPr>
        <w:t>(continued)</w:t>
      </w:r>
    </w:p>
    <w:p w:rsidR="00CD3B04" w:rsidRDefault="00CD3B04" w:rsidP="00CD3B04">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657F04" w:rsidRPr="002F0E53" w:rsidTr="00423972">
        <w:trPr>
          <w:trHeight w:val="992"/>
          <w:tblHeader/>
        </w:trPr>
        <w:tc>
          <w:tcPr>
            <w:tcW w:w="3784" w:type="dxa"/>
            <w:tcBorders>
              <w:top w:val="single" w:sz="6" w:space="0" w:color="auto"/>
              <w:left w:val="single" w:sz="6" w:space="0" w:color="auto"/>
              <w:right w:val="nil"/>
            </w:tcBorders>
            <w:shd w:val="clear" w:color="000000" w:fill="000000"/>
          </w:tcPr>
          <w:p w:rsidR="00657F04" w:rsidRPr="002F0E53" w:rsidRDefault="00657F04" w:rsidP="00423972">
            <w:pPr>
              <w:pStyle w:val="Tabletext"/>
              <w:rPr>
                <w:rFonts w:eastAsiaTheme="minorEastAsia"/>
                <w:i/>
                <w:lang w:eastAsia="en-AU"/>
              </w:rPr>
            </w:pPr>
            <w:r w:rsidRPr="002F0E53">
              <w:rPr>
                <w:rFonts w:eastAsiaTheme="minorEastAsia"/>
                <w:lang w:eastAsia="en-AU"/>
              </w:rPr>
              <w:t xml:space="preserve"> </w:t>
            </w:r>
          </w:p>
        </w:tc>
        <w:tc>
          <w:tcPr>
            <w:tcW w:w="994" w:type="dxa"/>
            <w:tcBorders>
              <w:top w:val="single" w:sz="6" w:space="0" w:color="auto"/>
              <w:left w:val="nil"/>
              <w:right w:val="nil"/>
            </w:tcBorders>
            <w:shd w:val="clear" w:color="000000" w:fill="000000"/>
          </w:tcPr>
          <w:p w:rsidR="00657F04" w:rsidRDefault="00657F04" w:rsidP="00423972">
            <w:pPr>
              <w:pStyle w:val="Tabletextheading"/>
              <w:rPr>
                <w:rFonts w:eastAsiaTheme="minorEastAsia"/>
                <w:color w:val="FFFFFF"/>
                <w:lang w:eastAsia="en-AU"/>
              </w:rPr>
            </w:pPr>
          </w:p>
          <w:p w:rsidR="00657F04"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Provision</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of outputs</w:t>
            </w:r>
          </w:p>
        </w:tc>
        <w:tc>
          <w:tcPr>
            <w:tcW w:w="994" w:type="dxa"/>
            <w:tcBorders>
              <w:top w:val="single" w:sz="6" w:space="0" w:color="auto"/>
              <w:left w:val="nil"/>
              <w:right w:val="nil"/>
            </w:tcBorders>
            <w:shd w:val="clear" w:color="000000" w:fill="000000"/>
          </w:tcPr>
          <w:p w:rsidR="00657F04" w:rsidRPr="002F0E53"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Additions </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to net</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asset base</w:t>
            </w:r>
          </w:p>
        </w:tc>
        <w:tc>
          <w:tcPr>
            <w:tcW w:w="994" w:type="dxa"/>
            <w:tcBorders>
              <w:top w:val="single" w:sz="6" w:space="0" w:color="auto"/>
              <w:left w:val="nil"/>
              <w:right w:val="nil"/>
            </w:tcBorders>
            <w:shd w:val="clear" w:color="000000" w:fill="000000"/>
          </w:tcPr>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Payments</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made on </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behalf of</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the State</w:t>
            </w:r>
          </w:p>
        </w:tc>
        <w:tc>
          <w:tcPr>
            <w:tcW w:w="994" w:type="dxa"/>
            <w:tcBorders>
              <w:top w:val="single" w:sz="6" w:space="0" w:color="auto"/>
              <w:left w:val="nil"/>
              <w:right w:val="single" w:sz="6" w:space="0" w:color="auto"/>
            </w:tcBorders>
            <w:shd w:val="clear" w:color="000000" w:fill="000000"/>
          </w:tcPr>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w:t>
            </w:r>
          </w:p>
          <w:p w:rsidR="00657F04"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Total </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ind w:left="181" w:hanging="181"/>
              <w:rPr>
                <w:rFonts w:eastAsiaTheme="minorEastAsia"/>
                <w:b/>
                <w:lang w:eastAsia="en-AU"/>
              </w:rPr>
            </w:pPr>
            <w:r w:rsidRPr="002F0E53">
              <w:rPr>
                <w:rFonts w:eastAsiaTheme="minorEastAsia"/>
                <w:b/>
                <w:bCs/>
                <w:lang w:eastAsia="en-AU"/>
              </w:rPr>
              <w:t>Health and Human Services</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11 865 518</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147 087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12 012 605</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7 498 235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88 911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7 587 147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891 870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62 144</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954 014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781 111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139 173</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920 284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112 813</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79 325</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192 138</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68 995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66 411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135 406</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12 870 201</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288 557</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13 158 758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8 348 341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294 495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8 642 837</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Justice and Regulation</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5 157 505</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345 335</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54 461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5 557 301</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5 008 953</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739 115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54 461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5 802 529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200 199</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200 799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189 164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189 764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70 478</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59 791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130 269</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35 690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16 026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51 716</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5 428 182</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405 726</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54 461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5 888 369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5 233 808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755 741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54 461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6 044 010</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ofFigures"/>
              <w:jc w:val="left"/>
              <w:rPr>
                <w:rFonts w:eastAsiaTheme="minorEastAsia"/>
                <w:b/>
                <w:lang w:eastAsia="en-AU"/>
              </w:rPr>
            </w:pPr>
            <w:r w:rsidRPr="002F0E53">
              <w:rPr>
                <w:rFonts w:eastAsiaTheme="minorEastAsia"/>
                <w:b/>
                <w:bCs/>
                <w:lang w:eastAsia="en-AU"/>
              </w:rPr>
              <w:t>Premier and Cabinet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320 441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2 736</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323 177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577 741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21 519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3 500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602 760</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520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520</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1 270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1 270</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17 992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1 500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1 000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20 492</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14 753</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5 089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19 842</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338 953</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4 236</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1 000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344 189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593 764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26 608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3 500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623 872</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Treasury and Finance</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235 651</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4 230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2 773 160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3 013 041</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229 841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24 427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2 434 330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2 688 598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7 068</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7 068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7 068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7 068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242 719</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4 230</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2 773 160</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3 020 109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236 909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24 427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2 434 330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2 695 666</w:t>
            </w:r>
          </w:p>
        </w:tc>
      </w:tr>
    </w:tbl>
    <w:p w:rsidR="00657F04" w:rsidRDefault="00657F04"/>
    <w:p w:rsidR="00657F04" w:rsidRDefault="00657F04"/>
    <w:p w:rsidR="00657F04" w:rsidRPr="00CD3B04" w:rsidRDefault="00657F04" w:rsidP="00657F04">
      <w:pPr>
        <w:pStyle w:val="Tableheadingcontinued"/>
      </w:pPr>
      <w:r>
        <w:t>Table A.5:</w:t>
      </w:r>
      <w:r>
        <w:tab/>
        <w:t>Consolidated Fund payments: total annual appropriations</w:t>
      </w:r>
      <w:r w:rsidRPr="00100B94">
        <w:rPr>
          <w:vertAlign w:val="superscript"/>
        </w:rPr>
        <w:t>(a)</w:t>
      </w:r>
      <w:r w:rsidRPr="00CD3B04">
        <w:t xml:space="preserve"> </w:t>
      </w:r>
      <w:r w:rsidRPr="00CD3B04">
        <w:rPr>
          <w:i/>
        </w:rPr>
        <w:t>(continued)</w:t>
      </w:r>
    </w:p>
    <w:p w:rsidR="00657F04" w:rsidRDefault="00657F04" w:rsidP="00657F04">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657F04" w:rsidRPr="002F0E53" w:rsidTr="00423972">
        <w:trPr>
          <w:trHeight w:val="992"/>
          <w:tblHeader/>
        </w:trPr>
        <w:tc>
          <w:tcPr>
            <w:tcW w:w="3784" w:type="dxa"/>
            <w:tcBorders>
              <w:top w:val="single" w:sz="6" w:space="0" w:color="auto"/>
              <w:left w:val="single" w:sz="6" w:space="0" w:color="auto"/>
              <w:right w:val="nil"/>
            </w:tcBorders>
            <w:shd w:val="clear" w:color="000000" w:fill="000000"/>
          </w:tcPr>
          <w:p w:rsidR="00657F04" w:rsidRPr="002F0E53" w:rsidRDefault="00657F04" w:rsidP="00423972">
            <w:pPr>
              <w:pStyle w:val="Tabletext"/>
              <w:rPr>
                <w:rFonts w:eastAsiaTheme="minorEastAsia"/>
                <w:i/>
                <w:lang w:eastAsia="en-AU"/>
              </w:rPr>
            </w:pPr>
            <w:r w:rsidRPr="002F0E53">
              <w:rPr>
                <w:rFonts w:eastAsiaTheme="minorEastAsia"/>
                <w:lang w:eastAsia="en-AU"/>
              </w:rPr>
              <w:t xml:space="preserve"> </w:t>
            </w:r>
          </w:p>
        </w:tc>
        <w:tc>
          <w:tcPr>
            <w:tcW w:w="994" w:type="dxa"/>
            <w:tcBorders>
              <w:top w:val="single" w:sz="6" w:space="0" w:color="auto"/>
              <w:left w:val="nil"/>
              <w:right w:val="nil"/>
            </w:tcBorders>
            <w:shd w:val="clear" w:color="000000" w:fill="000000"/>
          </w:tcPr>
          <w:p w:rsidR="00657F04" w:rsidRDefault="00657F04" w:rsidP="00423972">
            <w:pPr>
              <w:pStyle w:val="Tabletextheading"/>
              <w:rPr>
                <w:rFonts w:eastAsiaTheme="minorEastAsia"/>
                <w:color w:val="FFFFFF"/>
                <w:lang w:eastAsia="en-AU"/>
              </w:rPr>
            </w:pPr>
          </w:p>
          <w:p w:rsidR="00657F04"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Provision</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of outputs</w:t>
            </w:r>
          </w:p>
        </w:tc>
        <w:tc>
          <w:tcPr>
            <w:tcW w:w="994" w:type="dxa"/>
            <w:tcBorders>
              <w:top w:val="single" w:sz="6" w:space="0" w:color="auto"/>
              <w:left w:val="nil"/>
              <w:right w:val="nil"/>
            </w:tcBorders>
            <w:shd w:val="clear" w:color="000000" w:fill="000000"/>
          </w:tcPr>
          <w:p w:rsidR="00657F04" w:rsidRPr="002F0E53"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Additions </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to net</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asset base</w:t>
            </w:r>
          </w:p>
        </w:tc>
        <w:tc>
          <w:tcPr>
            <w:tcW w:w="994" w:type="dxa"/>
            <w:tcBorders>
              <w:top w:val="single" w:sz="6" w:space="0" w:color="auto"/>
              <w:left w:val="nil"/>
              <w:right w:val="nil"/>
            </w:tcBorders>
            <w:shd w:val="clear" w:color="000000" w:fill="000000"/>
          </w:tcPr>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Payments</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made on </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behalf of</w:t>
            </w: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the State</w:t>
            </w:r>
          </w:p>
        </w:tc>
        <w:tc>
          <w:tcPr>
            <w:tcW w:w="994" w:type="dxa"/>
            <w:tcBorders>
              <w:top w:val="single" w:sz="6" w:space="0" w:color="auto"/>
              <w:left w:val="nil"/>
              <w:right w:val="single" w:sz="6" w:space="0" w:color="auto"/>
            </w:tcBorders>
            <w:shd w:val="clear" w:color="000000" w:fill="000000"/>
          </w:tcPr>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 </w:t>
            </w:r>
          </w:p>
          <w:p w:rsidR="00657F04"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p>
          <w:p w:rsidR="00657F04" w:rsidRPr="002F0E53" w:rsidRDefault="00657F04" w:rsidP="00423972">
            <w:pPr>
              <w:pStyle w:val="Tabletextheading"/>
              <w:rPr>
                <w:rFonts w:eastAsiaTheme="minorEastAsia"/>
                <w:color w:val="FFFFFF"/>
                <w:lang w:eastAsia="en-AU"/>
              </w:rPr>
            </w:pPr>
            <w:r w:rsidRPr="002F0E53">
              <w:rPr>
                <w:rFonts w:eastAsiaTheme="minorEastAsia"/>
                <w:color w:val="FFFFFF"/>
                <w:lang w:eastAsia="en-AU"/>
              </w:rPr>
              <w:t xml:space="preserve">Total </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CD3B04">
            <w:pPr>
              <w:pStyle w:val="Tabletext"/>
              <w:ind w:left="181" w:hanging="181"/>
              <w:rPr>
                <w:rFonts w:eastAsiaTheme="minorEastAsia"/>
                <w:b/>
                <w:lang w:eastAsia="en-AU"/>
              </w:rPr>
            </w:pPr>
            <w:r w:rsidRPr="002F0E53">
              <w:rPr>
                <w:rFonts w:eastAsiaTheme="minorEastAsia"/>
                <w:b/>
                <w:bCs/>
                <w:lang w:eastAsia="en-AU"/>
              </w:rPr>
              <w:t>Parliament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(e)</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Pr>
                <w:rFonts w:eastAsiaTheme="minorEastAsia"/>
                <w:b/>
                <w:bCs/>
                <w:lang w:eastAsia="en-AU"/>
              </w:rPr>
              <w:t xml:space="preserve"> 117 43</w:t>
            </w:r>
            <w:r w:rsidR="00016914">
              <w:rPr>
                <w:rFonts w:eastAsiaTheme="minorEastAsia"/>
                <w:b/>
                <w:bCs/>
                <w:lang w:eastAsia="en-AU"/>
              </w:rPr>
              <w:t>2</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Pr>
                <w:rFonts w:eastAsiaTheme="minorEastAsia"/>
                <w:b/>
                <w:bCs/>
                <w:lang w:eastAsia="en-AU"/>
              </w:rPr>
              <w:t xml:space="preserve"> 117 43</w:t>
            </w:r>
            <w:r w:rsidR="00016914">
              <w:rPr>
                <w:rFonts w:eastAsiaTheme="minorEastAsia"/>
                <w:b/>
                <w:bCs/>
                <w:lang w:eastAsia="en-AU"/>
              </w:rPr>
              <w:t>2</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115 756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115 756</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23 904</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23 904</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23 761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23 761</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5 407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5 407</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5 135</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5 135</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Pr>
                <w:rFonts w:eastAsiaTheme="minorEastAsia"/>
                <w:b/>
                <w:bCs/>
                <w:lang w:eastAsia="en-AU"/>
              </w:rPr>
              <w:t xml:space="preserve"> 146 74</w:t>
            </w:r>
            <w:r w:rsidR="00016914">
              <w:rPr>
                <w:rFonts w:eastAsiaTheme="minorEastAsia"/>
                <w:b/>
                <w:bCs/>
                <w:lang w:eastAsia="en-AU"/>
              </w:rPr>
              <w:t>3</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Pr>
                <w:rFonts w:eastAsiaTheme="minorEastAsia"/>
                <w:b/>
                <w:bCs/>
                <w:lang w:eastAsia="en-AU"/>
              </w:rPr>
              <w:t xml:space="preserve"> 146 74</w:t>
            </w:r>
            <w:r w:rsidR="00016914">
              <w:rPr>
                <w:rFonts w:eastAsiaTheme="minorEastAsia"/>
                <w:b/>
                <w:bCs/>
                <w:lang w:eastAsia="en-AU"/>
              </w:rPr>
              <w:t>3</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144 652</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144 652</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Pr>
                <w:rFonts w:eastAsiaTheme="minorEastAsia"/>
                <w:b/>
                <w:bCs/>
                <w:lang w:eastAsia="en-AU"/>
              </w:rPr>
              <w:t>Courts</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247 657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47 605</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295 262</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234 137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2 528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236 665</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64 147</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64 147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64 147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64 147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8 300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8 300</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311 804</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47 605</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 xml:space="preserve"> 359 409</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306 584</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2 528</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309 112</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Human Services</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3 711 252</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63 656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3 774 908</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50 586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6 250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56 836</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 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17 400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16 160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33 560</w:t>
            </w:r>
          </w:p>
        </w:tc>
      </w:tr>
      <w:tr w:rsidR="00B03921" w:rsidRPr="002F0E53" w:rsidTr="00016914">
        <w:tc>
          <w:tcPr>
            <w:tcW w:w="3784" w:type="dxa"/>
            <w:tcBorders>
              <w:top w:val="single" w:sz="6" w:space="0" w:color="auto"/>
              <w:left w:val="nil"/>
              <w:bottom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single" w:sz="6" w:space="0" w:color="auto"/>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3 779 237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86 066</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3 865 303</w:t>
            </w:r>
          </w:p>
        </w:tc>
      </w:tr>
      <w:tr w:rsidR="00BA5A16" w:rsidRPr="002F0E53" w:rsidTr="00423972">
        <w:tc>
          <w:tcPr>
            <w:tcW w:w="7760" w:type="dxa"/>
            <w:gridSpan w:val="5"/>
            <w:tcBorders>
              <w:top w:val="nil"/>
              <w:left w:val="nil"/>
              <w:bottom w:val="nil"/>
              <w:right w:val="nil"/>
            </w:tcBorders>
            <w:shd w:val="solid" w:color="FFFFFF" w:fill="auto"/>
          </w:tcPr>
          <w:p w:rsidR="00BA5A16" w:rsidRPr="002F0E53" w:rsidRDefault="00BA5A16" w:rsidP="00BA5A16">
            <w:pPr>
              <w:pStyle w:val="Tabletext"/>
              <w:rPr>
                <w:rFonts w:eastAsiaTheme="minorEastAsia"/>
                <w:b/>
                <w:lang w:eastAsia="en-AU"/>
              </w:rPr>
            </w:pPr>
            <w:r w:rsidRPr="002F0E53">
              <w:rPr>
                <w:rFonts w:eastAsiaTheme="minorEastAsia"/>
                <w:b/>
                <w:bCs/>
                <w:lang w:eastAsia="en-AU"/>
              </w:rPr>
              <w:t>Transport, Planning and Local Infrastructure</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Appropriation </w:t>
            </w:r>
            <w:r w:rsidRPr="002F0E53">
              <w:rPr>
                <w:rFonts w:eastAsiaTheme="minorEastAsia"/>
                <w:vertAlign w:val="superscript"/>
                <w:lang w:eastAsia="en-AU"/>
              </w:rPr>
              <w:t>(b)</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5 352 831</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1 851 099</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850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7 204 781</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vertAlign w:val="superscript"/>
                <w:lang w:eastAsia="en-AU"/>
              </w:rPr>
            </w:pPr>
            <w:r w:rsidRPr="002F0E53">
              <w:rPr>
                <w:rFonts w:eastAsiaTheme="minorEastAsia"/>
                <w:lang w:eastAsia="en-AU"/>
              </w:rPr>
              <w:t xml:space="preserve">   Receipts credited to appropriation</w:t>
            </w:r>
            <w:r w:rsidRPr="002F0E53">
              <w:rPr>
                <w:rFonts w:eastAsiaTheme="minorEastAsia"/>
                <w:vertAlign w:val="superscript"/>
                <w:lang w:eastAsia="en-AU"/>
              </w:rPr>
              <w:t xml:space="preserve"> (c)</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333 047</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535 200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868 247</w:t>
            </w:r>
          </w:p>
        </w:tc>
      </w:tr>
      <w:tr w:rsidR="00B03921" w:rsidRPr="002F0E53" w:rsidTr="00016914">
        <w:tc>
          <w:tcPr>
            <w:tcW w:w="3784" w:type="dxa"/>
            <w:tcBorders>
              <w:top w:val="nil"/>
              <w:left w:val="nil"/>
              <w:bottom w:val="nil"/>
              <w:right w:val="nil"/>
            </w:tcBorders>
            <w:shd w:val="solid" w:color="FFFFFF" w:fill="auto"/>
          </w:tcPr>
          <w:p w:rsidR="00B03921" w:rsidRPr="002F0E53" w:rsidRDefault="00B03921" w:rsidP="00016914">
            <w:pPr>
              <w:pStyle w:val="Tabletext"/>
              <w:rPr>
                <w:rFonts w:eastAsiaTheme="minorEastAsia"/>
                <w:lang w:eastAsia="en-AU"/>
              </w:rPr>
            </w:pPr>
            <w:r w:rsidRPr="002F0E53">
              <w:rPr>
                <w:rFonts w:eastAsiaTheme="minorEastAsia"/>
                <w:lang w:eastAsia="en-AU"/>
              </w:rPr>
              <w:t xml:space="preserve">   Unapplied previous year appropriation  </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single" w:sz="6" w:space="0" w:color="auto"/>
              <w:right w:val="nil"/>
            </w:tcBorders>
            <w:shd w:val="solid" w:color="FFFFFF" w:fill="auto"/>
          </w:tcPr>
          <w:p w:rsidR="00B03921" w:rsidRPr="00F70E70" w:rsidRDefault="00B03921" w:rsidP="00016914">
            <w:pPr>
              <w:pStyle w:val="Tabletext"/>
              <w:rPr>
                <w:rFonts w:eastAsiaTheme="minorEastAsia"/>
                <w:vertAlign w:val="superscript"/>
                <w:lang w:eastAsia="en-AU"/>
              </w:rPr>
            </w:pPr>
            <w:r w:rsidRPr="002F0E53">
              <w:rPr>
                <w:rFonts w:eastAsiaTheme="minorEastAsia"/>
                <w:i/>
                <w:lang w:eastAsia="en-AU"/>
              </w:rPr>
              <w:t xml:space="preserve">      </w:t>
            </w:r>
            <w:r w:rsidRPr="00F70E70">
              <w:rPr>
                <w:rFonts w:eastAsiaTheme="minorEastAsia"/>
                <w:lang w:eastAsia="en-AU"/>
              </w:rPr>
              <w:t xml:space="preserve">carried over </w:t>
            </w:r>
            <w:r w:rsidRPr="00F70E70">
              <w:rPr>
                <w:rFonts w:eastAsiaTheme="minorEastAsia"/>
                <w:vertAlign w:val="superscript"/>
                <w:lang w:eastAsia="en-AU"/>
              </w:rPr>
              <w:t>(d)</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6 300</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nil"/>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w:t>
            </w:r>
          </w:p>
        </w:tc>
        <w:tc>
          <w:tcPr>
            <w:tcW w:w="994" w:type="dxa"/>
            <w:tcBorders>
              <w:top w:val="nil"/>
              <w:left w:val="nil"/>
              <w:bottom w:val="single" w:sz="6" w:space="0" w:color="auto"/>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6 300</w:t>
            </w:r>
          </w:p>
        </w:tc>
      </w:tr>
      <w:tr w:rsidR="00B03921" w:rsidRPr="002F0E53" w:rsidTr="00016914">
        <w:tc>
          <w:tcPr>
            <w:tcW w:w="3784" w:type="dxa"/>
            <w:tcBorders>
              <w:top w:val="single" w:sz="6" w:space="0" w:color="auto"/>
              <w:left w:val="nil"/>
              <w:right w:val="nil"/>
            </w:tcBorders>
            <w:shd w:val="solid" w:color="FFFFFF" w:fill="auto"/>
          </w:tcPr>
          <w:p w:rsidR="00B03921" w:rsidRPr="002F0E53" w:rsidRDefault="00B03921" w:rsidP="00016914">
            <w:pPr>
              <w:pStyle w:val="Tabletext"/>
              <w:rPr>
                <w:rFonts w:eastAsiaTheme="minorEastAsia"/>
                <w:b/>
                <w:bCs/>
                <w:lang w:eastAsia="en-AU"/>
              </w:rPr>
            </w:pPr>
            <w:r w:rsidRPr="002F0E53">
              <w:rPr>
                <w:rFonts w:eastAsiaTheme="minorEastAsia"/>
                <w:b/>
                <w:bCs/>
                <w:lang w:eastAsia="en-AU"/>
              </w:rPr>
              <w:t xml:space="preserve">Total appropriation </w:t>
            </w:r>
          </w:p>
        </w:tc>
        <w:tc>
          <w:tcPr>
            <w:tcW w:w="994" w:type="dxa"/>
            <w:tcBorders>
              <w:top w:val="single" w:sz="6" w:space="0" w:color="auto"/>
              <w:left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single" w:sz="6" w:space="0" w:color="auto"/>
              <w:left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single" w:sz="6" w:space="0" w:color="auto"/>
              <w:left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c>
          <w:tcPr>
            <w:tcW w:w="994" w:type="dxa"/>
            <w:tcBorders>
              <w:top w:val="nil"/>
              <w:left w:val="nil"/>
              <w:right w:val="nil"/>
            </w:tcBorders>
          </w:tcPr>
          <w:p w:rsidR="00B03921" w:rsidRPr="002F0E53" w:rsidRDefault="00B03921" w:rsidP="00016914">
            <w:pPr>
              <w:pStyle w:val="TableofFigures"/>
              <w:rPr>
                <w:rFonts w:eastAsiaTheme="minorEastAsia"/>
                <w:b/>
                <w:bCs/>
                <w:lang w:eastAsia="en-AU"/>
              </w:rPr>
            </w:pPr>
            <w:r w:rsidRPr="002F0E53">
              <w:rPr>
                <w:rFonts w:eastAsiaTheme="minorEastAsia"/>
                <w:b/>
                <w:bCs/>
                <w:lang w:eastAsia="en-AU"/>
              </w:rPr>
              <w:t>..</w:t>
            </w:r>
          </w:p>
        </w:tc>
      </w:tr>
      <w:tr w:rsidR="00B03921" w:rsidRPr="002F0E53" w:rsidTr="00016914">
        <w:tc>
          <w:tcPr>
            <w:tcW w:w="3784" w:type="dxa"/>
            <w:tcBorders>
              <w:top w:val="nil"/>
              <w:left w:val="nil"/>
              <w:bottom w:val="single" w:sz="12" w:space="0" w:color="000000"/>
              <w:right w:val="nil"/>
            </w:tcBorders>
            <w:shd w:val="solid" w:color="FFFFFF" w:fill="auto"/>
          </w:tcPr>
          <w:p w:rsidR="00B03921" w:rsidRPr="002F0E53" w:rsidRDefault="00B03921" w:rsidP="00016914">
            <w:pPr>
              <w:pStyle w:val="Tabletext"/>
              <w:rPr>
                <w:rFonts w:eastAsiaTheme="minorEastAsia"/>
                <w:i/>
                <w:lang w:eastAsia="en-AU"/>
              </w:rPr>
            </w:pPr>
            <w:r w:rsidRPr="002F0E53">
              <w:rPr>
                <w:rFonts w:eastAsiaTheme="minorEastAsia"/>
                <w:i/>
                <w:lang w:eastAsia="en-AU"/>
              </w:rPr>
              <w:t xml:space="preserve"> </w:t>
            </w:r>
          </w:p>
        </w:tc>
        <w:tc>
          <w:tcPr>
            <w:tcW w:w="994" w:type="dxa"/>
            <w:tcBorders>
              <w:top w:val="nil"/>
              <w:left w:val="nil"/>
              <w:bottom w:val="single" w:sz="12" w:space="0" w:color="000000"/>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5 692 178</w:t>
            </w:r>
          </w:p>
        </w:tc>
        <w:tc>
          <w:tcPr>
            <w:tcW w:w="994" w:type="dxa"/>
            <w:tcBorders>
              <w:top w:val="nil"/>
              <w:left w:val="nil"/>
              <w:bottom w:val="single" w:sz="12" w:space="0" w:color="000000"/>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2 386 299</w:t>
            </w:r>
          </w:p>
        </w:tc>
        <w:tc>
          <w:tcPr>
            <w:tcW w:w="994" w:type="dxa"/>
            <w:tcBorders>
              <w:top w:val="nil"/>
              <w:left w:val="nil"/>
              <w:bottom w:val="single" w:sz="12" w:space="0" w:color="000000"/>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 xml:space="preserve">  850</w:t>
            </w:r>
          </w:p>
        </w:tc>
        <w:tc>
          <w:tcPr>
            <w:tcW w:w="994" w:type="dxa"/>
            <w:tcBorders>
              <w:top w:val="nil"/>
              <w:left w:val="nil"/>
              <w:bottom w:val="single" w:sz="12" w:space="0" w:color="000000"/>
              <w:right w:val="nil"/>
            </w:tcBorders>
          </w:tcPr>
          <w:p w:rsidR="00B03921" w:rsidRPr="002F0E53" w:rsidRDefault="00B03921" w:rsidP="00016914">
            <w:pPr>
              <w:pStyle w:val="TableofFigures"/>
              <w:rPr>
                <w:rFonts w:eastAsiaTheme="minorEastAsia"/>
                <w:i/>
                <w:lang w:eastAsia="en-AU"/>
              </w:rPr>
            </w:pPr>
            <w:r w:rsidRPr="002F0E53">
              <w:rPr>
                <w:rFonts w:eastAsiaTheme="minorEastAsia"/>
                <w:i/>
                <w:lang w:eastAsia="en-AU"/>
              </w:rPr>
              <w:t>8 079 328</w:t>
            </w:r>
          </w:p>
        </w:tc>
      </w:tr>
    </w:tbl>
    <w:p w:rsidR="00B03921" w:rsidRDefault="00B03921" w:rsidP="00016914">
      <w:pPr>
        <w:pStyle w:val="Source"/>
      </w:pPr>
      <w:r>
        <w:t>Source: Department of Treasury and Finance</w:t>
      </w:r>
    </w:p>
    <w:p w:rsidR="00B03921" w:rsidRDefault="00B03921">
      <w:pPr>
        <w:spacing w:after="0"/>
        <w:rPr>
          <w:rFonts w:ascii="Calibri" w:hAnsi="Calibri"/>
          <w:i/>
          <w:sz w:val="15"/>
        </w:rPr>
      </w:pPr>
      <w:r>
        <w:br w:type="page"/>
      </w:r>
    </w:p>
    <w:p w:rsidR="00657F04" w:rsidRPr="00CD3B04" w:rsidRDefault="00657F04" w:rsidP="00657F04">
      <w:pPr>
        <w:pStyle w:val="Tableheadingcontinued"/>
      </w:pPr>
      <w:r>
        <w:t>Table A.5:</w:t>
      </w:r>
      <w:r>
        <w:tab/>
        <w:t>Consolidated Fund payments: total annual appropriations</w:t>
      </w:r>
      <w:r w:rsidRPr="00100B94">
        <w:rPr>
          <w:vertAlign w:val="superscript"/>
        </w:rPr>
        <w:t>(a)</w:t>
      </w:r>
      <w:r w:rsidRPr="00CD3B04">
        <w:t xml:space="preserve"> </w:t>
      </w:r>
      <w:r w:rsidRPr="00CD3B04">
        <w:rPr>
          <w:i/>
        </w:rPr>
        <w:t>(continued)</w:t>
      </w:r>
    </w:p>
    <w:p w:rsidR="00B03921" w:rsidRDefault="00B03921" w:rsidP="00016914">
      <w:pPr>
        <w:pStyle w:val="Notes"/>
      </w:pPr>
      <w:r>
        <w:t>Notes:</w:t>
      </w:r>
    </w:p>
    <w:p w:rsidR="00B03921" w:rsidRDefault="00B03921" w:rsidP="00016914">
      <w:pPr>
        <w:pStyle w:val="Notes"/>
      </w:pPr>
      <w:r>
        <w:t xml:space="preserve">(a) </w:t>
      </w:r>
      <w:r>
        <w:tab/>
        <w:t>On 4 December 2014, the Premier announced machinery of government changes effective from 1 January 2015. The following Victorian government departments were affected:</w:t>
      </w:r>
    </w:p>
    <w:p w:rsidR="00B03921" w:rsidRDefault="00B03921" w:rsidP="00016914">
      <w:pPr>
        <w:pStyle w:val="NotesDash"/>
      </w:pPr>
      <w:r>
        <w:t xml:space="preserve">the Department of Education and Early Childhood Development was renamed the Department of Education and Training; </w:t>
      </w:r>
    </w:p>
    <w:p w:rsidR="00B03921" w:rsidRDefault="00B03921" w:rsidP="00016914">
      <w:pPr>
        <w:pStyle w:val="NotesDash"/>
      </w:pPr>
      <w:r>
        <w:t xml:space="preserve">the Department of Environment and Primary Industries was renamed the Department of Environment, Land, Water and Planning; </w:t>
      </w:r>
    </w:p>
    <w:p w:rsidR="00B03921" w:rsidRDefault="00B03921" w:rsidP="00016914">
      <w:pPr>
        <w:pStyle w:val="NotesDash"/>
      </w:pPr>
      <w:r>
        <w:t xml:space="preserve">the Department of Health was renamed the Department of Health and Human Services; </w:t>
      </w:r>
    </w:p>
    <w:p w:rsidR="00B03921" w:rsidRDefault="00B03921" w:rsidP="00016914">
      <w:pPr>
        <w:pStyle w:val="NotesDash"/>
      </w:pPr>
      <w:r>
        <w:t xml:space="preserve">the Department of Justice was renamed the Department of Justice and Regulation; </w:t>
      </w:r>
    </w:p>
    <w:p w:rsidR="00B03921" w:rsidRDefault="00B03921" w:rsidP="00016914">
      <w:pPr>
        <w:pStyle w:val="NotesDash"/>
      </w:pPr>
      <w:r>
        <w:t>the Department of State Development, Business and Innovation was renamed the Department of Economic Development, Jobs, Transport and Resources;</w:t>
      </w:r>
    </w:p>
    <w:p w:rsidR="00B03921" w:rsidRDefault="00B03921" w:rsidP="00016914">
      <w:pPr>
        <w:pStyle w:val="NotesDash"/>
      </w:pPr>
      <w:r>
        <w:t>the Department of Human Services was abolished; and</w:t>
      </w:r>
    </w:p>
    <w:p w:rsidR="00B03921" w:rsidRDefault="00B03921" w:rsidP="00016914">
      <w:pPr>
        <w:pStyle w:val="NotesDash"/>
      </w:pPr>
      <w:r>
        <w:t>the Department of Transport, Planning and Local Infrastructure was abolished.</w:t>
      </w:r>
    </w:p>
    <w:p w:rsidR="00B03921" w:rsidRDefault="00B03921" w:rsidP="00016914">
      <w:pPr>
        <w:pStyle w:val="Notes"/>
      </w:pPr>
      <w:r>
        <w:tab/>
        <w:t>The two abolished departments had their functions and operations transferred to other Victorian government departments. Functions and operations of the Department of Human Services were transferred to the Department of Health and Human Services and the Department of Premier and Cabinet. Functions and operations of the Department of Transport, Planning and Local Infrastructure were transferred to the Department of Environment, Land, Water and Planning, the Department of Health and Human Services and the Department of Economic Development, Jobs, Transport and Resources portfolio. Certain functions and operations of continuing Victorian government departments were also transferred amongst departments as part of the machinery of government changes.</w:t>
      </w:r>
    </w:p>
    <w:p w:rsidR="00B03921" w:rsidRPr="00043E52" w:rsidRDefault="00B03921" w:rsidP="00016914">
      <w:pPr>
        <w:pStyle w:val="Notes"/>
        <w:rPr>
          <w:i w:val="0"/>
        </w:rPr>
      </w:pPr>
      <w:r>
        <w:t>(b)</w:t>
      </w:r>
      <w:r>
        <w:tab/>
      </w:r>
      <w:r w:rsidRPr="00043E52">
        <w:rPr>
          <w:i w:val="0"/>
        </w:rPr>
        <w:t>Appropriation (2015/2016) Bill</w:t>
      </w:r>
      <w:r>
        <w:rPr>
          <w:i w:val="0"/>
        </w:rPr>
        <w:t>.</w:t>
      </w:r>
    </w:p>
    <w:p w:rsidR="00B03921" w:rsidRPr="00043E52" w:rsidRDefault="00B03921" w:rsidP="00016914">
      <w:pPr>
        <w:pStyle w:val="Notes"/>
        <w:rPr>
          <w:i w:val="0"/>
        </w:rPr>
      </w:pPr>
      <w:r>
        <w:t xml:space="preserve">(c) </w:t>
      </w:r>
      <w:r>
        <w:tab/>
      </w:r>
      <w:r w:rsidRPr="00043E52">
        <w:rPr>
          <w:i w:val="0"/>
        </w:rPr>
        <w:t>Financial Management Act 1994 Section 29.</w:t>
      </w:r>
    </w:p>
    <w:p w:rsidR="00B03921" w:rsidRPr="00043E52" w:rsidRDefault="00B03921" w:rsidP="00016914">
      <w:pPr>
        <w:pStyle w:val="Notes"/>
        <w:rPr>
          <w:i w:val="0"/>
        </w:rPr>
      </w:pPr>
      <w:r>
        <w:t xml:space="preserve">(d) </w:t>
      </w:r>
      <w:r>
        <w:tab/>
      </w:r>
      <w:r w:rsidRPr="00043E52">
        <w:rPr>
          <w:i w:val="0"/>
        </w:rPr>
        <w:t>Financial Management Act 1994 Section 32.</w:t>
      </w:r>
    </w:p>
    <w:p w:rsidR="00B03921" w:rsidRPr="00043E52" w:rsidRDefault="00B03921" w:rsidP="00016914">
      <w:pPr>
        <w:pStyle w:val="Notes"/>
        <w:rPr>
          <w:i w:val="0"/>
        </w:rPr>
      </w:pPr>
      <w:r>
        <w:t xml:space="preserve">(e) </w:t>
      </w:r>
      <w:r>
        <w:tab/>
      </w:r>
      <w:r w:rsidRPr="00043E52">
        <w:rPr>
          <w:i w:val="0"/>
        </w:rPr>
        <w:t>Appropriation (Parliament 2015/2016) Bill</w:t>
      </w:r>
      <w:r>
        <w:rPr>
          <w:i w:val="0"/>
        </w:rPr>
        <w:t>.</w:t>
      </w:r>
    </w:p>
    <w:p w:rsidR="00B03921" w:rsidRDefault="00B03921" w:rsidP="00016914">
      <w:pPr>
        <w:pStyle w:val="BodyText"/>
      </w:pPr>
    </w:p>
    <w:p w:rsidR="00B03921" w:rsidRDefault="00B03921">
      <w:pPr>
        <w:spacing w:after="0"/>
        <w:rPr>
          <w:rFonts w:ascii="Calibri" w:hAnsi="Calibri"/>
          <w:b/>
        </w:rPr>
      </w:pPr>
      <w:r>
        <w:br w:type="page"/>
      </w:r>
    </w:p>
    <w:p w:rsidR="00B03921" w:rsidRDefault="00B03921" w:rsidP="00016914">
      <w:pPr>
        <w:pStyle w:val="Tableheading"/>
      </w:pPr>
      <w:r>
        <w:t xml:space="preserve">Table A.6: </w:t>
      </w:r>
      <w:r>
        <w:tab/>
        <w:t xml:space="preserve">Appropriation of certain revenue and asset sales proceeds pursuant to Section 29 of the </w:t>
      </w:r>
      <w:r w:rsidRPr="00516E94">
        <w:rPr>
          <w:i/>
        </w:rPr>
        <w:t>Financial Management Act 1994</w:t>
      </w:r>
      <w:r w:rsidRPr="000E5A7D">
        <w:rPr>
          <w:vertAlign w:val="superscript"/>
        </w:rPr>
        <w:t>(a)</w:t>
      </w:r>
    </w:p>
    <w:p w:rsidR="00B03921" w:rsidRDefault="00B03921" w:rsidP="00016914">
      <w:r>
        <w:t xml:space="preserve">Estimates </w:t>
      </w:r>
      <w:r w:rsidRPr="004C3F0F">
        <w:t>for</w:t>
      </w:r>
      <w:r>
        <w:t xml:space="preserve"> the </w:t>
      </w:r>
      <w:r w:rsidRPr="004C3F0F">
        <w:rPr>
          <w:i/>
        </w:rPr>
        <w:t>2015</w:t>
      </w:r>
      <w:r>
        <w:rPr>
          <w:i/>
        </w:rPr>
        <w:noBreakHyphen/>
      </w:r>
      <w:r w:rsidRPr="004C3F0F">
        <w:rPr>
          <w:i/>
        </w:rPr>
        <w:t>16 Budget</w:t>
      </w:r>
      <w:r w:rsidRPr="004C3F0F">
        <w:t xml:space="preserve"> are in </w:t>
      </w:r>
      <w:r w:rsidRPr="004C3F0F">
        <w:rPr>
          <w:b/>
        </w:rPr>
        <w:t>bold</w:t>
      </w:r>
      <w:r w:rsidRPr="004C3F0F">
        <w:t>; estimates for</w:t>
      </w:r>
      <w:r>
        <w:t xml:space="preserve"> the </w:t>
      </w:r>
      <w:r w:rsidRPr="004C3F0F">
        <w:rPr>
          <w:i/>
        </w:rPr>
        <w:t>2014</w:t>
      </w:r>
      <w:r>
        <w:rPr>
          <w:i/>
        </w:rPr>
        <w:noBreakHyphen/>
      </w:r>
      <w:r w:rsidRPr="004C3F0F">
        <w:rPr>
          <w:i/>
        </w:rPr>
        <w:t>15 Budget</w:t>
      </w:r>
      <w:r w:rsidRPr="004C3F0F">
        <w:t xml:space="preserve"> are in </w:t>
      </w:r>
      <w:r w:rsidRPr="004C3F0F">
        <w:rPr>
          <w:i/>
        </w:rPr>
        <w:t>italics</w:t>
      </w:r>
      <w:r w:rsidRPr="004C3F0F">
        <w:t>.</w:t>
      </w:r>
    </w:p>
    <w:p w:rsidR="00B03921" w:rsidRPr="00082F78" w:rsidRDefault="00B03921" w:rsidP="00016914">
      <w:pPr>
        <w:pStyle w:val="million"/>
        <w:rPr>
          <w:rFonts w:ascii="Times New Roman" w:hAnsi="Times New Roman"/>
          <w:i w:val="0"/>
          <w:sz w:val="20"/>
          <w:szCs w:val="20"/>
          <w:lang w:eastAsia="en-AU"/>
        </w:rPr>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601"/>
        <w:gridCol w:w="126"/>
        <w:gridCol w:w="784"/>
        <w:gridCol w:w="1399"/>
        <w:gridCol w:w="856"/>
        <w:gridCol w:w="994"/>
      </w:tblGrid>
      <w:tr w:rsidR="00657F04" w:rsidRPr="00082F78" w:rsidTr="00423972">
        <w:tc>
          <w:tcPr>
            <w:tcW w:w="3601" w:type="dxa"/>
            <w:vMerge w:val="restart"/>
            <w:tcBorders>
              <w:top w:val="single" w:sz="6" w:space="0" w:color="auto"/>
              <w:left w:val="single" w:sz="6" w:space="0" w:color="auto"/>
              <w:right w:val="nil"/>
            </w:tcBorders>
            <w:shd w:val="clear" w:color="000000" w:fill="000000"/>
          </w:tcPr>
          <w:p w:rsidR="00657F04" w:rsidRDefault="00657F04" w:rsidP="00016914">
            <w:pPr>
              <w:pStyle w:val="Tabletext"/>
              <w:rPr>
                <w:rFonts w:eastAsiaTheme="minorEastAsia"/>
                <w:i/>
                <w:iCs/>
                <w:lang w:eastAsia="en-AU"/>
              </w:rPr>
            </w:pPr>
          </w:p>
          <w:p w:rsidR="00657F04" w:rsidRPr="00082F78" w:rsidRDefault="00657F04" w:rsidP="00016914">
            <w:pPr>
              <w:pStyle w:val="Tabletext"/>
              <w:rPr>
                <w:rFonts w:eastAsiaTheme="minorEastAsia"/>
                <w:lang w:eastAsia="en-AU"/>
              </w:rPr>
            </w:pPr>
            <w:r w:rsidRPr="00082F78">
              <w:rPr>
                <w:rFonts w:eastAsiaTheme="minorEastAsia"/>
                <w:i/>
                <w:iCs/>
                <w:lang w:eastAsia="en-AU"/>
              </w:rPr>
              <w:t>Department</w:t>
            </w:r>
          </w:p>
        </w:tc>
        <w:tc>
          <w:tcPr>
            <w:tcW w:w="3165" w:type="dxa"/>
            <w:gridSpan w:val="4"/>
            <w:tcBorders>
              <w:top w:val="single" w:sz="6" w:space="0" w:color="auto"/>
              <w:left w:val="nil"/>
              <w:bottom w:val="nil"/>
              <w:right w:val="nil"/>
            </w:tcBorders>
            <w:shd w:val="clear" w:color="000000" w:fill="000000"/>
          </w:tcPr>
          <w:p w:rsidR="00657F04" w:rsidRPr="00082F78" w:rsidRDefault="00657F04" w:rsidP="00657F04">
            <w:pPr>
              <w:pStyle w:val="Tabletextheading"/>
              <w:jc w:val="center"/>
              <w:rPr>
                <w:rFonts w:eastAsiaTheme="minorEastAsia" w:cs="Calibri"/>
                <w:iCs/>
                <w:color w:val="000000"/>
                <w:szCs w:val="22"/>
                <w:lang w:eastAsia="en-AU"/>
              </w:rPr>
            </w:pPr>
            <w:r w:rsidRPr="00082F78">
              <w:rPr>
                <w:rFonts w:eastAsiaTheme="minorEastAsia"/>
                <w:iCs/>
                <w:color w:val="FFFFFF"/>
                <w:lang w:eastAsia="en-AU"/>
              </w:rPr>
              <w:t>Receipt source</w:t>
            </w:r>
          </w:p>
        </w:tc>
        <w:tc>
          <w:tcPr>
            <w:tcW w:w="994" w:type="dxa"/>
            <w:tcBorders>
              <w:top w:val="single" w:sz="6" w:space="0" w:color="auto"/>
              <w:left w:val="nil"/>
              <w:bottom w:val="nil"/>
              <w:right w:val="single" w:sz="6" w:space="0" w:color="auto"/>
            </w:tcBorders>
            <w:shd w:val="clear" w:color="000000" w:fill="000000"/>
          </w:tcPr>
          <w:p w:rsidR="00657F04" w:rsidRPr="00082F78" w:rsidRDefault="00657F04" w:rsidP="00016914">
            <w:pPr>
              <w:pStyle w:val="Tabletextheading"/>
              <w:rPr>
                <w:rFonts w:eastAsiaTheme="minorEastAsia"/>
                <w:iCs/>
                <w:color w:val="FFFFFF"/>
                <w:lang w:eastAsia="en-AU"/>
              </w:rPr>
            </w:pPr>
          </w:p>
        </w:tc>
      </w:tr>
      <w:tr w:rsidR="00657F04" w:rsidRPr="00082F78" w:rsidTr="00423972">
        <w:tc>
          <w:tcPr>
            <w:tcW w:w="3601" w:type="dxa"/>
            <w:vMerge/>
            <w:tcBorders>
              <w:left w:val="single" w:sz="6" w:space="0" w:color="auto"/>
              <w:bottom w:val="single" w:sz="6" w:space="0" w:color="auto"/>
              <w:right w:val="nil"/>
            </w:tcBorders>
            <w:shd w:val="clear" w:color="000000" w:fill="000000"/>
          </w:tcPr>
          <w:p w:rsidR="00657F04" w:rsidRPr="00082F78" w:rsidRDefault="00657F04" w:rsidP="00016914">
            <w:pPr>
              <w:pStyle w:val="Tabletext"/>
              <w:rPr>
                <w:rFonts w:eastAsiaTheme="minorEastAsia"/>
                <w:i/>
                <w:iCs/>
                <w:lang w:eastAsia="en-AU"/>
              </w:rPr>
            </w:pPr>
          </w:p>
        </w:tc>
        <w:tc>
          <w:tcPr>
            <w:tcW w:w="910" w:type="dxa"/>
            <w:gridSpan w:val="2"/>
            <w:tcBorders>
              <w:top w:val="nil"/>
              <w:left w:val="nil"/>
              <w:bottom w:val="single" w:sz="6" w:space="0" w:color="auto"/>
              <w:right w:val="nil"/>
            </w:tcBorders>
            <w:shd w:val="clear" w:color="000000" w:fill="000000"/>
          </w:tcPr>
          <w:p w:rsidR="00657F04" w:rsidRPr="00082F78" w:rsidRDefault="00657F04" w:rsidP="00016914">
            <w:pPr>
              <w:pStyle w:val="Tabletextheading"/>
              <w:rPr>
                <w:rFonts w:eastAsiaTheme="minorEastAsia"/>
                <w:iCs/>
                <w:color w:val="FFFFFF"/>
                <w:lang w:eastAsia="en-AU"/>
              </w:rPr>
            </w:pPr>
            <w:r w:rsidRPr="00082F78">
              <w:rPr>
                <w:rFonts w:eastAsiaTheme="minorEastAsia"/>
                <w:iCs/>
                <w:color w:val="FFFFFF"/>
                <w:lang w:eastAsia="en-AU"/>
              </w:rPr>
              <w:t>Outputs</w:t>
            </w:r>
          </w:p>
        </w:tc>
        <w:tc>
          <w:tcPr>
            <w:tcW w:w="1399" w:type="dxa"/>
            <w:tcBorders>
              <w:top w:val="nil"/>
              <w:left w:val="nil"/>
              <w:bottom w:val="single" w:sz="6" w:space="0" w:color="auto"/>
              <w:right w:val="nil"/>
            </w:tcBorders>
            <w:shd w:val="clear" w:color="000000" w:fill="000000"/>
          </w:tcPr>
          <w:p w:rsidR="00657F04" w:rsidRPr="00082F78" w:rsidRDefault="00657F04" w:rsidP="00016914">
            <w:pPr>
              <w:pStyle w:val="Tabletextheading"/>
              <w:rPr>
                <w:rFonts w:eastAsiaTheme="minorEastAsia"/>
                <w:iCs/>
                <w:color w:val="FFFFFF"/>
                <w:lang w:eastAsia="en-AU"/>
              </w:rPr>
            </w:pPr>
            <w:r w:rsidRPr="00082F78">
              <w:rPr>
                <w:rFonts w:eastAsiaTheme="minorEastAsia"/>
                <w:iCs/>
                <w:color w:val="FFFFFF"/>
                <w:lang w:eastAsia="en-AU"/>
              </w:rPr>
              <w:t>Commonwealth</w:t>
            </w:r>
          </w:p>
        </w:tc>
        <w:tc>
          <w:tcPr>
            <w:tcW w:w="856" w:type="dxa"/>
            <w:tcBorders>
              <w:top w:val="nil"/>
              <w:left w:val="nil"/>
              <w:bottom w:val="single" w:sz="6" w:space="0" w:color="auto"/>
              <w:right w:val="nil"/>
            </w:tcBorders>
            <w:shd w:val="clear" w:color="000000" w:fill="000000"/>
          </w:tcPr>
          <w:p w:rsidR="00657F04" w:rsidRPr="00082F78" w:rsidRDefault="00657F04" w:rsidP="00016914">
            <w:pPr>
              <w:pStyle w:val="Tabletextheading"/>
              <w:rPr>
                <w:rFonts w:eastAsiaTheme="minorEastAsia"/>
                <w:iCs/>
                <w:color w:val="FFFFFF"/>
                <w:vertAlign w:val="superscript"/>
                <w:lang w:eastAsia="en-AU"/>
              </w:rPr>
            </w:pPr>
            <w:r w:rsidRPr="00082F78">
              <w:rPr>
                <w:rFonts w:eastAsiaTheme="minorEastAsia"/>
                <w:iCs/>
                <w:color w:val="FFFFFF"/>
                <w:lang w:eastAsia="en-AU"/>
              </w:rPr>
              <w:t xml:space="preserve">Other </w:t>
            </w:r>
            <w:r w:rsidRPr="00082F78">
              <w:rPr>
                <w:rFonts w:eastAsiaTheme="minorEastAsia"/>
                <w:iCs/>
                <w:color w:val="FFFFFF"/>
                <w:vertAlign w:val="superscript"/>
                <w:lang w:eastAsia="en-AU"/>
              </w:rPr>
              <w:t>(b)</w:t>
            </w:r>
          </w:p>
        </w:tc>
        <w:tc>
          <w:tcPr>
            <w:tcW w:w="994" w:type="dxa"/>
            <w:tcBorders>
              <w:top w:val="nil"/>
              <w:left w:val="nil"/>
              <w:bottom w:val="single" w:sz="6" w:space="0" w:color="auto"/>
              <w:right w:val="single" w:sz="6" w:space="0" w:color="auto"/>
            </w:tcBorders>
            <w:shd w:val="clear" w:color="000000" w:fill="000000"/>
          </w:tcPr>
          <w:p w:rsidR="00657F04" w:rsidRPr="00082F78" w:rsidRDefault="00657F04" w:rsidP="00016914">
            <w:pPr>
              <w:pStyle w:val="Tabletextheading"/>
              <w:rPr>
                <w:rFonts w:eastAsiaTheme="minorEastAsia"/>
                <w:iCs/>
                <w:color w:val="FFFFFF"/>
                <w:lang w:eastAsia="en-AU"/>
              </w:rPr>
            </w:pPr>
            <w:r w:rsidRPr="00082F78">
              <w:rPr>
                <w:rFonts w:eastAsiaTheme="minorEastAsia"/>
                <w:iCs/>
                <w:color w:val="FFFFFF"/>
                <w:lang w:eastAsia="en-AU"/>
              </w:rPr>
              <w:t xml:space="preserve">Total </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Economic Development, Jobs, Transport and Resources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94 420</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469 976</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564 396</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300</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300</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Education and Training</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1 909</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460 567</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45 220</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507 696</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1 751</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452 528</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33 000</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487 279</w:t>
            </w:r>
          </w:p>
        </w:tc>
      </w:tr>
      <w:tr w:rsidR="00B03921" w:rsidRPr="00082F78" w:rsidTr="00016914">
        <w:tc>
          <w:tcPr>
            <w:tcW w:w="3601" w:type="dxa"/>
            <w:tcBorders>
              <w:top w:val="nil"/>
              <w:left w:val="nil"/>
              <w:bottom w:val="nil"/>
              <w:right w:val="nil"/>
            </w:tcBorders>
          </w:tcPr>
          <w:p w:rsidR="00B03921" w:rsidRPr="00082F78" w:rsidRDefault="00B03921" w:rsidP="00016914">
            <w:pPr>
              <w:pStyle w:val="Tabletext"/>
              <w:rPr>
                <w:rFonts w:eastAsiaTheme="minorEastAsia"/>
                <w:lang w:eastAsia="en-AU"/>
              </w:rPr>
            </w:pPr>
            <w:r w:rsidRPr="00082F78">
              <w:rPr>
                <w:rFonts w:eastAsiaTheme="minorEastAsia"/>
                <w:lang w:eastAsia="en-AU"/>
              </w:rPr>
              <w:t>Environment, Land, Water and Planning</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52 486</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94 307</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146 793</w:t>
            </w:r>
          </w:p>
        </w:tc>
      </w:tr>
      <w:tr w:rsidR="00B03921" w:rsidRPr="00082F78" w:rsidTr="00016914">
        <w:tc>
          <w:tcPr>
            <w:tcW w:w="3601" w:type="dxa"/>
            <w:tcBorders>
              <w:top w:val="nil"/>
              <w:left w:val="nil"/>
              <w:bottom w:val="nil"/>
              <w:right w:val="nil"/>
            </w:tcBorders>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106 793</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104 156</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9 243</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220 193</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Health and Human Services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323 274</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622 990</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7 750</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954 014</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307 065</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611 720</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1 500</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920 284</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Justice and Regulation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143 823</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56 376</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600</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200 799</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133 404</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55 761</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600</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189 764</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Premier and Cabinet</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520</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520</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1 270</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1 270</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Treasury and Finance</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7 068</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7 068</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7 068</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7 068</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Parliament</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23 904</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23 904</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bCs/>
                <w:lang w:eastAsia="en-AU"/>
              </w:rPr>
            </w:pPr>
            <w:r w:rsidRPr="00082F78">
              <w:rPr>
                <w:rFonts w:eastAsiaTheme="minorEastAsia"/>
                <w:bCs/>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cs="Calibri"/>
                <w:i/>
                <w:iCs/>
                <w:color w:val="000000"/>
                <w:lang w:eastAsia="en-AU"/>
              </w:rPr>
            </w:pPr>
            <w:r w:rsidRPr="00082F78">
              <w:rPr>
                <w:rFonts w:eastAsiaTheme="minorEastAsia"/>
                <w:i/>
                <w:iCs/>
                <w:lang w:eastAsia="en-AU"/>
              </w:rPr>
              <w:t xml:space="preserve"> 23 </w:t>
            </w:r>
            <w:r w:rsidRPr="00082F78">
              <w:rPr>
                <w:rFonts w:eastAsiaTheme="minorEastAsia" w:cs="Calibri"/>
                <w:i/>
                <w:iCs/>
                <w:color w:val="000000"/>
                <w:lang w:eastAsia="en-AU"/>
              </w:rPr>
              <w:t>761</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23 761</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Courts</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56 947</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7 200</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 xml:space="preserve"> 64 147</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56 947</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7 200</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64 147</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Human Services</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1399"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856"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bottom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r>
      <w:tr w:rsidR="00B03921" w:rsidRPr="00082F78" w:rsidTr="00016914">
        <w:tc>
          <w:tcPr>
            <w:tcW w:w="3601" w:type="dxa"/>
            <w:tcBorders>
              <w:top w:val="nil"/>
              <w:left w:val="nil"/>
              <w:bottom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27 938</w:t>
            </w:r>
          </w:p>
        </w:tc>
        <w:tc>
          <w:tcPr>
            <w:tcW w:w="1399"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22 648</w:t>
            </w:r>
          </w:p>
        </w:tc>
        <w:tc>
          <w:tcPr>
            <w:tcW w:w="856"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6 250</w:t>
            </w:r>
          </w:p>
        </w:tc>
        <w:tc>
          <w:tcPr>
            <w:tcW w:w="994" w:type="dxa"/>
            <w:tcBorders>
              <w:top w:val="nil"/>
              <w:left w:val="nil"/>
              <w:bottom w:val="nil"/>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56 836</w:t>
            </w:r>
          </w:p>
        </w:tc>
      </w:tr>
      <w:tr w:rsidR="00B03921" w:rsidRPr="00082F78" w:rsidTr="00657F04">
        <w:tc>
          <w:tcPr>
            <w:tcW w:w="3727" w:type="dxa"/>
            <w:gridSpan w:val="2"/>
            <w:tcBorders>
              <w:top w:val="nil"/>
              <w:left w:val="nil"/>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Transport Planning and Local Infrastructure </w:t>
            </w:r>
          </w:p>
        </w:tc>
        <w:tc>
          <w:tcPr>
            <w:tcW w:w="784" w:type="dxa"/>
            <w:tcBorders>
              <w:top w:val="nil"/>
              <w:left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1399" w:type="dxa"/>
            <w:tcBorders>
              <w:top w:val="nil"/>
              <w:left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856" w:type="dxa"/>
            <w:tcBorders>
              <w:top w:val="nil"/>
              <w:left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c>
          <w:tcPr>
            <w:tcW w:w="994" w:type="dxa"/>
            <w:tcBorders>
              <w:top w:val="nil"/>
              <w:left w:val="nil"/>
              <w:right w:val="nil"/>
            </w:tcBorders>
          </w:tcPr>
          <w:p w:rsidR="00B03921" w:rsidRPr="00082F78" w:rsidRDefault="00B03921" w:rsidP="00016914">
            <w:pPr>
              <w:pStyle w:val="TableofFigures"/>
              <w:rPr>
                <w:rFonts w:eastAsiaTheme="minorEastAsia"/>
                <w:b/>
                <w:bCs/>
                <w:lang w:eastAsia="en-AU"/>
              </w:rPr>
            </w:pPr>
            <w:r w:rsidRPr="00082F78">
              <w:rPr>
                <w:rFonts w:eastAsiaTheme="minorEastAsia"/>
                <w:b/>
                <w:bCs/>
                <w:lang w:eastAsia="en-AU"/>
              </w:rPr>
              <w:t>..</w:t>
            </w:r>
          </w:p>
        </w:tc>
      </w:tr>
      <w:tr w:rsidR="00B03921" w:rsidRPr="00082F78" w:rsidTr="00016914">
        <w:tc>
          <w:tcPr>
            <w:tcW w:w="3601" w:type="dxa"/>
            <w:tcBorders>
              <w:top w:val="nil"/>
              <w:left w:val="nil"/>
              <w:bottom w:val="single" w:sz="12" w:space="0" w:color="000000"/>
              <w:right w:val="nil"/>
            </w:tcBorders>
            <w:shd w:val="solid" w:color="FFFFFF" w:fill="auto"/>
          </w:tcPr>
          <w:p w:rsidR="00B03921" w:rsidRPr="00082F78" w:rsidRDefault="00B03921" w:rsidP="00016914">
            <w:pPr>
              <w:pStyle w:val="Tabletext"/>
              <w:rPr>
                <w:rFonts w:eastAsiaTheme="minorEastAsia"/>
                <w:lang w:eastAsia="en-AU"/>
              </w:rPr>
            </w:pPr>
            <w:r w:rsidRPr="00082F78">
              <w:rPr>
                <w:rFonts w:eastAsiaTheme="minorEastAsia"/>
                <w:lang w:eastAsia="en-AU"/>
              </w:rPr>
              <w:t xml:space="preserve"> </w:t>
            </w:r>
          </w:p>
        </w:tc>
        <w:tc>
          <w:tcPr>
            <w:tcW w:w="910" w:type="dxa"/>
            <w:gridSpan w:val="2"/>
            <w:tcBorders>
              <w:top w:val="nil"/>
              <w:left w:val="nil"/>
              <w:bottom w:val="single" w:sz="12" w:space="0" w:color="000000"/>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29 246</w:t>
            </w:r>
          </w:p>
        </w:tc>
        <w:tc>
          <w:tcPr>
            <w:tcW w:w="1399" w:type="dxa"/>
            <w:tcBorders>
              <w:top w:val="nil"/>
              <w:left w:val="nil"/>
              <w:bottom w:val="single" w:sz="12" w:space="0" w:color="000000"/>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839 001</w:t>
            </w:r>
          </w:p>
        </w:tc>
        <w:tc>
          <w:tcPr>
            <w:tcW w:w="856" w:type="dxa"/>
            <w:tcBorders>
              <w:top w:val="nil"/>
              <w:left w:val="nil"/>
              <w:bottom w:val="single" w:sz="12" w:space="0" w:color="000000"/>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w:t>
            </w:r>
          </w:p>
        </w:tc>
        <w:tc>
          <w:tcPr>
            <w:tcW w:w="994" w:type="dxa"/>
            <w:tcBorders>
              <w:top w:val="nil"/>
              <w:left w:val="nil"/>
              <w:bottom w:val="single" w:sz="12" w:space="0" w:color="000000"/>
              <w:right w:val="nil"/>
            </w:tcBorders>
          </w:tcPr>
          <w:p w:rsidR="00B03921" w:rsidRPr="00082F78" w:rsidRDefault="00B03921" w:rsidP="00016914">
            <w:pPr>
              <w:pStyle w:val="TableofFigures"/>
              <w:rPr>
                <w:rFonts w:eastAsiaTheme="minorEastAsia"/>
                <w:i/>
                <w:iCs/>
                <w:lang w:eastAsia="en-AU"/>
              </w:rPr>
            </w:pPr>
            <w:r w:rsidRPr="00082F78">
              <w:rPr>
                <w:rFonts w:eastAsiaTheme="minorEastAsia"/>
                <w:i/>
                <w:iCs/>
                <w:lang w:eastAsia="en-AU"/>
              </w:rPr>
              <w:t xml:space="preserve"> 868 247</w:t>
            </w:r>
          </w:p>
        </w:tc>
      </w:tr>
    </w:tbl>
    <w:p w:rsidR="00B03921" w:rsidRDefault="00B03921" w:rsidP="00AB0AE7">
      <w:pPr>
        <w:pStyle w:val="Notes"/>
      </w:pPr>
      <w:r>
        <w:t>Notes:</w:t>
      </w:r>
    </w:p>
    <w:p w:rsidR="00B03921" w:rsidRDefault="00B03921" w:rsidP="00016914">
      <w:pPr>
        <w:pStyle w:val="Notes"/>
      </w:pPr>
      <w:r>
        <w:t>(a)</w:t>
      </w:r>
      <w:r>
        <w:tab/>
        <w:t>On 4 December 2014, the Premier announced machinery of government changes effective from 1 January 2015. The following Victorian government departments were affected:</w:t>
      </w:r>
    </w:p>
    <w:p w:rsidR="00B03921" w:rsidRDefault="00B03921" w:rsidP="00016914">
      <w:pPr>
        <w:pStyle w:val="NotesDash"/>
      </w:pPr>
      <w:r>
        <w:t xml:space="preserve">the Department of Education and Early Childhood Development was renamed the Department of Education and Training; </w:t>
      </w:r>
    </w:p>
    <w:p w:rsidR="00B03921" w:rsidRDefault="00B03921" w:rsidP="00016914">
      <w:pPr>
        <w:pStyle w:val="NotesDash"/>
      </w:pPr>
      <w:r>
        <w:t xml:space="preserve">the Department of Environment and Primary Industries was renamed the Department of Environment, Land, Water and Planning; </w:t>
      </w:r>
    </w:p>
    <w:p w:rsidR="00B03921" w:rsidRDefault="00B03921" w:rsidP="00016914">
      <w:pPr>
        <w:pStyle w:val="NotesDash"/>
      </w:pPr>
      <w:r>
        <w:t xml:space="preserve">the Department of Health was renamed the Department of Health and Human Services; </w:t>
      </w:r>
    </w:p>
    <w:p w:rsidR="00B03921" w:rsidRDefault="00B03921" w:rsidP="00016914">
      <w:pPr>
        <w:pStyle w:val="NotesDash"/>
      </w:pPr>
      <w:r>
        <w:t xml:space="preserve">the Department of Justice was renamed the Department of Justice and Regulation; </w:t>
      </w:r>
    </w:p>
    <w:p w:rsidR="00B03921" w:rsidRDefault="00B03921" w:rsidP="00016914">
      <w:pPr>
        <w:pStyle w:val="NotesDash"/>
      </w:pPr>
      <w:r>
        <w:t>the Department of State Development, Business and Innovation was renamed the Department of Economic Development, Jobs, Transport and Resources;</w:t>
      </w:r>
    </w:p>
    <w:p w:rsidR="00B03921" w:rsidRDefault="00B03921" w:rsidP="00016914">
      <w:pPr>
        <w:pStyle w:val="NotesDash"/>
      </w:pPr>
      <w:r>
        <w:t>the Department of Human Services was abolished; and</w:t>
      </w:r>
    </w:p>
    <w:p w:rsidR="00B03921" w:rsidRDefault="00B03921" w:rsidP="00016914">
      <w:pPr>
        <w:pStyle w:val="NotesDash"/>
      </w:pPr>
      <w:r>
        <w:t>the Department of Transport, Planning and Local Infrastructure was abolished</w:t>
      </w:r>
    </w:p>
    <w:p w:rsidR="00B03921" w:rsidRDefault="00B03921" w:rsidP="00016914">
      <w:pPr>
        <w:pStyle w:val="Notes"/>
      </w:pPr>
      <w:r>
        <w:tab/>
        <w:t>The two abolished departments had their functions and operations transferred to other Victorian government departments. Functions and operations of the Department of Human Services were transferred to the Department of Health and Human Services and the Department of Premier and Cabinet. Functions and operations of the Department of Transport, Planning and Local Infrastructure were transferred to the Department of Environment, Land, Water and Planning portfolio, the Department of Health and Human Services and the Department of Economic Development, Jobs, Transport and Resources. Certain functions and operations of continuing Victorian government departments were also transferred amongst departments as part of the machinery of government changes.</w:t>
      </w:r>
    </w:p>
    <w:p w:rsidR="00B03921" w:rsidRDefault="00B03921" w:rsidP="00016914">
      <w:pPr>
        <w:pStyle w:val="Notes"/>
      </w:pPr>
      <w:r>
        <w:t xml:space="preserve">(b) </w:t>
      </w:r>
      <w:r>
        <w:tab/>
        <w:t>Includes asset sales and contributions from local governments.</w:t>
      </w:r>
    </w:p>
    <w:p w:rsidR="00B03921" w:rsidRDefault="00B03921" w:rsidP="00016914">
      <w:pPr>
        <w:pStyle w:val="Tableheading"/>
      </w:pPr>
      <w:r w:rsidRPr="002868E9">
        <w:t>Table A.7:</w:t>
      </w:r>
      <w:r w:rsidRPr="002868E9">
        <w:tab/>
        <w:t>The Trust Fund</w:t>
      </w:r>
    </w:p>
    <w:p w:rsidR="00B03921" w:rsidRPr="00317A11" w:rsidRDefault="00B03921" w:rsidP="00016914">
      <w:pPr>
        <w:pStyle w:val="million"/>
        <w:rPr>
          <w:rFonts w:ascii="Times New Roman" w:hAnsi="Times New Roman"/>
          <w:i w:val="0"/>
          <w:sz w:val="20"/>
          <w:szCs w:val="20"/>
          <w:lang w:eastAsia="en-AU"/>
        </w:rPr>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377"/>
        <w:gridCol w:w="1176"/>
        <w:gridCol w:w="1175"/>
        <w:gridCol w:w="1176"/>
        <w:gridCol w:w="856"/>
      </w:tblGrid>
      <w:tr w:rsidR="00657F04" w:rsidRPr="00317A11" w:rsidTr="00423972">
        <w:trPr>
          <w:trHeight w:val="479"/>
        </w:trPr>
        <w:tc>
          <w:tcPr>
            <w:tcW w:w="3377" w:type="dxa"/>
            <w:tcBorders>
              <w:top w:val="single" w:sz="6" w:space="0" w:color="auto"/>
              <w:left w:val="single" w:sz="6" w:space="0" w:color="auto"/>
              <w:right w:val="nil"/>
            </w:tcBorders>
            <w:shd w:val="clear" w:color="000000" w:fill="000000"/>
          </w:tcPr>
          <w:p w:rsidR="00657F04" w:rsidRPr="00317A11" w:rsidRDefault="00657F04" w:rsidP="00016914">
            <w:pPr>
              <w:pStyle w:val="Tabletext"/>
              <w:rPr>
                <w:rFonts w:eastAsiaTheme="minorEastAsia"/>
                <w:sz w:val="19"/>
                <w:lang w:eastAsia="en-AU"/>
              </w:rPr>
            </w:pPr>
          </w:p>
        </w:tc>
        <w:tc>
          <w:tcPr>
            <w:tcW w:w="1176" w:type="dxa"/>
            <w:tcBorders>
              <w:top w:val="single" w:sz="6" w:space="0" w:color="auto"/>
              <w:left w:val="nil"/>
              <w:right w:val="nil"/>
            </w:tcBorders>
            <w:shd w:val="clear" w:color="000000" w:fill="000000"/>
          </w:tcPr>
          <w:p w:rsidR="00657F04" w:rsidRPr="00317A11" w:rsidRDefault="00657F04" w:rsidP="00657F04">
            <w:pPr>
              <w:pStyle w:val="Tabletextheading"/>
              <w:rPr>
                <w:rFonts w:eastAsiaTheme="minorEastAsia"/>
                <w:iCs/>
                <w:color w:val="FFFFFF"/>
                <w:sz w:val="19"/>
                <w:lang w:eastAsia="en-AU"/>
              </w:rPr>
            </w:pPr>
            <w:r w:rsidRPr="00317A11">
              <w:rPr>
                <w:rFonts w:eastAsiaTheme="minorEastAsia"/>
                <w:iCs/>
                <w:color w:val="FFFFFF"/>
                <w:sz w:val="19"/>
                <w:lang w:eastAsia="en-AU"/>
              </w:rPr>
              <w:t>2014-15</w:t>
            </w:r>
            <w:r>
              <w:rPr>
                <w:rFonts w:eastAsiaTheme="minorEastAsia"/>
                <w:iCs/>
                <w:color w:val="FFFFFF"/>
                <w:sz w:val="19"/>
                <w:lang w:eastAsia="en-AU"/>
              </w:rPr>
              <w:t xml:space="preserve"> </w:t>
            </w:r>
            <w:r w:rsidRPr="00317A11">
              <w:rPr>
                <w:rFonts w:eastAsiaTheme="minorEastAsia"/>
                <w:iCs/>
                <w:color w:val="FFFFFF"/>
                <w:sz w:val="19"/>
                <w:lang w:eastAsia="en-AU"/>
              </w:rPr>
              <w:t>budget</w:t>
            </w:r>
          </w:p>
        </w:tc>
        <w:tc>
          <w:tcPr>
            <w:tcW w:w="1175" w:type="dxa"/>
            <w:tcBorders>
              <w:top w:val="single" w:sz="6" w:space="0" w:color="auto"/>
              <w:left w:val="nil"/>
              <w:right w:val="nil"/>
            </w:tcBorders>
            <w:shd w:val="clear" w:color="000000" w:fill="000000"/>
          </w:tcPr>
          <w:p w:rsidR="00657F04" w:rsidRPr="00317A11" w:rsidRDefault="00657F04" w:rsidP="00657F04">
            <w:pPr>
              <w:pStyle w:val="Tabletextheading"/>
              <w:rPr>
                <w:rFonts w:eastAsiaTheme="minorEastAsia"/>
                <w:iCs/>
                <w:color w:val="FFFFFF"/>
                <w:sz w:val="19"/>
                <w:lang w:eastAsia="en-AU"/>
              </w:rPr>
            </w:pPr>
            <w:r w:rsidRPr="00317A11">
              <w:rPr>
                <w:rFonts w:eastAsiaTheme="minorEastAsia"/>
                <w:iCs/>
                <w:color w:val="FFFFFF"/>
                <w:sz w:val="19"/>
                <w:lang w:eastAsia="en-AU"/>
              </w:rPr>
              <w:t>2014-15</w:t>
            </w:r>
            <w:r>
              <w:rPr>
                <w:rFonts w:eastAsiaTheme="minorEastAsia"/>
                <w:iCs/>
                <w:color w:val="FFFFFF"/>
                <w:sz w:val="19"/>
                <w:lang w:eastAsia="en-AU"/>
              </w:rPr>
              <w:t xml:space="preserve"> </w:t>
            </w:r>
            <w:r w:rsidRPr="00317A11">
              <w:rPr>
                <w:rFonts w:eastAsiaTheme="minorEastAsia"/>
                <w:iCs/>
                <w:color w:val="FFFFFF"/>
                <w:sz w:val="19"/>
                <w:lang w:eastAsia="en-AU"/>
              </w:rPr>
              <w:t>revised</w:t>
            </w:r>
          </w:p>
        </w:tc>
        <w:tc>
          <w:tcPr>
            <w:tcW w:w="1176" w:type="dxa"/>
            <w:tcBorders>
              <w:top w:val="single" w:sz="6" w:space="0" w:color="auto"/>
              <w:left w:val="nil"/>
              <w:right w:val="nil"/>
            </w:tcBorders>
            <w:shd w:val="clear" w:color="000000" w:fill="000000"/>
          </w:tcPr>
          <w:p w:rsidR="00657F04" w:rsidRPr="00317A11" w:rsidRDefault="00657F04" w:rsidP="00657F04">
            <w:pPr>
              <w:pStyle w:val="Tabletextheading"/>
              <w:rPr>
                <w:rFonts w:eastAsiaTheme="minorEastAsia"/>
                <w:iCs/>
                <w:color w:val="FFFFFF"/>
                <w:sz w:val="19"/>
                <w:lang w:eastAsia="en-AU"/>
              </w:rPr>
            </w:pPr>
            <w:r w:rsidRPr="00317A11">
              <w:rPr>
                <w:rFonts w:eastAsiaTheme="minorEastAsia"/>
                <w:iCs/>
                <w:color w:val="FFFFFF"/>
                <w:sz w:val="19"/>
                <w:lang w:eastAsia="en-AU"/>
              </w:rPr>
              <w:t>2015-16</w:t>
            </w:r>
            <w:r>
              <w:rPr>
                <w:rFonts w:eastAsiaTheme="minorEastAsia"/>
                <w:iCs/>
                <w:color w:val="FFFFFF"/>
                <w:sz w:val="19"/>
                <w:lang w:eastAsia="en-AU"/>
              </w:rPr>
              <w:t xml:space="preserve"> </w:t>
            </w:r>
            <w:r w:rsidRPr="00317A11">
              <w:rPr>
                <w:rFonts w:eastAsiaTheme="minorEastAsia"/>
                <w:iCs/>
                <w:color w:val="FFFFFF"/>
                <w:sz w:val="19"/>
                <w:lang w:eastAsia="en-AU"/>
              </w:rPr>
              <w:t>budget</w:t>
            </w:r>
          </w:p>
        </w:tc>
        <w:tc>
          <w:tcPr>
            <w:tcW w:w="856" w:type="dxa"/>
            <w:tcBorders>
              <w:top w:val="single" w:sz="6" w:space="0" w:color="auto"/>
              <w:left w:val="nil"/>
              <w:right w:val="single" w:sz="6" w:space="0" w:color="auto"/>
            </w:tcBorders>
            <w:shd w:val="clear" w:color="000000" w:fill="000000"/>
          </w:tcPr>
          <w:p w:rsidR="00657F04" w:rsidRPr="00317A11" w:rsidRDefault="00657F04" w:rsidP="00016914">
            <w:pPr>
              <w:pStyle w:val="Tabletextheading"/>
              <w:rPr>
                <w:rFonts w:eastAsiaTheme="minorEastAsia"/>
                <w:iCs/>
                <w:color w:val="FFFFFF"/>
                <w:sz w:val="19"/>
                <w:lang w:eastAsia="en-AU"/>
              </w:rPr>
            </w:pPr>
            <w:r>
              <w:rPr>
                <w:rFonts w:eastAsiaTheme="minorEastAsia"/>
                <w:iCs/>
                <w:color w:val="FFFFFF"/>
                <w:sz w:val="19"/>
                <w:lang w:eastAsia="en-AU"/>
              </w:rPr>
              <w:t>v</w:t>
            </w:r>
            <w:r w:rsidRPr="00317A11">
              <w:rPr>
                <w:rFonts w:eastAsiaTheme="minorEastAsia"/>
                <w:iCs/>
                <w:color w:val="FFFFFF"/>
                <w:sz w:val="19"/>
                <w:lang w:eastAsia="en-AU"/>
              </w:rPr>
              <w:t>ariation</w:t>
            </w:r>
          </w:p>
          <w:p w:rsidR="00657F04" w:rsidRPr="00317A11" w:rsidRDefault="00657F04" w:rsidP="00016914">
            <w:pPr>
              <w:pStyle w:val="Tabletextheading"/>
              <w:rPr>
                <w:rFonts w:eastAsiaTheme="minorEastAsia"/>
                <w:iCs/>
                <w:color w:val="FFFFFF"/>
                <w:sz w:val="19"/>
                <w:lang w:eastAsia="en-AU"/>
              </w:rPr>
            </w:pPr>
            <w:r w:rsidRPr="00317A11">
              <w:rPr>
                <w:rFonts w:eastAsiaTheme="minorEastAsia"/>
                <w:iCs/>
                <w:color w:val="FFFFFF"/>
                <w:sz w:val="19"/>
                <w:lang w:eastAsia="en-AU"/>
              </w:rPr>
              <w:t>%</w:t>
            </w:r>
          </w:p>
        </w:tc>
      </w:tr>
      <w:tr w:rsidR="00657F04" w:rsidRPr="00317A11" w:rsidTr="00423972">
        <w:tc>
          <w:tcPr>
            <w:tcW w:w="7760" w:type="dxa"/>
            <w:gridSpan w:val="5"/>
            <w:tcBorders>
              <w:top w:val="single" w:sz="6" w:space="0" w:color="auto"/>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Cash flows from operating activities</w:t>
            </w:r>
          </w:p>
        </w:tc>
      </w:tr>
      <w:tr w:rsidR="00657F04" w:rsidRPr="00317A11" w:rsidTr="00423972">
        <w:tc>
          <w:tcPr>
            <w:tcW w:w="7760" w:type="dxa"/>
            <w:gridSpan w:val="5"/>
            <w:tcBorders>
              <w:top w:val="nil"/>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Receipts</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Taxation</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299 482</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295 482</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325 054</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8.5</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Regulatory fees and fines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45 658</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50 083</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30 365</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(33.5)</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 xml:space="preserve">Grants received </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7 323 795</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8 320 094</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8 792 848</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20.1</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Sale of goods and services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406 465</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339 785</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164 874</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(59.4)</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Interest received</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109 017</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92 712</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105 605</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(3.1)</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Net transfers from Consolidated Fund</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9 769 643</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7 577 468</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7 671 967</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(21.5)</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Other receipts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141 695</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155 278</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141 339</w:t>
            </w:r>
          </w:p>
        </w:tc>
        <w:tc>
          <w:tcPr>
            <w:tcW w:w="85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sidRPr="00317A11">
              <w:rPr>
                <w:rFonts w:eastAsiaTheme="minorEastAsia"/>
                <w:sz w:val="19"/>
                <w:lang w:eastAsia="en-AU"/>
              </w:rPr>
              <w:t xml:space="preserve"> (</w:t>
            </w:r>
            <w:r w:rsidRPr="00317A11">
              <w:rPr>
                <w:rFonts w:eastAsiaTheme="minorEastAsia" w:cs="Calibri"/>
                <w:color w:val="000000"/>
                <w:lang w:eastAsia="en-AU"/>
              </w:rPr>
              <w:t>0.3)</w:t>
            </w:r>
          </w:p>
        </w:tc>
      </w:tr>
      <w:tr w:rsidR="00B03921" w:rsidRPr="00317A11" w:rsidTr="00016914">
        <w:tc>
          <w:tcPr>
            <w:tcW w:w="3377" w:type="dxa"/>
            <w:tcBorders>
              <w:top w:val="single" w:sz="6" w:space="0" w:color="auto"/>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 xml:space="preserve"> </w:t>
            </w:r>
          </w:p>
        </w:tc>
        <w:tc>
          <w:tcPr>
            <w:tcW w:w="1176"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18 095 755</w:t>
            </w:r>
          </w:p>
        </w:tc>
        <w:tc>
          <w:tcPr>
            <w:tcW w:w="1175"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16 830 901</w:t>
            </w:r>
          </w:p>
        </w:tc>
        <w:tc>
          <w:tcPr>
            <w:tcW w:w="1176"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17 232 052</w:t>
            </w:r>
          </w:p>
        </w:tc>
        <w:tc>
          <w:tcPr>
            <w:tcW w:w="856" w:type="dxa"/>
            <w:tcBorders>
              <w:top w:val="single" w:sz="6" w:space="0" w:color="auto"/>
              <w:left w:val="nil"/>
              <w:bottom w:val="nil"/>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 xml:space="preserve"> (4.8)</w:t>
            </w:r>
          </w:p>
        </w:tc>
      </w:tr>
      <w:tr w:rsidR="00657F04" w:rsidRPr="00317A11" w:rsidTr="00423972">
        <w:tc>
          <w:tcPr>
            <w:tcW w:w="7760" w:type="dxa"/>
            <w:gridSpan w:val="5"/>
            <w:tcBorders>
              <w:top w:val="nil"/>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Payments</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Payments for employees</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(180 386)</w:t>
            </w:r>
          </w:p>
        </w:tc>
        <w:tc>
          <w:tcPr>
            <w:tcW w:w="1175"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(185 720)</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(191 737)</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6.3</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Superannuation</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(13 019)</w:t>
            </w:r>
          </w:p>
        </w:tc>
        <w:tc>
          <w:tcPr>
            <w:tcW w:w="1175"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(13 967)</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(14 354)</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10.3</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Interest paid</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(14 723)</w:t>
            </w:r>
          </w:p>
        </w:tc>
        <w:tc>
          <w:tcPr>
            <w:tcW w:w="1175"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(7 457)</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(7 519)</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(48.9)</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Grants and subsidies</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(15 475 827)</w:t>
            </w:r>
          </w:p>
        </w:tc>
        <w:tc>
          <w:tcPr>
            <w:tcW w:w="1175"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(13 836 068)</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(14 344 555)</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(7.3)</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Goods and services and other payments</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(2 033 231)</w:t>
            </w:r>
          </w:p>
        </w:tc>
        <w:tc>
          <w:tcPr>
            <w:tcW w:w="1175"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(2 224 639)</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(2 264 531)</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11.4</w:t>
            </w:r>
          </w:p>
        </w:tc>
      </w:tr>
      <w:tr w:rsidR="00B03921" w:rsidRPr="00317A11" w:rsidTr="00016914">
        <w:tc>
          <w:tcPr>
            <w:tcW w:w="3377" w:type="dxa"/>
            <w:tcBorders>
              <w:top w:val="single" w:sz="6" w:space="0" w:color="auto"/>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 xml:space="preserve"> </w:t>
            </w:r>
          </w:p>
        </w:tc>
        <w:tc>
          <w:tcPr>
            <w:tcW w:w="1176"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(17 717 187)</w:t>
            </w:r>
          </w:p>
        </w:tc>
        <w:tc>
          <w:tcPr>
            <w:tcW w:w="1175"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(16 267 851)</w:t>
            </w:r>
          </w:p>
        </w:tc>
        <w:tc>
          <w:tcPr>
            <w:tcW w:w="1176" w:type="dxa"/>
            <w:tcBorders>
              <w:top w:val="single" w:sz="6" w:space="0" w:color="auto"/>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(16 822 697)</w:t>
            </w:r>
          </w:p>
        </w:tc>
        <w:tc>
          <w:tcPr>
            <w:tcW w:w="856" w:type="dxa"/>
            <w:tcBorders>
              <w:top w:val="single" w:sz="6" w:space="0" w:color="auto"/>
              <w:left w:val="nil"/>
              <w:bottom w:val="nil"/>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 xml:space="preserve"> (5.0)</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b/>
                <w:bCs/>
                <w:sz w:val="19"/>
                <w:lang w:eastAsia="en-AU"/>
              </w:rPr>
            </w:pPr>
            <w:r w:rsidRPr="00317A11">
              <w:rPr>
                <w:rFonts w:eastAsiaTheme="minorEastAsia"/>
                <w:b/>
                <w:bCs/>
                <w:sz w:val="19"/>
                <w:lang w:eastAsia="en-AU"/>
              </w:rPr>
              <w:t>Net cash flows from operating activities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 xml:space="preserve"> 378 568</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 xml:space="preserve"> 563 050</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 xml:space="preserve"> 409 356</w:t>
            </w:r>
          </w:p>
        </w:tc>
        <w:tc>
          <w:tcPr>
            <w:tcW w:w="856" w:type="dxa"/>
            <w:tcBorders>
              <w:top w:val="nil"/>
              <w:left w:val="nil"/>
              <w:bottom w:val="nil"/>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8.1</w:t>
            </w:r>
          </w:p>
        </w:tc>
      </w:tr>
      <w:tr w:rsidR="00657F04" w:rsidRPr="00317A11" w:rsidTr="00423972">
        <w:tc>
          <w:tcPr>
            <w:tcW w:w="7760" w:type="dxa"/>
            <w:gridSpan w:val="5"/>
            <w:tcBorders>
              <w:top w:val="nil"/>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Cash flows from investing activities</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 xml:space="preserve">Purchases of non-financial assets </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(27 632)</w:t>
            </w:r>
          </w:p>
        </w:tc>
        <w:tc>
          <w:tcPr>
            <w:tcW w:w="1175"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(30 436)</w:t>
            </w:r>
          </w:p>
        </w:tc>
        <w:tc>
          <w:tcPr>
            <w:tcW w:w="1176" w:type="dxa"/>
            <w:tcBorders>
              <w:top w:val="nil"/>
              <w:left w:val="nil"/>
              <w:bottom w:val="nil"/>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(34 770)</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25.8</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Sales of non-financial assets</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33 875</w:t>
            </w:r>
          </w:p>
        </w:tc>
        <w:tc>
          <w:tcPr>
            <w:tcW w:w="1175"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34 700</w:t>
            </w:r>
          </w:p>
        </w:tc>
        <w:tc>
          <w:tcPr>
            <w:tcW w:w="117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 xml:space="preserve"> 36 200</w:t>
            </w:r>
          </w:p>
        </w:tc>
        <w:tc>
          <w:tcPr>
            <w:tcW w:w="856" w:type="dxa"/>
            <w:tcBorders>
              <w:top w:val="nil"/>
              <w:left w:val="nil"/>
              <w:bottom w:val="nil"/>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6.9</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Other investing activities</w:t>
            </w:r>
          </w:p>
        </w:tc>
        <w:tc>
          <w:tcPr>
            <w:tcW w:w="1176"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(71 988)</w:t>
            </w:r>
          </w:p>
        </w:tc>
        <w:tc>
          <w:tcPr>
            <w:tcW w:w="1175"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(66 022)</w:t>
            </w:r>
          </w:p>
        </w:tc>
        <w:tc>
          <w:tcPr>
            <w:tcW w:w="1176"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(82 791)</w:t>
            </w:r>
          </w:p>
        </w:tc>
        <w:tc>
          <w:tcPr>
            <w:tcW w:w="856" w:type="dxa"/>
            <w:tcBorders>
              <w:top w:val="nil"/>
              <w:left w:val="nil"/>
              <w:bottom w:val="single" w:sz="6" w:space="0" w:color="auto"/>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15.0</w:t>
            </w:r>
          </w:p>
        </w:tc>
      </w:tr>
      <w:tr w:rsidR="00B03921" w:rsidRPr="00317A11" w:rsidTr="00016914">
        <w:tc>
          <w:tcPr>
            <w:tcW w:w="3377" w:type="dxa"/>
            <w:tcBorders>
              <w:top w:val="single" w:sz="6" w:space="0" w:color="auto"/>
              <w:left w:val="nil"/>
              <w:bottom w:val="nil"/>
              <w:right w:val="nil"/>
            </w:tcBorders>
            <w:shd w:val="solid" w:color="FFFFFF" w:fill="auto"/>
          </w:tcPr>
          <w:p w:rsidR="00B03921" w:rsidRPr="00317A11" w:rsidRDefault="00B03921" w:rsidP="00016914">
            <w:pPr>
              <w:pStyle w:val="Tabletext"/>
              <w:rPr>
                <w:rFonts w:eastAsiaTheme="minorEastAsia"/>
                <w:b/>
                <w:bCs/>
                <w:sz w:val="19"/>
                <w:lang w:eastAsia="en-AU"/>
              </w:rPr>
            </w:pPr>
            <w:r w:rsidRPr="00317A11">
              <w:rPr>
                <w:rFonts w:eastAsiaTheme="minorEastAsia"/>
                <w:b/>
                <w:bCs/>
                <w:sz w:val="19"/>
                <w:lang w:eastAsia="en-AU"/>
              </w:rPr>
              <w:t>Net cash flows from investing activities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(65 744)</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(61 758)</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(81 361)</w:t>
            </w:r>
          </w:p>
        </w:tc>
        <w:tc>
          <w:tcPr>
            <w:tcW w:w="856" w:type="dxa"/>
            <w:tcBorders>
              <w:top w:val="nil"/>
              <w:left w:val="nil"/>
              <w:bottom w:val="nil"/>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23.8</w:t>
            </w:r>
          </w:p>
        </w:tc>
      </w:tr>
      <w:tr w:rsidR="00657F04" w:rsidRPr="00317A11" w:rsidTr="00423972">
        <w:tc>
          <w:tcPr>
            <w:tcW w:w="7760" w:type="dxa"/>
            <w:gridSpan w:val="5"/>
            <w:tcBorders>
              <w:top w:val="nil"/>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Cash flows from financing activities</w:t>
            </w:r>
          </w:p>
        </w:tc>
      </w:tr>
      <w:tr w:rsidR="00B03921" w:rsidRPr="00317A11" w:rsidTr="00016914">
        <w:tc>
          <w:tcPr>
            <w:tcW w:w="3377" w:type="dxa"/>
            <w:tcBorders>
              <w:top w:val="nil"/>
              <w:left w:val="nil"/>
              <w:bottom w:val="nil"/>
              <w:right w:val="nil"/>
            </w:tcBorders>
            <w:shd w:val="solid" w:color="FFFFFF" w:fill="auto"/>
          </w:tcPr>
          <w:p w:rsidR="00B03921" w:rsidRPr="00317A11" w:rsidRDefault="00B03921" w:rsidP="00016914">
            <w:pPr>
              <w:pStyle w:val="Tabletext"/>
              <w:rPr>
                <w:rFonts w:eastAsiaTheme="minorEastAsia"/>
                <w:sz w:val="19"/>
                <w:lang w:eastAsia="en-AU"/>
              </w:rPr>
            </w:pPr>
            <w:r w:rsidRPr="00317A11">
              <w:rPr>
                <w:rFonts w:eastAsiaTheme="minorEastAsia"/>
                <w:sz w:val="19"/>
                <w:lang w:eastAsia="en-AU"/>
              </w:rPr>
              <w:t>Net borrowings</w:t>
            </w:r>
          </w:p>
        </w:tc>
        <w:tc>
          <w:tcPr>
            <w:tcW w:w="1176"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(17 961)</w:t>
            </w:r>
          </w:p>
        </w:tc>
        <w:tc>
          <w:tcPr>
            <w:tcW w:w="1175"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(149 096)</w:t>
            </w:r>
          </w:p>
        </w:tc>
        <w:tc>
          <w:tcPr>
            <w:tcW w:w="1176" w:type="dxa"/>
            <w:tcBorders>
              <w:top w:val="nil"/>
              <w:left w:val="nil"/>
              <w:bottom w:val="single" w:sz="6" w:space="0" w:color="auto"/>
              <w:right w:val="nil"/>
            </w:tcBorders>
          </w:tcPr>
          <w:p w:rsidR="00B03921" w:rsidRPr="00317A11" w:rsidRDefault="00B03921" w:rsidP="00016914">
            <w:pPr>
              <w:pStyle w:val="TableofFigures"/>
              <w:rPr>
                <w:rFonts w:eastAsiaTheme="minorEastAsia" w:cs="Calibri"/>
                <w:color w:val="000000"/>
                <w:lang w:eastAsia="en-AU"/>
              </w:rPr>
            </w:pPr>
            <w:r>
              <w:rPr>
                <w:rFonts w:eastAsiaTheme="minorEastAsia"/>
                <w:sz w:val="19"/>
                <w:lang w:eastAsia="en-AU"/>
              </w:rPr>
              <w:t>(29 096)</w:t>
            </w:r>
          </w:p>
        </w:tc>
        <w:tc>
          <w:tcPr>
            <w:tcW w:w="856" w:type="dxa"/>
            <w:tcBorders>
              <w:top w:val="nil"/>
              <w:left w:val="nil"/>
              <w:bottom w:val="single" w:sz="6" w:space="0" w:color="auto"/>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62.0</w:t>
            </w:r>
          </w:p>
        </w:tc>
      </w:tr>
      <w:tr w:rsidR="00B03921" w:rsidRPr="00317A11" w:rsidTr="00016914">
        <w:tc>
          <w:tcPr>
            <w:tcW w:w="3377" w:type="dxa"/>
            <w:tcBorders>
              <w:top w:val="single" w:sz="6" w:space="0" w:color="auto"/>
              <w:left w:val="nil"/>
              <w:bottom w:val="nil"/>
              <w:right w:val="nil"/>
            </w:tcBorders>
            <w:shd w:val="solid" w:color="FFFFFF" w:fill="auto"/>
          </w:tcPr>
          <w:p w:rsidR="00B03921" w:rsidRPr="00317A11" w:rsidRDefault="00B03921" w:rsidP="00016914">
            <w:pPr>
              <w:pStyle w:val="Tabletext"/>
              <w:rPr>
                <w:rFonts w:eastAsiaTheme="minorEastAsia"/>
                <w:b/>
                <w:bCs/>
                <w:sz w:val="19"/>
                <w:lang w:eastAsia="en-AU"/>
              </w:rPr>
            </w:pPr>
            <w:r w:rsidRPr="00317A11">
              <w:rPr>
                <w:rFonts w:eastAsiaTheme="minorEastAsia"/>
                <w:b/>
                <w:bCs/>
                <w:sz w:val="19"/>
                <w:lang w:eastAsia="en-AU"/>
              </w:rPr>
              <w:t>Net cash flow from financing activities</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(17 961)</w:t>
            </w:r>
          </w:p>
        </w:tc>
        <w:tc>
          <w:tcPr>
            <w:tcW w:w="1175"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(149 096)</w:t>
            </w:r>
          </w:p>
        </w:tc>
        <w:tc>
          <w:tcPr>
            <w:tcW w:w="1176" w:type="dxa"/>
            <w:tcBorders>
              <w:top w:val="nil"/>
              <w:left w:val="nil"/>
              <w:bottom w:val="nil"/>
              <w:right w:val="nil"/>
            </w:tcBorders>
            <w:shd w:val="solid" w:color="FFFFFF" w:fill="auto"/>
          </w:tcPr>
          <w:p w:rsidR="00B03921" w:rsidRPr="00317A11" w:rsidRDefault="00B03921" w:rsidP="00016914">
            <w:pPr>
              <w:pStyle w:val="TableofFigures"/>
              <w:rPr>
                <w:rFonts w:eastAsiaTheme="minorEastAsia" w:cs="Calibri"/>
                <w:b/>
                <w:bCs/>
                <w:color w:val="000000"/>
                <w:lang w:eastAsia="en-AU"/>
              </w:rPr>
            </w:pPr>
            <w:r>
              <w:rPr>
                <w:rFonts w:eastAsiaTheme="minorEastAsia"/>
                <w:b/>
                <w:bCs/>
                <w:sz w:val="19"/>
                <w:lang w:eastAsia="en-AU"/>
              </w:rPr>
              <w:t>(29 096)</w:t>
            </w:r>
          </w:p>
        </w:tc>
        <w:tc>
          <w:tcPr>
            <w:tcW w:w="856" w:type="dxa"/>
            <w:tcBorders>
              <w:top w:val="nil"/>
              <w:left w:val="nil"/>
              <w:bottom w:val="nil"/>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62.0</w:t>
            </w:r>
          </w:p>
        </w:tc>
      </w:tr>
      <w:tr w:rsidR="00B03921" w:rsidRPr="00317A11" w:rsidTr="00016914">
        <w:tc>
          <w:tcPr>
            <w:tcW w:w="3377" w:type="dxa"/>
            <w:tcBorders>
              <w:top w:val="nil"/>
              <w:left w:val="nil"/>
              <w:bottom w:val="single" w:sz="12" w:space="0" w:color="auto"/>
              <w:right w:val="nil"/>
            </w:tcBorders>
            <w:shd w:val="solid" w:color="FFFFFF" w:fill="auto"/>
          </w:tcPr>
          <w:p w:rsidR="00B03921" w:rsidRPr="00317A11" w:rsidRDefault="00B03921" w:rsidP="00016914">
            <w:pPr>
              <w:pStyle w:val="Tabletext"/>
              <w:rPr>
                <w:rFonts w:eastAsiaTheme="minorEastAsia"/>
                <w:b/>
                <w:bCs/>
                <w:sz w:val="19"/>
                <w:lang w:eastAsia="en-AU"/>
              </w:rPr>
            </w:pPr>
            <w:r w:rsidRPr="00317A11">
              <w:rPr>
                <w:rFonts w:eastAsiaTheme="minorEastAsia"/>
                <w:b/>
                <w:bCs/>
                <w:sz w:val="19"/>
                <w:lang w:eastAsia="en-AU"/>
              </w:rPr>
              <w:t>Net cash inflow/(outflow)</w:t>
            </w:r>
          </w:p>
        </w:tc>
        <w:tc>
          <w:tcPr>
            <w:tcW w:w="1176" w:type="dxa"/>
            <w:tcBorders>
              <w:top w:val="nil"/>
              <w:left w:val="nil"/>
              <w:bottom w:val="single" w:sz="12" w:space="0" w:color="auto"/>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294 863</w:t>
            </w:r>
          </w:p>
        </w:tc>
        <w:tc>
          <w:tcPr>
            <w:tcW w:w="1175" w:type="dxa"/>
            <w:tcBorders>
              <w:top w:val="nil"/>
              <w:left w:val="nil"/>
              <w:bottom w:val="single" w:sz="12" w:space="0" w:color="auto"/>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352 196</w:t>
            </w:r>
          </w:p>
        </w:tc>
        <w:tc>
          <w:tcPr>
            <w:tcW w:w="1176" w:type="dxa"/>
            <w:tcBorders>
              <w:top w:val="nil"/>
              <w:left w:val="nil"/>
              <w:bottom w:val="single" w:sz="12" w:space="0" w:color="auto"/>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298 899</w:t>
            </w:r>
          </w:p>
        </w:tc>
        <w:tc>
          <w:tcPr>
            <w:tcW w:w="856" w:type="dxa"/>
            <w:tcBorders>
              <w:top w:val="nil"/>
              <w:left w:val="nil"/>
              <w:bottom w:val="single" w:sz="12" w:space="0" w:color="auto"/>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1.4</w:t>
            </w:r>
          </w:p>
        </w:tc>
      </w:tr>
      <w:tr w:rsidR="00657F04" w:rsidRPr="00317A11" w:rsidTr="00423972">
        <w:tc>
          <w:tcPr>
            <w:tcW w:w="7760" w:type="dxa"/>
            <w:gridSpan w:val="5"/>
            <w:tcBorders>
              <w:top w:val="nil"/>
              <w:left w:val="nil"/>
              <w:bottom w:val="nil"/>
              <w:right w:val="nil"/>
            </w:tcBorders>
            <w:shd w:val="solid" w:color="FFFFFF" w:fill="auto"/>
          </w:tcPr>
          <w:p w:rsidR="00657F04" w:rsidRPr="00317A11" w:rsidRDefault="00657F04" w:rsidP="00657F04">
            <w:pPr>
              <w:pStyle w:val="Tabletext"/>
              <w:rPr>
                <w:rFonts w:eastAsiaTheme="minorEastAsia"/>
                <w:b/>
                <w:sz w:val="19"/>
                <w:lang w:eastAsia="en-AU"/>
              </w:rPr>
            </w:pPr>
            <w:r w:rsidRPr="00317A11">
              <w:rPr>
                <w:rFonts w:eastAsiaTheme="minorEastAsia"/>
                <w:b/>
                <w:bCs/>
                <w:sz w:val="19"/>
                <w:lang w:eastAsia="en-AU"/>
              </w:rPr>
              <w:t>Represented by:</w:t>
            </w:r>
          </w:p>
        </w:tc>
      </w:tr>
      <w:tr w:rsidR="00B03921" w:rsidRPr="00317A11" w:rsidTr="00016914">
        <w:tc>
          <w:tcPr>
            <w:tcW w:w="3377" w:type="dxa"/>
            <w:tcBorders>
              <w:top w:val="nil"/>
              <w:left w:val="nil"/>
              <w:bottom w:val="single" w:sz="6" w:space="0" w:color="auto"/>
              <w:right w:val="nil"/>
            </w:tcBorders>
            <w:shd w:val="solid" w:color="FFFFFF" w:fill="auto"/>
          </w:tcPr>
          <w:p w:rsidR="00B03921" w:rsidRPr="00317A11" w:rsidRDefault="00B03921" w:rsidP="00016914">
            <w:pPr>
              <w:pStyle w:val="Tabletext"/>
              <w:rPr>
                <w:rFonts w:eastAsiaTheme="minorEastAsia"/>
                <w:sz w:val="19"/>
                <w:vertAlign w:val="superscript"/>
                <w:lang w:eastAsia="en-AU"/>
              </w:rPr>
            </w:pPr>
            <w:r w:rsidRPr="00317A11">
              <w:rPr>
                <w:rFonts w:eastAsiaTheme="minorEastAsia"/>
                <w:sz w:val="19"/>
                <w:lang w:eastAsia="en-AU"/>
              </w:rPr>
              <w:t xml:space="preserve">Cash and cash equivalent held at beginning of reporting period </w:t>
            </w:r>
            <w:r w:rsidRPr="00317A11">
              <w:rPr>
                <w:rFonts w:eastAsiaTheme="minorEastAsia"/>
                <w:sz w:val="19"/>
                <w:vertAlign w:val="superscript"/>
                <w:lang w:eastAsia="en-AU"/>
              </w:rPr>
              <w:t>(a)</w:t>
            </w:r>
          </w:p>
        </w:tc>
        <w:tc>
          <w:tcPr>
            <w:tcW w:w="1176" w:type="dxa"/>
            <w:tcBorders>
              <w:top w:val="nil"/>
              <w:left w:val="nil"/>
              <w:bottom w:val="single" w:sz="6" w:space="0" w:color="auto"/>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2 924 486</w:t>
            </w:r>
          </w:p>
        </w:tc>
        <w:tc>
          <w:tcPr>
            <w:tcW w:w="1175" w:type="dxa"/>
            <w:tcBorders>
              <w:top w:val="nil"/>
              <w:left w:val="nil"/>
              <w:bottom w:val="single" w:sz="6" w:space="0" w:color="auto"/>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2 924 486</w:t>
            </w:r>
          </w:p>
        </w:tc>
        <w:tc>
          <w:tcPr>
            <w:tcW w:w="1176" w:type="dxa"/>
            <w:tcBorders>
              <w:top w:val="nil"/>
              <w:left w:val="nil"/>
              <w:bottom w:val="single" w:sz="6" w:space="0" w:color="auto"/>
              <w:right w:val="nil"/>
            </w:tcBorders>
            <w:shd w:val="solid" w:color="FFFFFF" w:fill="auto"/>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3 276 682</w:t>
            </w:r>
          </w:p>
        </w:tc>
        <w:tc>
          <w:tcPr>
            <w:tcW w:w="856" w:type="dxa"/>
            <w:tcBorders>
              <w:top w:val="nil"/>
              <w:left w:val="nil"/>
              <w:bottom w:val="single" w:sz="6" w:space="0" w:color="auto"/>
              <w:right w:val="nil"/>
            </w:tcBorders>
          </w:tcPr>
          <w:p w:rsidR="00B03921" w:rsidRPr="00317A11" w:rsidRDefault="00B03921" w:rsidP="00016914">
            <w:pPr>
              <w:pStyle w:val="TableofFigures"/>
              <w:rPr>
                <w:rFonts w:eastAsiaTheme="minorEastAsia"/>
                <w:sz w:val="19"/>
                <w:lang w:eastAsia="en-AU"/>
              </w:rPr>
            </w:pPr>
            <w:r w:rsidRPr="00317A11">
              <w:rPr>
                <w:rFonts w:eastAsiaTheme="minorEastAsia"/>
                <w:sz w:val="19"/>
                <w:lang w:eastAsia="en-AU"/>
              </w:rPr>
              <w:t>12.0</w:t>
            </w:r>
          </w:p>
        </w:tc>
      </w:tr>
      <w:tr w:rsidR="00B03921" w:rsidRPr="00317A11" w:rsidTr="00016914">
        <w:tc>
          <w:tcPr>
            <w:tcW w:w="3377" w:type="dxa"/>
            <w:tcBorders>
              <w:top w:val="single" w:sz="6" w:space="0" w:color="auto"/>
              <w:left w:val="nil"/>
              <w:bottom w:val="single" w:sz="12" w:space="0" w:color="000000"/>
              <w:right w:val="nil"/>
            </w:tcBorders>
            <w:shd w:val="solid" w:color="FFFFFF" w:fill="auto"/>
          </w:tcPr>
          <w:p w:rsidR="00B03921" w:rsidRPr="00317A11" w:rsidRDefault="00B03921" w:rsidP="00016914">
            <w:pPr>
              <w:pStyle w:val="Tabletext"/>
              <w:rPr>
                <w:rFonts w:eastAsiaTheme="minorEastAsia"/>
                <w:b/>
                <w:bCs/>
                <w:sz w:val="19"/>
                <w:lang w:eastAsia="en-AU"/>
              </w:rPr>
            </w:pPr>
            <w:r w:rsidRPr="00317A11">
              <w:rPr>
                <w:rFonts w:eastAsiaTheme="minorEastAsia"/>
                <w:b/>
                <w:bCs/>
                <w:sz w:val="19"/>
                <w:lang w:eastAsia="en-AU"/>
              </w:rPr>
              <w:t>Cash and deposits held at end year</w:t>
            </w:r>
          </w:p>
        </w:tc>
        <w:tc>
          <w:tcPr>
            <w:tcW w:w="1176" w:type="dxa"/>
            <w:tcBorders>
              <w:top w:val="single" w:sz="6" w:space="0" w:color="auto"/>
              <w:left w:val="nil"/>
              <w:bottom w:val="single" w:sz="12" w:space="0" w:color="000000"/>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3 219 349</w:t>
            </w:r>
          </w:p>
        </w:tc>
        <w:tc>
          <w:tcPr>
            <w:tcW w:w="1175" w:type="dxa"/>
            <w:tcBorders>
              <w:top w:val="single" w:sz="6" w:space="0" w:color="auto"/>
              <w:left w:val="nil"/>
              <w:bottom w:val="single" w:sz="12" w:space="0" w:color="000000"/>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3 276 682</w:t>
            </w:r>
          </w:p>
        </w:tc>
        <w:tc>
          <w:tcPr>
            <w:tcW w:w="1176" w:type="dxa"/>
            <w:tcBorders>
              <w:top w:val="single" w:sz="6" w:space="0" w:color="auto"/>
              <w:left w:val="nil"/>
              <w:bottom w:val="single" w:sz="12" w:space="0" w:color="000000"/>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3 575 581</w:t>
            </w:r>
          </w:p>
        </w:tc>
        <w:tc>
          <w:tcPr>
            <w:tcW w:w="856" w:type="dxa"/>
            <w:tcBorders>
              <w:top w:val="single" w:sz="6" w:space="0" w:color="auto"/>
              <w:left w:val="nil"/>
              <w:bottom w:val="single" w:sz="12" w:space="0" w:color="000000"/>
              <w:right w:val="nil"/>
            </w:tcBorders>
          </w:tcPr>
          <w:p w:rsidR="00B03921" w:rsidRPr="00317A11" w:rsidRDefault="00B03921" w:rsidP="00016914">
            <w:pPr>
              <w:pStyle w:val="TableofFigures"/>
              <w:rPr>
                <w:rFonts w:eastAsiaTheme="minorEastAsia"/>
                <w:b/>
                <w:bCs/>
                <w:sz w:val="19"/>
                <w:lang w:eastAsia="en-AU"/>
              </w:rPr>
            </w:pPr>
            <w:r w:rsidRPr="00317A11">
              <w:rPr>
                <w:rFonts w:eastAsiaTheme="minorEastAsia"/>
                <w:b/>
                <w:bCs/>
                <w:sz w:val="19"/>
                <w:lang w:eastAsia="en-AU"/>
              </w:rPr>
              <w:t>11.1</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Default="00B03921" w:rsidP="00016914">
      <w:pPr>
        <w:pStyle w:val="Notes"/>
      </w:pPr>
      <w:r>
        <w:t xml:space="preserve">(a) </w:t>
      </w:r>
      <w:r>
        <w:tab/>
        <w:t xml:space="preserve">The opening balance of cash and deposits for the </w:t>
      </w:r>
      <w:r w:rsidRPr="00BF1A3A">
        <w:rPr>
          <w:i w:val="0"/>
        </w:rPr>
        <w:t>2015</w:t>
      </w:r>
      <w:r>
        <w:rPr>
          <w:i w:val="0"/>
        </w:rPr>
        <w:noBreakHyphen/>
      </w:r>
      <w:r w:rsidRPr="00BF1A3A">
        <w:rPr>
          <w:i w:val="0"/>
        </w:rPr>
        <w:t>16 Budget</w:t>
      </w:r>
      <w:r>
        <w:t xml:space="preserve"> is based on the 2014</w:t>
      </w:r>
      <w:r>
        <w:noBreakHyphen/>
        <w:t>15 actual opening balance plus the estimated movements for the 2014</w:t>
      </w:r>
      <w:r>
        <w:noBreakHyphen/>
        <w:t>15 revised budget.</w:t>
      </w:r>
    </w:p>
    <w:p w:rsidR="00B03921" w:rsidRDefault="00B03921" w:rsidP="00016914"/>
    <w:p w:rsidR="00B03921" w:rsidRDefault="00B03921" w:rsidP="00D22EC9">
      <w:pPr>
        <w:sectPr w:rsidR="00B03921" w:rsidSect="00D22EC9">
          <w:footerReference w:type="even" r:id="rId88"/>
          <w:footerReference w:type="default" r:id="rId89"/>
          <w:type w:val="oddPage"/>
          <w:pgSz w:w="9979" w:h="14175" w:code="34"/>
          <w:pgMar w:top="1140" w:right="1140" w:bottom="1140" w:left="1140" w:header="720" w:footer="431" w:gutter="0"/>
          <w:cols w:space="708"/>
          <w:docGrid w:linePitch="360"/>
        </w:sectPr>
      </w:pPr>
    </w:p>
    <w:p w:rsidR="00B03921" w:rsidRPr="00982BD9" w:rsidRDefault="00B03921" w:rsidP="00016914">
      <w:pPr>
        <w:pStyle w:val="ChapterHeading"/>
      </w:pPr>
      <w:bookmarkStart w:id="147" w:name="_Toc418274782"/>
      <w:r>
        <w:t>Appendix B</w:t>
      </w:r>
      <w:r w:rsidRPr="0051682B">
        <w:t xml:space="preserve"> – </w:t>
      </w:r>
      <w:r w:rsidRPr="004E094A">
        <w:rPr>
          <w:i/>
        </w:rPr>
        <w:t>2014-15 Budget</w:t>
      </w:r>
      <w:r>
        <w:t xml:space="preserve"> outcome incorporating the financial report for the March quarter 2015</w:t>
      </w:r>
      <w:bookmarkEnd w:id="147"/>
    </w:p>
    <w:p w:rsidR="00B03921" w:rsidRDefault="00B03921" w:rsidP="00016914">
      <w:pPr>
        <w:pStyle w:val="BodyText"/>
      </w:pPr>
      <w:r>
        <w:t xml:space="preserve">This appendix provides estimates of the budget outcome for the 2014-15 financial year, taking into account government policy decisions and economic developments impacting on both income and expenses since the presentation of the </w:t>
      </w:r>
      <w:r w:rsidRPr="002D2055">
        <w:rPr>
          <w:i/>
        </w:rPr>
        <w:t>2014-15</w:t>
      </w:r>
      <w:r>
        <w:t xml:space="preserve"> </w:t>
      </w:r>
      <w:r w:rsidRPr="00982BD9">
        <w:rPr>
          <w:i/>
        </w:rPr>
        <w:t>Budget</w:t>
      </w:r>
      <w:r>
        <w:t xml:space="preserve"> to Parliament in May 2014. This appendix also presents the financial results for the general government sector for the nine months ended 31 March 2015, prepared consistent with the requirements of the </w:t>
      </w:r>
      <w:r w:rsidRPr="00982BD9">
        <w:rPr>
          <w:i/>
        </w:rPr>
        <w:t>Financial Management Act 1994</w:t>
      </w:r>
      <w:r>
        <w:rPr>
          <w:i/>
        </w:rPr>
        <w:t xml:space="preserve">. </w:t>
      </w:r>
    </w:p>
    <w:p w:rsidR="00B03921" w:rsidRDefault="00B03921" w:rsidP="00016914">
      <w:pPr>
        <w:pStyle w:val="Heading1"/>
      </w:pPr>
      <w:bookmarkStart w:id="148" w:name="_Toc418274783"/>
      <w:r>
        <w:t>Financial results for the general government sector</w:t>
      </w:r>
      <w:bookmarkEnd w:id="148"/>
    </w:p>
    <w:p w:rsidR="00B03921" w:rsidRPr="003D28B6" w:rsidRDefault="00B03921" w:rsidP="00016914">
      <w:pPr>
        <w:pStyle w:val="Heading2"/>
      </w:pPr>
      <w:r>
        <w:t>Revised 2014</w:t>
      </w:r>
      <w:r>
        <w:noBreakHyphen/>
        <w:t>15</w:t>
      </w:r>
      <w:r w:rsidRPr="003D28B6">
        <w:t xml:space="preserve"> budget outcome and result for the period to </w:t>
      </w:r>
      <w:r>
        <w:br/>
        <w:t>31 March 2015</w:t>
      </w:r>
    </w:p>
    <w:p w:rsidR="00B03921" w:rsidRPr="003D28B6" w:rsidRDefault="00B03921" w:rsidP="00016914">
      <w:r w:rsidRPr="003D28B6">
        <w:t xml:space="preserve">The comprehensive operating statement presented in Table B.1 incorporates the estimated operating outcome at the </w:t>
      </w:r>
      <w:r>
        <w:rPr>
          <w:i/>
        </w:rPr>
        <w:t>2014</w:t>
      </w:r>
      <w:r>
        <w:rPr>
          <w:i/>
        </w:rPr>
        <w:noBreakHyphen/>
        <w:t>15</w:t>
      </w:r>
      <w:r w:rsidRPr="003D28B6">
        <w:rPr>
          <w:i/>
        </w:rPr>
        <w:t xml:space="preserve"> Budget</w:t>
      </w:r>
      <w:r>
        <w:t>,</w:t>
      </w:r>
      <w:r w:rsidRPr="003D28B6">
        <w:t xml:space="preserve"> the revised estimated </w:t>
      </w:r>
      <w:r>
        <w:t xml:space="preserve">operating </w:t>
      </w:r>
      <w:r w:rsidRPr="003D28B6">
        <w:t xml:space="preserve">outcome </w:t>
      </w:r>
      <w:r>
        <w:t>for 2014</w:t>
      </w:r>
      <w:r>
        <w:noBreakHyphen/>
        <w:t>15, and the financial</w:t>
      </w:r>
      <w:r w:rsidRPr="003D28B6">
        <w:t xml:space="preserve"> results for the</w:t>
      </w:r>
      <w:r>
        <w:t xml:space="preserve"> nine months ended 31 March 2015</w:t>
      </w:r>
      <w:r w:rsidRPr="003D28B6">
        <w:t xml:space="preserve">. </w:t>
      </w:r>
    </w:p>
    <w:p w:rsidR="00B03921" w:rsidRDefault="00B03921" w:rsidP="00016914">
      <w:pPr>
        <w:pStyle w:val="BulletText"/>
        <w:numPr>
          <w:ilvl w:val="0"/>
          <w:numId w:val="0"/>
        </w:numPr>
      </w:pPr>
      <w:r w:rsidRPr="00165A6B">
        <w:t>The net result from transactions for 2014-15 is estimated at $883 million. For the nine months ended 31 March 2015, the general government sector reported a surplus of $1.9</w:t>
      </w:r>
      <w:r>
        <w:t> </w:t>
      </w:r>
      <w:r w:rsidRPr="00165A6B">
        <w:t>billion. The quarterly outcome is consistent with the full year estimate, taking account of the expected timing of revenues and expenses during the year.</w:t>
      </w:r>
    </w:p>
    <w:p w:rsidR="00B03921" w:rsidRDefault="00B03921">
      <w:pPr>
        <w:spacing w:after="0"/>
        <w:rPr>
          <w:rFonts w:ascii="Calibri" w:hAnsi="Calibri"/>
          <w:b/>
          <w:i/>
          <w:sz w:val="24"/>
          <w:szCs w:val="22"/>
        </w:rPr>
      </w:pPr>
      <w:bookmarkStart w:id="149" w:name="_Toc322940041"/>
      <w:bookmarkStart w:id="150" w:name="_Toc322940088"/>
      <w:bookmarkStart w:id="151" w:name="_Toc355351300"/>
      <w:bookmarkStart w:id="152" w:name="_Toc386190494"/>
      <w:bookmarkStart w:id="153" w:name="_Toc386208217"/>
      <w:bookmarkStart w:id="154" w:name="_Toc323335046"/>
      <w:bookmarkStart w:id="155" w:name="_Toc323338225"/>
      <w:bookmarkStart w:id="156" w:name="_Toc355269537"/>
      <w:bookmarkStart w:id="157" w:name="_Toc355351301"/>
      <w:bookmarkStart w:id="158" w:name="_Toc386190495"/>
      <w:bookmarkStart w:id="159" w:name="_Toc386208218"/>
      <w:bookmarkStart w:id="160" w:name="_Toc355351302"/>
      <w:bookmarkStart w:id="161" w:name="_Toc386190496"/>
      <w:bookmarkStart w:id="162" w:name="_Toc386208219"/>
      <w:bookmarkStart w:id="163" w:name="_Toc322940044"/>
      <w:bookmarkStart w:id="164" w:name="_Toc322940091"/>
      <w:bookmarkStart w:id="165" w:name="_Toc355351303"/>
      <w:bookmarkStart w:id="166" w:name="_Toc386190497"/>
      <w:bookmarkStart w:id="167" w:name="_Toc386208220"/>
      <w:bookmarkStart w:id="168" w:name="_Toc386190498"/>
      <w:bookmarkStart w:id="169" w:name="_Toc386208221"/>
      <w:bookmarkStart w:id="170" w:name="_Toc355351305"/>
      <w:bookmarkStart w:id="171" w:name="_Toc386190499"/>
      <w:bookmarkStart w:id="172" w:name="_Toc386208222"/>
      <w:bookmarkStart w:id="173" w:name="_Toc386190500"/>
      <w:bookmarkStart w:id="174" w:name="_Toc386208223"/>
      <w:bookmarkStart w:id="175" w:name="_Toc322940048"/>
      <w:bookmarkStart w:id="176" w:name="_Toc322940095"/>
      <w:bookmarkStart w:id="177" w:name="_Toc355351307"/>
      <w:bookmarkStart w:id="178" w:name="_Toc386190501"/>
      <w:bookmarkStart w:id="179" w:name="_Toc386208224"/>
      <w:bookmarkStart w:id="180" w:name="_Toc386190502"/>
      <w:bookmarkStart w:id="181" w:name="_Toc386208225"/>
      <w:bookmarkStart w:id="182" w:name="_Toc322940050"/>
      <w:bookmarkStart w:id="183" w:name="_Toc322940097"/>
      <w:bookmarkStart w:id="184" w:name="_Toc355351309"/>
      <w:bookmarkStart w:id="185" w:name="_Toc386190503"/>
      <w:bookmarkStart w:id="186" w:name="_Toc386208226"/>
      <w:bookmarkStart w:id="187" w:name="_Toc322940052"/>
      <w:bookmarkStart w:id="188" w:name="_Toc322940099"/>
      <w:bookmarkStart w:id="189" w:name="_Toc355351310"/>
      <w:bookmarkStart w:id="190" w:name="_Toc386190504"/>
      <w:bookmarkStart w:id="191" w:name="_Toc386208227"/>
      <w:bookmarkStart w:id="192" w:name="_Toc355351311"/>
      <w:bookmarkStart w:id="193" w:name="_Toc386190505"/>
      <w:bookmarkStart w:id="194" w:name="_Toc386208228"/>
      <w:bookmarkStart w:id="195" w:name="_Toc355351312"/>
      <w:bookmarkStart w:id="196" w:name="_Toc386190506"/>
      <w:bookmarkStart w:id="197" w:name="_Toc386208229"/>
      <w:bookmarkStart w:id="198" w:name="_Toc355351313"/>
      <w:bookmarkStart w:id="199" w:name="_Toc386190507"/>
      <w:bookmarkStart w:id="200" w:name="_Toc386208230"/>
      <w:bookmarkStart w:id="201" w:name="_Toc322940055"/>
      <w:bookmarkStart w:id="202" w:name="_Toc322940102"/>
      <w:bookmarkStart w:id="203" w:name="_Toc355351314"/>
      <w:bookmarkStart w:id="204" w:name="_Toc386190508"/>
      <w:bookmarkStart w:id="205" w:name="_Toc386208231"/>
      <w:bookmarkStart w:id="206" w:name="_Toc355351316"/>
      <w:bookmarkStart w:id="207" w:name="_Toc386190509"/>
      <w:bookmarkStart w:id="208" w:name="_Toc386208232"/>
      <w:r>
        <w:br w:type="page"/>
      </w:r>
    </w:p>
    <w:p w:rsidR="00B03921" w:rsidRDefault="00B03921" w:rsidP="00016914">
      <w:pPr>
        <w:pStyle w:val="Heading3"/>
      </w:pPr>
      <w:r w:rsidRPr="003D28B6">
        <w:t>Revenue from transactions</w:t>
      </w:r>
    </w:p>
    <w:p w:rsidR="00B03921" w:rsidRDefault="00B03921" w:rsidP="00016914">
      <w:r>
        <w:t>Total revenues for the period totalled $40.7 billion, representing 76 per cent of the revised budget expectation. The strong performance is primarily attributable to higher than expected taxation revenue related to the continued strength of the property market, and the receipt of Commonwealth grants ahead of pro-rata.</w:t>
      </w:r>
    </w:p>
    <w:p w:rsidR="00B03921" w:rsidRDefault="00B03921" w:rsidP="00016914">
      <w:pPr>
        <w:pStyle w:val="Heading3"/>
      </w:pPr>
      <w:r w:rsidRPr="003D28B6">
        <w:t>Expenses from transactions</w:t>
      </w:r>
    </w:p>
    <w:p w:rsidR="00B03921" w:rsidRDefault="00B03921" w:rsidP="00016914">
      <w:r w:rsidRPr="003D28B6">
        <w:t>Total expenses</w:t>
      </w:r>
      <w:r>
        <w:t xml:space="preserve"> from transactions were $38.9</w:t>
      </w:r>
      <w:r w:rsidRPr="003D28B6">
        <w:t xml:space="preserve"> billion and</w:t>
      </w:r>
      <w:r>
        <w:t xml:space="preserve"> at 74 per cent,</w:t>
      </w:r>
      <w:r w:rsidRPr="003D28B6">
        <w:t xml:space="preserve"> </w:t>
      </w:r>
      <w:r>
        <w:t xml:space="preserve">broadly </w:t>
      </w:r>
      <w:r w:rsidRPr="003D28B6">
        <w:t>in line with</w:t>
      </w:r>
      <w:r>
        <w:t xml:space="preserve"> the revised budget</w:t>
      </w:r>
      <w:r w:rsidRPr="003D28B6">
        <w:t xml:space="preserve">. Compared </w:t>
      </w:r>
      <w:r>
        <w:t>with</w:t>
      </w:r>
      <w:r w:rsidRPr="003D28B6">
        <w:t xml:space="preserve"> the same time last year, e</w:t>
      </w:r>
      <w:r>
        <w:t>xpenditure is higher by $</w:t>
      </w:r>
      <w:r w:rsidRPr="006722DA">
        <w:t>1.7</w:t>
      </w:r>
      <w:r>
        <w:t> </w:t>
      </w:r>
      <w:r w:rsidRPr="006722DA">
        <w:t>billion</w:t>
      </w:r>
      <w:r>
        <w:t xml:space="preserve"> (4.5 per cent) primarily due to increased service delivery in the health and education sectors, and increased grants on-passed to local government. </w:t>
      </w:r>
    </w:p>
    <w:p w:rsidR="00B03921" w:rsidRDefault="00B03921" w:rsidP="00016914">
      <w:pPr>
        <w:pStyle w:val="Heading3"/>
      </w:pPr>
      <w:r w:rsidRPr="003D28B6">
        <w:t xml:space="preserve">Other economic flows </w:t>
      </w:r>
    </w:p>
    <w:p w:rsidR="00B03921" w:rsidRPr="003D28B6" w:rsidRDefault="00B03921" w:rsidP="00016914">
      <w:pPr>
        <w:pStyle w:val="BodyText"/>
      </w:pPr>
      <w:r w:rsidRPr="003D28B6">
        <w:t>Other economic flows</w:t>
      </w:r>
      <w:r>
        <w:t xml:space="preserve"> – other comprehensive income</w:t>
      </w:r>
      <w:r w:rsidRPr="003D28B6">
        <w:t xml:space="preserve"> </w:t>
      </w:r>
      <w:r>
        <w:t>is</w:t>
      </w:r>
      <w:r w:rsidRPr="003D28B6">
        <w:t xml:space="preserve"> estim</w:t>
      </w:r>
      <w:r>
        <w:t>ated to be a loss of $5.2 billion for 2014-15. This primarily reflects an actuarial loss</w:t>
      </w:r>
      <w:r w:rsidRPr="003D28B6">
        <w:t xml:space="preserve"> on the State</w:t>
      </w:r>
      <w:r w:rsidR="00BA5A16">
        <w:t>’</w:t>
      </w:r>
      <w:r w:rsidRPr="003D28B6">
        <w:t>s defined benefit superannu</w:t>
      </w:r>
      <w:r>
        <w:t>ation plans. This actuarial loss</w:t>
      </w:r>
      <w:r w:rsidRPr="003D28B6">
        <w:t xml:space="preserve"> is primarily attributable to </w:t>
      </w:r>
      <w:r>
        <w:t>un</w:t>
      </w:r>
      <w:r w:rsidRPr="003D28B6">
        <w:t>favourable movements in the</w:t>
      </w:r>
      <w:r>
        <w:t xml:space="preserve"> Commonwealth</w:t>
      </w:r>
      <w:r w:rsidRPr="003D28B6">
        <w:t xml:space="preserve"> bond rates that </w:t>
      </w:r>
      <w:r>
        <w:t>underlie the key superannuation valuation assumptions.</w:t>
      </w:r>
      <w:r w:rsidRPr="003D28B6">
        <w:t xml:space="preserve"> </w:t>
      </w:r>
    </w:p>
    <w:p w:rsidR="00B03921" w:rsidRDefault="00B03921" w:rsidP="00016914">
      <w:pPr>
        <w:pStyle w:val="BodyText"/>
      </w:pPr>
      <w:r w:rsidRPr="003D28B6">
        <w:t xml:space="preserve">It is important to note that movements </w:t>
      </w:r>
      <w:r>
        <w:t xml:space="preserve">in the superannuation liability </w:t>
      </w:r>
      <w:r w:rsidRPr="003D28B6">
        <w:t xml:space="preserve">associated with </w:t>
      </w:r>
      <w:r>
        <w:t xml:space="preserve">Commonwealth </w:t>
      </w:r>
      <w:r w:rsidRPr="003D28B6">
        <w:t>bond rate fluctuations arise solely due to the application of Australian Accounting Standards and do not affect the amount of cash required to f</w:t>
      </w:r>
      <w:r>
        <w:t xml:space="preserve">und the liability over time. </w:t>
      </w:r>
    </w:p>
    <w:p w:rsidR="00B03921" w:rsidRDefault="00B03921" w:rsidP="00016914">
      <w:pPr>
        <w:pStyle w:val="Heading2"/>
      </w:pPr>
      <w:r w:rsidRPr="003D28B6">
        <w:t>Balance sheet</w:t>
      </w:r>
    </w:p>
    <w:p w:rsidR="00B03921" w:rsidRPr="00BE1683" w:rsidRDefault="00B03921" w:rsidP="00016914">
      <w:r w:rsidRPr="003D28B6">
        <w:t>The balance sheet presented in Table B.2 shows that net</w:t>
      </w:r>
      <w:r>
        <w:t xml:space="preserve"> assets totalled $124.8 billion at 31 March 2015, reflecting a decrease of $3.7 billion from 30 June 2014. This is primarily due to an in</w:t>
      </w:r>
      <w:r w:rsidRPr="003D28B6">
        <w:t>c</w:t>
      </w:r>
      <w:r>
        <w:t>rease in the superannuation liability associated with the earlier mentioned actuarial losses</w:t>
      </w:r>
      <w:r w:rsidRPr="003D28B6">
        <w:t xml:space="preserve"> on the State</w:t>
      </w:r>
      <w:r w:rsidR="00BA5A16">
        <w:t>’</w:t>
      </w:r>
      <w:r w:rsidRPr="003D28B6">
        <w:t>s defined benefit superan</w:t>
      </w:r>
      <w:r>
        <w:t>nuation plan liabilities, since 30 June 2014. This has been partially offset by an increase in total assets mainly in receivables, including land tax following the issuing of the annual land tax assessments in the March quarter.</w:t>
      </w:r>
    </w:p>
    <w:p w:rsidR="00B03921" w:rsidRPr="00D13122" w:rsidRDefault="00B03921" w:rsidP="00016914">
      <w:pPr>
        <w:pStyle w:val="Heading2"/>
        <w:rPr>
          <w:rStyle w:val="ChartParaChar"/>
        </w:rPr>
      </w:pPr>
      <w:r w:rsidRPr="003D28B6">
        <w:t>Cash flow statement</w:t>
      </w:r>
    </w:p>
    <w:p w:rsidR="00B03921" w:rsidRPr="000C056D" w:rsidRDefault="00B03921" w:rsidP="00016914">
      <w:r w:rsidRPr="003D28B6">
        <w:rPr>
          <w:rStyle w:val="ChartParaChar"/>
        </w:rPr>
        <w:t xml:space="preserve">Movements in cash flows from operations shown in Table B.3 are consistent with the factors impacting on the operating statement, primarily driven by an increase in taxes and Commonwealth grants received. </w:t>
      </w:r>
      <w:r>
        <w:rPr>
          <w:rStyle w:val="ChartParaChar"/>
        </w:rPr>
        <w:t xml:space="preserve"> </w:t>
      </w:r>
    </w:p>
    <w:p w:rsidR="00B03921" w:rsidRDefault="00B03921">
      <w:pPr>
        <w:spacing w:after="0"/>
        <w:rPr>
          <w:rFonts w:ascii="Calibri" w:hAnsi="Calibri"/>
          <w:b/>
          <w:i/>
          <w:sz w:val="24"/>
          <w:szCs w:val="22"/>
        </w:rPr>
      </w:pPr>
      <w:r>
        <w:br w:type="page"/>
      </w:r>
    </w:p>
    <w:p w:rsidR="00B03921" w:rsidRPr="003D28B6" w:rsidRDefault="00B03921" w:rsidP="00016914">
      <w:pPr>
        <w:pStyle w:val="Heading3"/>
      </w:pPr>
      <w:r w:rsidRPr="003D28B6">
        <w:t>Infrastructure investment</w:t>
      </w:r>
    </w:p>
    <w:p w:rsidR="00B03921" w:rsidRDefault="00B03921" w:rsidP="00016914">
      <w:r>
        <w:t>The Government infrastructure investment program in 2014-15 which includes capital purchases by the general government sector and contributions by the general government sector to other sectors of government for capital purposes, is now estimated to total $</w:t>
      </w:r>
      <w:r w:rsidRPr="006722DA">
        <w:t>4.</w:t>
      </w:r>
      <w:r>
        <w:t>4 billion for 2014-15.</w:t>
      </w:r>
    </w:p>
    <w:p w:rsidR="00B03921" w:rsidRDefault="00B03921">
      <w:pPr>
        <w:spacing w:after="0"/>
      </w:pPr>
      <w:r>
        <w:t>For the year to 31 March 2015, net infrastructure investment totalled $2.8 billion, mainly reflecting investment in the transport, education and health sectors.</w:t>
      </w:r>
    </w:p>
    <w:p w:rsidR="00B03921" w:rsidRDefault="00B03921">
      <w:pPr>
        <w:spacing w:after="0"/>
      </w:pPr>
    </w:p>
    <w:p w:rsidR="00B03921" w:rsidRPr="000F6A2A" w:rsidRDefault="00B03921" w:rsidP="00016914">
      <w:pPr>
        <w:shd w:val="pct10" w:color="auto" w:fill="auto"/>
        <w:autoSpaceDE w:val="0"/>
        <w:autoSpaceDN w:val="0"/>
        <w:adjustRightInd w:val="0"/>
        <w:rPr>
          <w:rFonts w:ascii="Calibri" w:hAnsi="Calibri"/>
          <w:b/>
          <w:sz w:val="24"/>
          <w:szCs w:val="24"/>
        </w:rPr>
      </w:pPr>
      <w:r w:rsidRPr="000F6A2A">
        <w:rPr>
          <w:rFonts w:ascii="Calibri" w:hAnsi="Calibri"/>
          <w:b/>
          <w:sz w:val="24"/>
          <w:szCs w:val="24"/>
        </w:rPr>
        <w:t>The Government</w:t>
      </w:r>
      <w:r w:rsidR="00BA5A16">
        <w:rPr>
          <w:rFonts w:ascii="Calibri" w:hAnsi="Calibri"/>
          <w:b/>
          <w:sz w:val="24"/>
          <w:szCs w:val="24"/>
        </w:rPr>
        <w:t>’</w:t>
      </w:r>
      <w:r w:rsidRPr="000F6A2A">
        <w:rPr>
          <w:rFonts w:ascii="Calibri" w:hAnsi="Calibri"/>
          <w:b/>
          <w:sz w:val="24"/>
          <w:szCs w:val="24"/>
        </w:rPr>
        <w:t>s infrastructure scorecard to 31 March 2015</w:t>
      </w:r>
    </w:p>
    <w:p w:rsidR="00B03921" w:rsidRPr="000F6A2A" w:rsidRDefault="00B03921" w:rsidP="00016914">
      <w:pPr>
        <w:shd w:val="pct10" w:color="auto" w:fill="auto"/>
        <w:autoSpaceDE w:val="0"/>
        <w:autoSpaceDN w:val="0"/>
        <w:adjustRightInd w:val="0"/>
        <w:rPr>
          <w:rFonts w:cs="Garamond"/>
          <w:szCs w:val="22"/>
          <w:lang w:eastAsia="en-AU"/>
        </w:rPr>
      </w:pPr>
      <w:r w:rsidRPr="000F6A2A">
        <w:rPr>
          <w:rFonts w:cs="Garamond"/>
          <w:szCs w:val="22"/>
          <w:lang w:eastAsia="en-AU"/>
        </w:rPr>
        <w:t>Major projects completed so far this year include:</w:t>
      </w:r>
    </w:p>
    <w:p w:rsidR="00B03921" w:rsidRPr="000F6A2A" w:rsidRDefault="00B03921" w:rsidP="00016914">
      <w:pPr>
        <w:pStyle w:val="BulletText"/>
        <w:shd w:val="pct10" w:color="auto" w:fill="auto"/>
        <w:rPr>
          <w:lang w:eastAsia="en-AU"/>
        </w:rPr>
      </w:pPr>
      <w:r w:rsidRPr="000F6A2A">
        <w:rPr>
          <w:lang w:eastAsia="en-AU"/>
        </w:rPr>
        <w:t>M80 upgrade</w:t>
      </w:r>
      <w:r w:rsidR="00B9245A">
        <w:rPr>
          <w:lang w:eastAsia="en-AU"/>
        </w:rPr>
        <w:t xml:space="preserve"> (Edgars Road to Plenty Road)</w:t>
      </w:r>
      <w:r>
        <w:rPr>
          <w:lang w:eastAsia="en-AU"/>
        </w:rPr>
        <w:t>;</w:t>
      </w:r>
    </w:p>
    <w:p w:rsidR="00B03921" w:rsidRPr="000F6A2A" w:rsidRDefault="00B03921" w:rsidP="00016914">
      <w:pPr>
        <w:pStyle w:val="BulletText"/>
        <w:shd w:val="pct10" w:color="auto" w:fill="auto"/>
        <w:rPr>
          <w:lang w:eastAsia="en-AU"/>
        </w:rPr>
      </w:pPr>
      <w:r>
        <w:rPr>
          <w:lang w:eastAsia="en-AU"/>
        </w:rPr>
        <w:t>State Coronial Services; and</w:t>
      </w:r>
    </w:p>
    <w:p w:rsidR="00B03921" w:rsidRPr="000F6A2A" w:rsidRDefault="00B03921" w:rsidP="00016914">
      <w:pPr>
        <w:pStyle w:val="BulletText"/>
        <w:shd w:val="pct10" w:color="auto" w:fill="auto"/>
        <w:spacing w:after="60"/>
        <w:ind w:left="357" w:hanging="357"/>
        <w:rPr>
          <w:lang w:eastAsia="en-AU"/>
        </w:rPr>
      </w:pPr>
      <w:r>
        <w:rPr>
          <w:lang w:eastAsia="en-AU"/>
        </w:rPr>
        <w:t>Shrine of Remembrance.</w:t>
      </w:r>
    </w:p>
    <w:p w:rsidR="00B03921" w:rsidRPr="000F6A2A" w:rsidRDefault="00B03921" w:rsidP="00016914">
      <w:pPr>
        <w:shd w:val="pct10" w:color="auto" w:fill="auto"/>
        <w:autoSpaceDE w:val="0"/>
        <w:autoSpaceDN w:val="0"/>
        <w:adjustRightInd w:val="0"/>
        <w:spacing w:after="0"/>
        <w:rPr>
          <w:rFonts w:ascii="Calibri" w:hAnsi="Calibri"/>
          <w:b/>
          <w:sz w:val="24"/>
          <w:szCs w:val="24"/>
        </w:rPr>
      </w:pPr>
    </w:p>
    <w:p w:rsidR="00B03921" w:rsidRPr="000F6A2A" w:rsidRDefault="00B03921" w:rsidP="00016914">
      <w:pPr>
        <w:shd w:val="pct10" w:color="auto" w:fill="auto"/>
        <w:autoSpaceDE w:val="0"/>
        <w:autoSpaceDN w:val="0"/>
        <w:adjustRightInd w:val="0"/>
        <w:rPr>
          <w:rFonts w:cs="Garamond"/>
          <w:szCs w:val="22"/>
          <w:lang w:eastAsia="en-AU"/>
        </w:rPr>
      </w:pPr>
      <w:r w:rsidRPr="000F6A2A">
        <w:rPr>
          <w:rFonts w:cs="Garamond"/>
          <w:szCs w:val="22"/>
          <w:lang w:eastAsia="en-AU"/>
        </w:rPr>
        <w:t>Major projects in progress include:</w:t>
      </w:r>
    </w:p>
    <w:p w:rsidR="00B03921" w:rsidRPr="000F6A2A" w:rsidRDefault="00B03921" w:rsidP="00016914">
      <w:pPr>
        <w:pStyle w:val="BulletText"/>
        <w:shd w:val="pct10" w:color="auto" w:fill="auto"/>
        <w:rPr>
          <w:lang w:eastAsia="en-AU"/>
        </w:rPr>
      </w:pPr>
      <w:r>
        <w:rPr>
          <w:lang w:eastAsia="en-AU"/>
        </w:rPr>
        <w:t xml:space="preserve">New </w:t>
      </w:r>
      <w:r w:rsidRPr="000F6A2A">
        <w:rPr>
          <w:lang w:eastAsia="en-AU"/>
        </w:rPr>
        <w:t>Bendigo Hospital;</w:t>
      </w:r>
    </w:p>
    <w:p w:rsidR="00B03921" w:rsidRPr="000F6A2A" w:rsidRDefault="00B03921" w:rsidP="00016914">
      <w:pPr>
        <w:pStyle w:val="BulletText"/>
        <w:shd w:val="pct10" w:color="auto" w:fill="auto"/>
        <w:rPr>
          <w:lang w:eastAsia="en-AU"/>
        </w:rPr>
      </w:pPr>
      <w:r w:rsidRPr="000F6A2A">
        <w:rPr>
          <w:lang w:eastAsia="en-AU"/>
        </w:rPr>
        <w:t>Box Hill Hospital;</w:t>
      </w:r>
    </w:p>
    <w:p w:rsidR="00B03921" w:rsidRPr="000F6A2A" w:rsidRDefault="00B03921" w:rsidP="00016914">
      <w:pPr>
        <w:pStyle w:val="BulletText"/>
        <w:shd w:val="pct10" w:color="auto" w:fill="auto"/>
        <w:rPr>
          <w:lang w:eastAsia="en-AU"/>
        </w:rPr>
      </w:pPr>
      <w:r w:rsidRPr="000F6A2A">
        <w:rPr>
          <w:lang w:eastAsia="en-AU"/>
        </w:rPr>
        <w:t>Geelong Hospital upgrade;</w:t>
      </w:r>
    </w:p>
    <w:p w:rsidR="00B03921" w:rsidRPr="000F6A2A" w:rsidRDefault="00B03921" w:rsidP="00016914">
      <w:pPr>
        <w:pStyle w:val="BulletText"/>
        <w:shd w:val="pct10" w:color="auto" w:fill="auto"/>
        <w:rPr>
          <w:lang w:eastAsia="en-AU"/>
        </w:rPr>
      </w:pPr>
      <w:r w:rsidRPr="000F6A2A">
        <w:rPr>
          <w:lang w:eastAsia="en-AU"/>
        </w:rPr>
        <w:t>Koo Wee Rup bypass;</w:t>
      </w:r>
    </w:p>
    <w:p w:rsidR="00B03921" w:rsidRPr="000F6A2A" w:rsidRDefault="00B03921" w:rsidP="00016914">
      <w:pPr>
        <w:pStyle w:val="BulletText"/>
        <w:shd w:val="pct10" w:color="auto" w:fill="auto"/>
        <w:rPr>
          <w:lang w:eastAsia="en-AU"/>
        </w:rPr>
      </w:pPr>
      <w:r w:rsidRPr="000F6A2A">
        <w:rPr>
          <w:lang w:eastAsia="en-AU"/>
        </w:rPr>
        <w:t>Monash Children</w:t>
      </w:r>
      <w:r w:rsidR="00BA5A16">
        <w:rPr>
          <w:lang w:eastAsia="en-AU"/>
        </w:rPr>
        <w:t>’</w:t>
      </w:r>
      <w:r w:rsidRPr="000F6A2A">
        <w:rPr>
          <w:lang w:eastAsia="en-AU"/>
        </w:rPr>
        <w:t xml:space="preserve">s Hospital; </w:t>
      </w:r>
    </w:p>
    <w:p w:rsidR="00B03921" w:rsidRPr="000F6A2A" w:rsidRDefault="00B03921" w:rsidP="00016914">
      <w:pPr>
        <w:pStyle w:val="BulletText"/>
        <w:shd w:val="pct10" w:color="auto" w:fill="auto"/>
        <w:rPr>
          <w:lang w:eastAsia="en-AU"/>
        </w:rPr>
      </w:pPr>
      <w:r>
        <w:rPr>
          <w:lang w:eastAsia="en-AU"/>
        </w:rPr>
        <w:t>N</w:t>
      </w:r>
      <w:r w:rsidRPr="000F6A2A">
        <w:rPr>
          <w:lang w:eastAsia="en-AU"/>
        </w:rPr>
        <w:t>ew trains, trams and associated infrastructure for Melbourne commuters;</w:t>
      </w:r>
    </w:p>
    <w:p w:rsidR="00B03921" w:rsidRPr="000F6A2A" w:rsidRDefault="00B03921" w:rsidP="00016914">
      <w:pPr>
        <w:pStyle w:val="BulletText"/>
        <w:shd w:val="pct10" w:color="auto" w:fill="auto"/>
        <w:rPr>
          <w:lang w:eastAsia="en-AU"/>
        </w:rPr>
      </w:pPr>
      <w:r w:rsidRPr="000F6A2A">
        <w:rPr>
          <w:lang w:eastAsia="en-AU"/>
        </w:rPr>
        <w:t>Ravenhall Prison;</w:t>
      </w:r>
    </w:p>
    <w:p w:rsidR="00B03921" w:rsidRPr="000F6A2A" w:rsidRDefault="00B03921" w:rsidP="00016914">
      <w:pPr>
        <w:pStyle w:val="BulletText"/>
        <w:shd w:val="pct10" w:color="auto" w:fill="auto"/>
        <w:rPr>
          <w:lang w:eastAsia="en-AU"/>
        </w:rPr>
      </w:pPr>
      <w:r>
        <w:rPr>
          <w:lang w:eastAsia="en-AU"/>
        </w:rPr>
        <w:t>R</w:t>
      </w:r>
      <w:r w:rsidRPr="000F6A2A">
        <w:rPr>
          <w:lang w:eastAsia="en-AU"/>
        </w:rPr>
        <w:t>edevelopment of Melbourne Park;</w:t>
      </w:r>
    </w:p>
    <w:p w:rsidR="00B03921" w:rsidRPr="000F6A2A" w:rsidRDefault="00B03921" w:rsidP="00016914">
      <w:pPr>
        <w:pStyle w:val="BulletText"/>
        <w:shd w:val="pct10" w:color="auto" w:fill="auto"/>
        <w:rPr>
          <w:lang w:eastAsia="en-AU"/>
        </w:rPr>
      </w:pPr>
      <w:r>
        <w:rPr>
          <w:lang w:eastAsia="en-AU"/>
        </w:rPr>
        <w:t>R</w:t>
      </w:r>
      <w:r w:rsidRPr="000F6A2A">
        <w:rPr>
          <w:lang w:eastAsia="en-AU"/>
        </w:rPr>
        <w:t>egional rolling stock;</w:t>
      </w:r>
    </w:p>
    <w:p w:rsidR="00B03921" w:rsidRPr="000F6A2A" w:rsidRDefault="00B03921" w:rsidP="00016914">
      <w:pPr>
        <w:pStyle w:val="BulletText"/>
        <w:shd w:val="pct10" w:color="auto" w:fill="auto"/>
        <w:rPr>
          <w:lang w:eastAsia="en-AU"/>
        </w:rPr>
      </w:pPr>
      <w:r w:rsidRPr="000F6A2A">
        <w:rPr>
          <w:lang w:eastAsia="en-AU"/>
        </w:rPr>
        <w:t>Regional Rail Link;</w:t>
      </w:r>
    </w:p>
    <w:p w:rsidR="00B03921" w:rsidRPr="000F6A2A" w:rsidRDefault="00B03921" w:rsidP="00016914">
      <w:pPr>
        <w:pStyle w:val="BulletText"/>
        <w:shd w:val="pct10" w:color="auto" w:fill="auto"/>
        <w:rPr>
          <w:lang w:eastAsia="en-AU"/>
        </w:rPr>
      </w:pPr>
      <w:r w:rsidRPr="00427825">
        <w:rPr>
          <w:i/>
          <w:lang w:eastAsia="en-AU"/>
        </w:rPr>
        <w:t>Road Safety Strategy 2013-2022</w:t>
      </w:r>
      <w:r w:rsidRPr="000F6A2A">
        <w:rPr>
          <w:lang w:eastAsia="en-AU"/>
        </w:rPr>
        <w:t>;</w:t>
      </w:r>
    </w:p>
    <w:p w:rsidR="00B03921" w:rsidRPr="000F6A2A" w:rsidRDefault="00B03921" w:rsidP="00016914">
      <w:pPr>
        <w:pStyle w:val="BulletText"/>
        <w:shd w:val="pct10" w:color="auto" w:fill="auto"/>
        <w:rPr>
          <w:lang w:eastAsia="en-AU"/>
        </w:rPr>
      </w:pPr>
      <w:r w:rsidRPr="000F6A2A">
        <w:rPr>
          <w:lang w:eastAsia="en-AU"/>
        </w:rPr>
        <w:t>Royal Victorian Eye and Ear Hospital;</w:t>
      </w:r>
    </w:p>
    <w:p w:rsidR="00B03921" w:rsidRPr="000F6A2A" w:rsidRDefault="00B03921" w:rsidP="00016914">
      <w:pPr>
        <w:pStyle w:val="BulletText"/>
        <w:shd w:val="pct10" w:color="auto" w:fill="auto"/>
        <w:rPr>
          <w:lang w:eastAsia="en-AU"/>
        </w:rPr>
      </w:pPr>
      <w:r w:rsidRPr="000F6A2A">
        <w:rPr>
          <w:lang w:eastAsia="en-AU"/>
        </w:rPr>
        <w:t>Victorian Comprehensive Cancer Centre; and</w:t>
      </w:r>
    </w:p>
    <w:p w:rsidR="00B03921" w:rsidRPr="000F6A2A" w:rsidRDefault="00B03921" w:rsidP="00016914">
      <w:pPr>
        <w:pStyle w:val="BulletText"/>
        <w:shd w:val="pct10" w:color="auto" w:fill="auto"/>
        <w:spacing w:after="60"/>
        <w:ind w:left="357" w:hanging="357"/>
        <w:rPr>
          <w:lang w:eastAsia="en-AU"/>
        </w:rPr>
      </w:pPr>
      <w:r w:rsidRPr="000F6A2A">
        <w:rPr>
          <w:lang w:eastAsia="en-AU"/>
        </w:rPr>
        <w:t xml:space="preserve">Western Highway duplication </w:t>
      </w:r>
      <w:r>
        <w:rPr>
          <w:lang w:eastAsia="en-AU"/>
        </w:rPr>
        <w:t>–</w:t>
      </w:r>
      <w:r w:rsidRPr="000F6A2A">
        <w:rPr>
          <w:lang w:eastAsia="en-AU"/>
        </w:rPr>
        <w:t xml:space="preserve"> Ballarat to Stawell. </w:t>
      </w:r>
    </w:p>
    <w:p w:rsidR="00B03921" w:rsidRPr="000F6A2A" w:rsidRDefault="00B03921" w:rsidP="00016914">
      <w:pPr>
        <w:shd w:val="pct10" w:color="auto" w:fill="auto"/>
        <w:autoSpaceDE w:val="0"/>
        <w:autoSpaceDN w:val="0"/>
        <w:adjustRightInd w:val="0"/>
        <w:spacing w:after="0"/>
        <w:rPr>
          <w:rFonts w:ascii="Calibri" w:hAnsi="Calibri"/>
          <w:b/>
          <w:sz w:val="24"/>
          <w:szCs w:val="24"/>
        </w:rPr>
      </w:pPr>
    </w:p>
    <w:p w:rsidR="00B03921" w:rsidRPr="000F6A2A" w:rsidRDefault="00B03921" w:rsidP="00016914">
      <w:pPr>
        <w:shd w:val="pct10" w:color="auto" w:fill="auto"/>
        <w:rPr>
          <w:lang w:eastAsia="en-AU"/>
        </w:rPr>
      </w:pPr>
      <w:r w:rsidRPr="000F6A2A">
        <w:rPr>
          <w:lang w:eastAsia="en-AU"/>
        </w:rPr>
        <w:t>Major projects that commenced procurement in 2014-15 include:</w:t>
      </w:r>
    </w:p>
    <w:p w:rsidR="00B03921" w:rsidRPr="000F6A2A" w:rsidRDefault="00B03921" w:rsidP="00016914">
      <w:pPr>
        <w:pStyle w:val="BulletText"/>
        <w:shd w:val="pct10" w:color="auto" w:fill="auto"/>
        <w:rPr>
          <w:lang w:eastAsia="en-AU"/>
        </w:rPr>
      </w:pPr>
      <w:r w:rsidRPr="000F6A2A">
        <w:rPr>
          <w:lang w:eastAsia="en-AU"/>
        </w:rPr>
        <w:t>Calder Highway interchange;</w:t>
      </w:r>
    </w:p>
    <w:p w:rsidR="00B03921" w:rsidRPr="000F6A2A" w:rsidRDefault="00B03921" w:rsidP="00016914">
      <w:pPr>
        <w:pStyle w:val="BulletText"/>
        <w:shd w:val="pct10" w:color="auto" w:fill="auto"/>
        <w:rPr>
          <w:lang w:eastAsia="en-AU"/>
        </w:rPr>
      </w:pPr>
      <w:r w:rsidRPr="000F6A2A">
        <w:rPr>
          <w:lang w:eastAsia="en-AU"/>
        </w:rPr>
        <w:t>Corrections system expansion;</w:t>
      </w:r>
    </w:p>
    <w:p w:rsidR="00B03921" w:rsidRPr="000F6A2A" w:rsidRDefault="00B03921" w:rsidP="00016914">
      <w:pPr>
        <w:pStyle w:val="BulletText"/>
        <w:shd w:val="pct10" w:color="auto" w:fill="auto"/>
        <w:rPr>
          <w:lang w:eastAsia="en-AU"/>
        </w:rPr>
      </w:pPr>
      <w:r w:rsidRPr="000F6A2A">
        <w:rPr>
          <w:lang w:eastAsia="en-AU"/>
        </w:rPr>
        <w:t>New Schools PPP;</w:t>
      </w:r>
      <w:r>
        <w:rPr>
          <w:lang w:eastAsia="en-AU"/>
        </w:rPr>
        <w:t xml:space="preserve"> and</w:t>
      </w:r>
    </w:p>
    <w:p w:rsidR="00B03921" w:rsidRPr="001671B7" w:rsidRDefault="00B03921" w:rsidP="00016914">
      <w:pPr>
        <w:pStyle w:val="BulletText"/>
        <w:shd w:val="pct10" w:color="auto" w:fill="auto"/>
        <w:spacing w:after="0"/>
        <w:rPr>
          <w:rFonts w:ascii="Calibri" w:hAnsi="Calibri"/>
          <w:b/>
        </w:rPr>
      </w:pPr>
      <w:r w:rsidRPr="000F6A2A">
        <w:rPr>
          <w:lang w:eastAsia="en-AU"/>
        </w:rPr>
        <w:t xml:space="preserve">Princes Highway </w:t>
      </w:r>
      <w:r>
        <w:rPr>
          <w:lang w:eastAsia="en-AU"/>
        </w:rPr>
        <w:t xml:space="preserve">West </w:t>
      </w:r>
      <w:r w:rsidRPr="000F6A2A">
        <w:rPr>
          <w:lang w:eastAsia="en-AU"/>
        </w:rPr>
        <w:t>duplication project</w:t>
      </w:r>
      <w:r>
        <w:rPr>
          <w:lang w:eastAsia="en-AU"/>
        </w:rPr>
        <w:t>.</w:t>
      </w:r>
    </w:p>
    <w:p w:rsidR="00E20B42" w:rsidRDefault="00E20B42">
      <w:pPr>
        <w:spacing w:after="0"/>
        <w:rPr>
          <w:rFonts w:ascii="Calibri" w:hAnsi="Calibri"/>
          <w:b/>
        </w:rPr>
      </w:pPr>
      <w:r>
        <w:br w:type="page"/>
      </w:r>
    </w:p>
    <w:p w:rsidR="00B03921" w:rsidRDefault="00B03921" w:rsidP="00016914">
      <w:pPr>
        <w:pStyle w:val="Tableheading"/>
      </w:pPr>
      <w:r w:rsidRPr="00F10B6E">
        <w:t>Table B.1:</w:t>
      </w:r>
      <w:r w:rsidRPr="00F10B6E">
        <w:tab/>
        <w:t>Comprehensive operating statement for the period ended 31 March</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724"/>
        <w:gridCol w:w="123"/>
        <w:gridCol w:w="2903"/>
        <w:gridCol w:w="487"/>
        <w:gridCol w:w="716"/>
        <w:gridCol w:w="686"/>
        <w:gridCol w:w="730"/>
        <w:gridCol w:w="731"/>
        <w:gridCol w:w="660"/>
      </w:tblGrid>
      <w:tr w:rsidR="00657F04" w:rsidRPr="00BC5EF8" w:rsidTr="00423972">
        <w:trPr>
          <w:cantSplit/>
          <w:trHeight w:val="796"/>
          <w:tblHeader/>
        </w:trPr>
        <w:tc>
          <w:tcPr>
            <w:tcW w:w="724" w:type="dxa"/>
            <w:tcBorders>
              <w:top w:val="single" w:sz="6" w:space="0" w:color="auto"/>
              <w:left w:val="single" w:sz="6" w:space="0" w:color="auto"/>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2013-14 Actual</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to Mar</w:t>
            </w:r>
          </w:p>
        </w:tc>
        <w:tc>
          <w:tcPr>
            <w:tcW w:w="123" w:type="dxa"/>
            <w:tcBorders>
              <w:top w:val="single" w:sz="6" w:space="0" w:color="auto"/>
              <w:left w:val="nil"/>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tc>
        <w:tc>
          <w:tcPr>
            <w:tcW w:w="2903" w:type="dxa"/>
            <w:tcBorders>
              <w:top w:val="single" w:sz="6" w:space="0" w:color="auto"/>
              <w:left w:val="nil"/>
              <w:right w:val="nil"/>
            </w:tcBorders>
            <w:shd w:val="clear" w:color="000000" w:fill="000000"/>
          </w:tcPr>
          <w:p w:rsidR="00657F04" w:rsidRPr="00BC5EF8" w:rsidRDefault="00657F04" w:rsidP="00016914">
            <w:pPr>
              <w:pStyle w:val="Tabletext"/>
              <w:rPr>
                <w:rFonts w:eastAsiaTheme="minorEastAsia"/>
                <w:i/>
                <w:sz w:val="16"/>
                <w:lang w:eastAsia="en-AU"/>
              </w:rPr>
            </w:pPr>
            <w:r w:rsidRPr="00BC5EF8">
              <w:rPr>
                <w:rFonts w:eastAsiaTheme="minorEastAsia"/>
                <w:i/>
                <w:sz w:val="16"/>
                <w:lang w:eastAsia="en-AU"/>
              </w:rPr>
              <w:t xml:space="preserve"> </w:t>
            </w:r>
          </w:p>
          <w:p w:rsidR="00657F04" w:rsidRPr="00BC5EF8" w:rsidRDefault="00657F04" w:rsidP="00016914">
            <w:pPr>
              <w:pStyle w:val="Tabletext"/>
              <w:rPr>
                <w:rFonts w:eastAsiaTheme="minorEastAsia"/>
                <w:i/>
                <w:sz w:val="16"/>
                <w:lang w:eastAsia="en-AU"/>
              </w:rPr>
            </w:pPr>
            <w:r w:rsidRPr="00BC5EF8">
              <w:rPr>
                <w:rFonts w:eastAsiaTheme="minorEastAsia"/>
                <w:i/>
                <w:sz w:val="16"/>
                <w:lang w:eastAsia="en-AU"/>
              </w:rPr>
              <w:t xml:space="preserve"> </w:t>
            </w:r>
          </w:p>
          <w:p w:rsidR="00657F04" w:rsidRPr="00BC5EF8" w:rsidRDefault="00657F04" w:rsidP="00016914">
            <w:pPr>
              <w:pStyle w:val="Tabletext"/>
              <w:rPr>
                <w:rFonts w:eastAsiaTheme="minorEastAsia"/>
                <w:i/>
                <w:sz w:val="16"/>
                <w:lang w:eastAsia="en-AU"/>
              </w:rPr>
            </w:pPr>
            <w:r w:rsidRPr="00BC5EF8">
              <w:rPr>
                <w:rFonts w:eastAsiaTheme="minorEastAsia"/>
                <w:i/>
                <w:sz w:val="16"/>
                <w:lang w:eastAsia="en-AU"/>
              </w:rPr>
              <w:t xml:space="preserve"> </w:t>
            </w:r>
          </w:p>
        </w:tc>
        <w:tc>
          <w:tcPr>
            <w:tcW w:w="487" w:type="dxa"/>
            <w:tcBorders>
              <w:top w:val="single" w:sz="6" w:space="0" w:color="auto"/>
              <w:left w:val="nil"/>
              <w:right w:val="nil"/>
            </w:tcBorders>
            <w:shd w:val="clear" w:color="000000" w:fill="000000"/>
          </w:tcPr>
          <w:p w:rsidR="00657F04" w:rsidRDefault="00657F04" w:rsidP="00016914">
            <w:pPr>
              <w:pStyle w:val="Tabletextheadingcentred"/>
              <w:rPr>
                <w:rFonts w:eastAsiaTheme="minorEastAsia"/>
                <w:sz w:val="16"/>
                <w:lang w:eastAsia="en-AU"/>
              </w:rPr>
            </w:pPr>
            <w:r w:rsidRPr="00BC5EF8">
              <w:rPr>
                <w:rFonts w:eastAsiaTheme="minorEastAsia"/>
                <w:sz w:val="16"/>
                <w:lang w:eastAsia="en-AU"/>
              </w:rPr>
              <w:t xml:space="preserve"> </w:t>
            </w:r>
          </w:p>
          <w:p w:rsidR="00657F04" w:rsidRPr="00BC5EF8" w:rsidRDefault="00657F04" w:rsidP="00016914">
            <w:pPr>
              <w:pStyle w:val="Tabletextheadingcentred"/>
              <w:rPr>
                <w:rFonts w:eastAsiaTheme="minorEastAsia"/>
                <w:sz w:val="16"/>
                <w:lang w:eastAsia="en-AU"/>
              </w:rPr>
            </w:pPr>
          </w:p>
          <w:p w:rsidR="00657F04" w:rsidRPr="00BC5EF8" w:rsidRDefault="00657F04" w:rsidP="00016914">
            <w:pPr>
              <w:pStyle w:val="Tabletextheadingcentred"/>
              <w:rPr>
                <w:rFonts w:eastAsiaTheme="minorEastAsia"/>
                <w:sz w:val="16"/>
                <w:lang w:eastAsia="en-AU"/>
              </w:rPr>
            </w:pPr>
            <w:r w:rsidRPr="00BC5EF8">
              <w:rPr>
                <w:rFonts w:eastAsiaTheme="minorEastAsia"/>
                <w:sz w:val="16"/>
                <w:lang w:eastAsia="en-AU"/>
              </w:rPr>
              <w:t xml:space="preserve"> </w:t>
            </w:r>
          </w:p>
          <w:p w:rsidR="00657F04" w:rsidRPr="00BC5EF8" w:rsidRDefault="00657F04" w:rsidP="00016914">
            <w:pPr>
              <w:pStyle w:val="Tabletextheadingcentred"/>
              <w:rPr>
                <w:rFonts w:eastAsiaTheme="minorEastAsia"/>
                <w:sz w:val="16"/>
                <w:lang w:eastAsia="en-AU"/>
              </w:rPr>
            </w:pPr>
            <w:r w:rsidRPr="00BC5EF8">
              <w:rPr>
                <w:rFonts w:eastAsiaTheme="minorEastAsia"/>
                <w:sz w:val="16"/>
                <w:lang w:eastAsia="en-AU"/>
              </w:rPr>
              <w:t>Notes</w:t>
            </w:r>
          </w:p>
        </w:tc>
        <w:tc>
          <w:tcPr>
            <w:tcW w:w="716" w:type="dxa"/>
            <w:tcBorders>
              <w:top w:val="single" w:sz="6" w:space="0" w:color="auto"/>
              <w:left w:val="nil"/>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2014-15 Actual</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to Mar</w:t>
            </w:r>
          </w:p>
        </w:tc>
        <w:tc>
          <w:tcPr>
            <w:tcW w:w="686" w:type="dxa"/>
            <w:tcBorders>
              <w:top w:val="single" w:sz="6" w:space="0" w:color="auto"/>
              <w:left w:val="nil"/>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Revised</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budget</w:t>
            </w:r>
          </w:p>
        </w:tc>
        <w:tc>
          <w:tcPr>
            <w:tcW w:w="730" w:type="dxa"/>
            <w:tcBorders>
              <w:top w:val="single" w:sz="6" w:space="0" w:color="auto"/>
              <w:left w:val="nil"/>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Published</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budget</w:t>
            </w:r>
          </w:p>
        </w:tc>
        <w:tc>
          <w:tcPr>
            <w:tcW w:w="731" w:type="dxa"/>
            <w:tcBorders>
              <w:top w:val="single" w:sz="6" w:space="0" w:color="auto"/>
              <w:left w:val="nil"/>
              <w:right w:val="nil"/>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Budget</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to revised budget</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change  </w:t>
            </w:r>
          </w:p>
        </w:tc>
        <w:tc>
          <w:tcPr>
            <w:tcW w:w="660" w:type="dxa"/>
            <w:tcBorders>
              <w:top w:val="single" w:sz="6" w:space="0" w:color="auto"/>
              <w:left w:val="nil"/>
              <w:right w:val="single" w:sz="6" w:space="0" w:color="auto"/>
            </w:tcBorders>
            <w:shd w:val="clear" w:color="000000" w:fill="000000"/>
          </w:tcPr>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016914">
            <w:pPr>
              <w:pStyle w:val="Tabletextheading"/>
              <w:rPr>
                <w:rFonts w:eastAsiaTheme="minorEastAsia"/>
                <w:color w:val="FFFFFF"/>
                <w:sz w:val="16"/>
                <w:lang w:eastAsia="en-AU"/>
              </w:rPr>
            </w:pP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Change</w:t>
            </w:r>
          </w:p>
          <w:p w:rsidR="00657F04" w:rsidRPr="00BC5EF8" w:rsidRDefault="00657F04" w:rsidP="00016914">
            <w:pPr>
              <w:pStyle w:val="Tabletextheading"/>
              <w:rPr>
                <w:rFonts w:eastAsiaTheme="minorEastAsia"/>
                <w:color w:val="FFFFFF"/>
                <w:sz w:val="16"/>
                <w:lang w:eastAsia="en-AU"/>
              </w:rPr>
            </w:pPr>
            <w:r w:rsidRPr="00BC5EF8">
              <w:rPr>
                <w:rFonts w:eastAsiaTheme="minorEastAsia"/>
                <w:color w:val="FFFFFF"/>
                <w:sz w:val="16"/>
                <w:lang w:eastAsia="en-AU"/>
              </w:rPr>
              <w:t>%</w:t>
            </w:r>
          </w:p>
        </w:tc>
      </w:tr>
      <w:tr w:rsidR="00657F04" w:rsidRPr="00BC5EF8" w:rsidTr="00423972">
        <w:trPr>
          <w:cantSplit/>
        </w:trPr>
        <w:tc>
          <w:tcPr>
            <w:tcW w:w="724" w:type="dxa"/>
            <w:tcBorders>
              <w:top w:val="single" w:sz="6" w:space="0" w:color="auto"/>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123" w:type="dxa"/>
            <w:tcBorders>
              <w:top w:val="single" w:sz="6" w:space="0" w:color="auto"/>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6913" w:type="dxa"/>
            <w:gridSpan w:val="7"/>
            <w:tcBorders>
              <w:top w:val="single" w:sz="6" w:space="0" w:color="auto"/>
              <w:left w:val="nil"/>
              <w:bottom w:val="nil"/>
              <w:right w:val="nil"/>
            </w:tcBorders>
          </w:tcPr>
          <w:p w:rsidR="00657F04" w:rsidRPr="00BC5EF8" w:rsidRDefault="00657F04" w:rsidP="00657F04">
            <w:pPr>
              <w:pStyle w:val="Tabletext"/>
              <w:rPr>
                <w:rFonts w:eastAsiaTheme="minorEastAsia"/>
                <w:sz w:val="16"/>
                <w:lang w:eastAsia="en-AU"/>
              </w:rPr>
            </w:pPr>
            <w:r w:rsidRPr="00BC5EF8">
              <w:rPr>
                <w:rFonts w:eastAsiaTheme="minorEastAsia"/>
                <w:b/>
                <w:bCs/>
                <w:sz w:val="16"/>
                <w:lang w:eastAsia="en-AU"/>
              </w:rPr>
              <w:t>Revenue from transactions</w:t>
            </w:r>
            <w:r w:rsidRPr="00BC5EF8">
              <w:rPr>
                <w:rFonts w:eastAsiaTheme="minorEastAsia"/>
                <w:sz w:val="16"/>
                <w:lang w:eastAsia="en-AU"/>
              </w:rPr>
              <w:t xml:space="preserve"> </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13 196.8</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Taxation revenue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2</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14 240.4</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18 273.9</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18 067.5</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206.4</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1.1</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622.1</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Interest revenue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608.2</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824.6</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842.1</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(17.5)</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(2.1)</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330.7</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Dividends and income tax equivalent and rate equivalent revenue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3</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729.8</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1 025.5</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584.7</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440.8</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75.4</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4 773.0</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Sales of goods and services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4</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5 043.6</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6 525.5</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6 478.4</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47.1</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0.7</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17 586.7</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Grants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5</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18 463.8</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24 584.3</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24 855.3</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(271.0)</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(1.1)</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1 521.6</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Other revenue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6</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1 651.1</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2 308.7</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2 073.9</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234.8</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11.3</w:t>
            </w:r>
          </w:p>
        </w:tc>
      </w:tr>
      <w:tr w:rsidR="00B03921" w:rsidRPr="00BC5EF8" w:rsidTr="00016914">
        <w:trPr>
          <w:cantSplit/>
        </w:trPr>
        <w:tc>
          <w:tcPr>
            <w:tcW w:w="724"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38 030.9</w:t>
            </w:r>
          </w:p>
        </w:tc>
        <w:tc>
          <w:tcPr>
            <w:tcW w:w="123"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nil"/>
              <w:right w:val="nil"/>
            </w:tcBorders>
          </w:tcPr>
          <w:p w:rsidR="00B03921" w:rsidRPr="00BC5EF8" w:rsidRDefault="00B03921" w:rsidP="00016914">
            <w:pPr>
              <w:pStyle w:val="Tabletext"/>
              <w:rPr>
                <w:rFonts w:eastAsiaTheme="minorEastAsia"/>
                <w:b/>
                <w:bCs/>
                <w:sz w:val="16"/>
                <w:lang w:eastAsia="en-AU"/>
              </w:rPr>
            </w:pPr>
            <w:r w:rsidRPr="00BC5EF8">
              <w:rPr>
                <w:rFonts w:eastAsiaTheme="minorEastAsia"/>
                <w:b/>
                <w:bCs/>
                <w:sz w:val="16"/>
                <w:lang w:eastAsia="en-AU"/>
              </w:rPr>
              <w:t>Total revenue from transactions</w:t>
            </w:r>
          </w:p>
        </w:tc>
        <w:tc>
          <w:tcPr>
            <w:tcW w:w="487" w:type="dxa"/>
            <w:tcBorders>
              <w:top w:val="single" w:sz="6" w:space="0" w:color="auto"/>
              <w:left w:val="nil"/>
              <w:bottom w:val="nil"/>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40 736.8</w:t>
            </w:r>
          </w:p>
        </w:tc>
        <w:tc>
          <w:tcPr>
            <w:tcW w:w="686"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53 542.4</w:t>
            </w:r>
          </w:p>
        </w:tc>
        <w:tc>
          <w:tcPr>
            <w:tcW w:w="730"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52 901.9</w:t>
            </w:r>
          </w:p>
        </w:tc>
        <w:tc>
          <w:tcPr>
            <w:tcW w:w="731"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640.5</w:t>
            </w:r>
          </w:p>
        </w:tc>
        <w:tc>
          <w:tcPr>
            <w:tcW w:w="660"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1.2</w:t>
            </w:r>
          </w:p>
        </w:tc>
      </w:tr>
      <w:tr w:rsidR="00657F04" w:rsidRPr="00BC5EF8" w:rsidTr="00423972">
        <w:trPr>
          <w:cantSplit/>
        </w:trPr>
        <w:tc>
          <w:tcPr>
            <w:tcW w:w="724"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sz w:val="16"/>
                <w:lang w:eastAsia="en-AU"/>
              </w:rPr>
            </w:pPr>
            <w:r w:rsidRPr="00BC5EF8">
              <w:rPr>
                <w:rFonts w:eastAsiaTheme="minorEastAsia"/>
                <w:b/>
                <w:bCs/>
                <w:sz w:val="16"/>
                <w:lang w:eastAsia="en-AU"/>
              </w:rPr>
              <w:t>Expenses from transactions</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13 306.5</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Employee expenses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13 947.2</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18 478.4</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18 442.3</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36.1</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0.2</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806.7</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vertAlign w:val="superscript"/>
                <w:lang w:eastAsia="en-AU"/>
              </w:rPr>
            </w:pPr>
            <w:r w:rsidRPr="00BC5EF8">
              <w:rPr>
                <w:rFonts w:eastAsiaTheme="minorEastAsia"/>
                <w:sz w:val="16"/>
                <w:lang w:eastAsia="en-AU"/>
              </w:rPr>
              <w:t>Net superannuation interest expense</w:t>
            </w:r>
            <w:r w:rsidRPr="00BC5EF8">
              <w:rPr>
                <w:rFonts w:eastAsiaTheme="minorEastAsia"/>
                <w:sz w:val="16"/>
                <w:vertAlign w:val="superscript"/>
                <w:lang w:eastAsia="en-AU"/>
              </w:rPr>
              <w:t>(a)</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7a</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761.8</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1 038.0</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1 023.9</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14.1</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1.4</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1 396.5</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vertAlign w:val="superscript"/>
                <w:lang w:eastAsia="en-AU"/>
              </w:rPr>
            </w:pPr>
            <w:r w:rsidRPr="00BC5EF8">
              <w:rPr>
                <w:rFonts w:eastAsiaTheme="minorEastAsia"/>
                <w:sz w:val="16"/>
                <w:lang w:eastAsia="en-AU"/>
              </w:rPr>
              <w:t>Other superannuation</w:t>
            </w:r>
            <w:r w:rsidRPr="00BC5EF8">
              <w:rPr>
                <w:rFonts w:eastAsiaTheme="minorEastAsia"/>
                <w:sz w:val="16"/>
                <w:vertAlign w:val="superscript"/>
                <w:lang w:eastAsia="en-AU"/>
              </w:rPr>
              <w:t>(a)</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7a</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1 517.4</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1 864.1</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1 863.7</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0.5</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1 788.7</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vertAlign w:val="superscript"/>
                <w:lang w:eastAsia="en-AU"/>
              </w:rPr>
            </w:pPr>
            <w:r w:rsidRPr="00BC5EF8">
              <w:rPr>
                <w:rFonts w:eastAsiaTheme="minorEastAsia"/>
                <w:sz w:val="16"/>
                <w:lang w:eastAsia="en-AU"/>
              </w:rPr>
              <w:t>Depreciation</w:t>
            </w:r>
            <w:r w:rsidRPr="00BC5EF8">
              <w:rPr>
                <w:rFonts w:eastAsiaTheme="minorEastAsia"/>
                <w:sz w:val="16"/>
                <w:vertAlign w:val="superscript"/>
                <w:lang w:eastAsia="en-AU"/>
              </w:rPr>
              <w:t>(b)</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8</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1 809.1</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2 497.5</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2 496.0</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1.4</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0.1</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1 581.5</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Interest expense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1 559.2</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2 102.8</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2 195.8</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(93.0)</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(4.2)</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6 265.9</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Grants and other transfers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6 776.4</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8 220.0</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8 294.3</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(74.4)</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(0.9)</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12 037.5</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Other operating expenses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12 493.6</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18 458.7</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17 259.2</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1 199.6</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7.0</w:t>
            </w:r>
          </w:p>
        </w:tc>
      </w:tr>
      <w:tr w:rsidR="00B03921" w:rsidRPr="00BC5EF8" w:rsidTr="00016914">
        <w:trPr>
          <w:cantSplit/>
        </w:trPr>
        <w:tc>
          <w:tcPr>
            <w:tcW w:w="724"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37 183.3</w:t>
            </w:r>
          </w:p>
        </w:tc>
        <w:tc>
          <w:tcPr>
            <w:tcW w:w="123"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6" w:space="0" w:color="auto"/>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Total expenses from transactions</w:t>
            </w:r>
            <w:r w:rsidRPr="00BC5EF8">
              <w:rPr>
                <w:rFonts w:eastAsiaTheme="minorEastAsia"/>
                <w:b/>
                <w:sz w:val="16"/>
                <w:vertAlign w:val="superscript"/>
                <w:lang w:eastAsia="en-AU"/>
              </w:rPr>
              <w:t>(a)(b)</w:t>
            </w:r>
          </w:p>
        </w:tc>
        <w:tc>
          <w:tcPr>
            <w:tcW w:w="487" w:type="dxa"/>
            <w:tcBorders>
              <w:top w:val="single" w:sz="6" w:space="0" w:color="auto"/>
              <w:left w:val="nil"/>
              <w:bottom w:val="single" w:sz="6"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9</w:t>
            </w:r>
          </w:p>
        </w:tc>
        <w:tc>
          <w:tcPr>
            <w:tcW w:w="71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38 864.7</w:t>
            </w:r>
          </w:p>
        </w:tc>
        <w:tc>
          <w:tcPr>
            <w:tcW w:w="68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52 659.4</w:t>
            </w:r>
          </w:p>
        </w:tc>
        <w:tc>
          <w:tcPr>
            <w:tcW w:w="73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51 575.1</w:t>
            </w:r>
          </w:p>
        </w:tc>
        <w:tc>
          <w:tcPr>
            <w:tcW w:w="731"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1 084.3</w:t>
            </w:r>
          </w:p>
        </w:tc>
        <w:tc>
          <w:tcPr>
            <w:tcW w:w="66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2.1</w:t>
            </w:r>
          </w:p>
        </w:tc>
      </w:tr>
      <w:tr w:rsidR="00B03921" w:rsidRPr="00BC5EF8" w:rsidTr="00016914">
        <w:trPr>
          <w:cantSplit/>
        </w:trPr>
        <w:tc>
          <w:tcPr>
            <w:tcW w:w="724"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847.6</w:t>
            </w:r>
          </w:p>
        </w:tc>
        <w:tc>
          <w:tcPr>
            <w:tcW w:w="123"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12" w:space="0" w:color="auto"/>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 xml:space="preserve">Net result from transactions </w:t>
            </w:r>
            <w:r>
              <w:rPr>
                <w:rFonts w:eastAsiaTheme="minorEastAsia"/>
                <w:b/>
                <w:bCs/>
                <w:sz w:val="16"/>
                <w:lang w:eastAsia="en-AU"/>
              </w:rPr>
              <w:t>–</w:t>
            </w:r>
            <w:r w:rsidRPr="00BC5EF8">
              <w:rPr>
                <w:rFonts w:eastAsiaTheme="minorEastAsia"/>
                <w:b/>
                <w:bCs/>
                <w:sz w:val="16"/>
                <w:lang w:eastAsia="en-AU"/>
              </w:rPr>
              <w:t xml:space="preserve"> net operating balance</w:t>
            </w:r>
            <w:r w:rsidRPr="00BC5EF8">
              <w:rPr>
                <w:rFonts w:eastAsiaTheme="minorEastAsia"/>
                <w:b/>
                <w:sz w:val="16"/>
                <w:vertAlign w:val="superscript"/>
                <w:lang w:eastAsia="en-AU"/>
              </w:rPr>
              <w:t>(a)(b)</w:t>
            </w:r>
          </w:p>
        </w:tc>
        <w:tc>
          <w:tcPr>
            <w:tcW w:w="487" w:type="dxa"/>
            <w:tcBorders>
              <w:top w:val="single" w:sz="6" w:space="0" w:color="auto"/>
              <w:left w:val="nil"/>
              <w:bottom w:val="single" w:sz="12"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nil"/>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1 872.1</w:t>
            </w:r>
          </w:p>
        </w:tc>
        <w:tc>
          <w:tcPr>
            <w:tcW w:w="686"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883.0</w:t>
            </w:r>
          </w:p>
        </w:tc>
        <w:tc>
          <w:tcPr>
            <w:tcW w:w="730"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1 326.7</w:t>
            </w:r>
          </w:p>
        </w:tc>
        <w:tc>
          <w:tcPr>
            <w:tcW w:w="731"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(443.8)</w:t>
            </w:r>
          </w:p>
        </w:tc>
        <w:tc>
          <w:tcPr>
            <w:tcW w:w="660"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(33.4)</w:t>
            </w:r>
          </w:p>
        </w:tc>
      </w:tr>
      <w:tr w:rsidR="00657F04" w:rsidRPr="00BC5EF8" w:rsidTr="00423972">
        <w:trPr>
          <w:cantSplit/>
        </w:trPr>
        <w:tc>
          <w:tcPr>
            <w:tcW w:w="724"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sz w:val="16"/>
                <w:lang w:eastAsia="en-AU"/>
              </w:rPr>
            </w:pPr>
            <w:r w:rsidRPr="00BC5EF8">
              <w:rPr>
                <w:rFonts w:eastAsiaTheme="minorEastAsia"/>
                <w:b/>
                <w:bCs/>
                <w:sz w:val="16"/>
                <w:lang w:eastAsia="en-AU"/>
              </w:rPr>
              <w:t>Other economic flows included in net result</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21.6</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Net gain/(loss) on disposal of non-financial assets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47.3</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64.6</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106.3</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(41.7)</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(39.2)</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46.5</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Net gain/(loss) on financial assets or liabilities at fair value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80.9</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28.1</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2.8</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25.2</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893.6</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0.1</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shd w:val="solid" w:color="FFFFFF" w:fill="auto"/>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Share of net profit/ (loss) from associates/ joint venture entities, excluding dividends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0.1</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(1 124.9)</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Other gains/(losses) from other economic flows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10</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(495.0)</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(443.7)</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(283.6)</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(160.1)</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56.4</w:t>
            </w:r>
          </w:p>
        </w:tc>
      </w:tr>
      <w:tr w:rsidR="00B03921" w:rsidRPr="00BC5EF8" w:rsidTr="00016914">
        <w:trPr>
          <w:cantSplit/>
        </w:trPr>
        <w:tc>
          <w:tcPr>
            <w:tcW w:w="724"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(1 056.7)</w:t>
            </w:r>
          </w:p>
        </w:tc>
        <w:tc>
          <w:tcPr>
            <w:tcW w:w="123"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6" w:space="0" w:color="auto"/>
              <w:right w:val="nil"/>
            </w:tcBorders>
          </w:tcPr>
          <w:p w:rsidR="00B03921" w:rsidRPr="00BC5EF8" w:rsidRDefault="00B03921" w:rsidP="00016914">
            <w:pPr>
              <w:pStyle w:val="Tabletext"/>
              <w:rPr>
                <w:rFonts w:eastAsiaTheme="minorEastAsia"/>
                <w:b/>
                <w:bCs/>
                <w:sz w:val="16"/>
                <w:lang w:eastAsia="en-AU"/>
              </w:rPr>
            </w:pPr>
            <w:r w:rsidRPr="00BC5EF8">
              <w:rPr>
                <w:rFonts w:eastAsiaTheme="minorEastAsia"/>
                <w:b/>
                <w:bCs/>
                <w:sz w:val="16"/>
                <w:lang w:eastAsia="en-AU"/>
              </w:rPr>
              <w:t>Total other economic flows included in net result</w:t>
            </w:r>
          </w:p>
        </w:tc>
        <w:tc>
          <w:tcPr>
            <w:tcW w:w="487" w:type="dxa"/>
            <w:tcBorders>
              <w:top w:val="single" w:sz="6" w:space="0" w:color="auto"/>
              <w:left w:val="nil"/>
              <w:bottom w:val="single" w:sz="6"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nil"/>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(366.6)</w:t>
            </w:r>
          </w:p>
        </w:tc>
        <w:tc>
          <w:tcPr>
            <w:tcW w:w="68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(351.0)</w:t>
            </w:r>
          </w:p>
        </w:tc>
        <w:tc>
          <w:tcPr>
            <w:tcW w:w="73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(174.5)</w:t>
            </w:r>
          </w:p>
        </w:tc>
        <w:tc>
          <w:tcPr>
            <w:tcW w:w="731"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(176.5)</w:t>
            </w:r>
          </w:p>
        </w:tc>
        <w:tc>
          <w:tcPr>
            <w:tcW w:w="66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101.2</w:t>
            </w:r>
          </w:p>
        </w:tc>
      </w:tr>
      <w:tr w:rsidR="00B03921" w:rsidRPr="00BC5EF8" w:rsidTr="00016914">
        <w:trPr>
          <w:cantSplit/>
        </w:trPr>
        <w:tc>
          <w:tcPr>
            <w:tcW w:w="724"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(209.2)</w:t>
            </w:r>
          </w:p>
        </w:tc>
        <w:tc>
          <w:tcPr>
            <w:tcW w:w="123" w:type="dxa"/>
            <w:tcBorders>
              <w:top w:val="nil"/>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6" w:space="0" w:color="auto"/>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Net result</w:t>
            </w:r>
            <w:r w:rsidRPr="00BC5EF8">
              <w:rPr>
                <w:rFonts w:eastAsiaTheme="minorEastAsia"/>
                <w:b/>
                <w:sz w:val="16"/>
                <w:vertAlign w:val="superscript"/>
                <w:lang w:eastAsia="en-AU"/>
              </w:rPr>
              <w:t>(a)(b)</w:t>
            </w:r>
          </w:p>
        </w:tc>
        <w:tc>
          <w:tcPr>
            <w:tcW w:w="487" w:type="dxa"/>
            <w:tcBorders>
              <w:top w:val="single" w:sz="6" w:space="0" w:color="auto"/>
              <w:left w:val="nil"/>
              <w:bottom w:val="single" w:sz="6"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1 505.5</w:t>
            </w:r>
          </w:p>
        </w:tc>
        <w:tc>
          <w:tcPr>
            <w:tcW w:w="68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532.0</w:t>
            </w:r>
          </w:p>
        </w:tc>
        <w:tc>
          <w:tcPr>
            <w:tcW w:w="73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1 152.2</w:t>
            </w:r>
          </w:p>
        </w:tc>
        <w:tc>
          <w:tcPr>
            <w:tcW w:w="731"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(620.3)</w:t>
            </w:r>
          </w:p>
        </w:tc>
        <w:tc>
          <w:tcPr>
            <w:tcW w:w="66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(53.8)</w:t>
            </w:r>
          </w:p>
        </w:tc>
      </w:tr>
      <w:tr w:rsidR="00657F04" w:rsidRPr="00BC5EF8" w:rsidTr="00423972">
        <w:trPr>
          <w:cantSplit/>
        </w:trPr>
        <w:tc>
          <w:tcPr>
            <w:tcW w:w="724" w:type="dxa"/>
            <w:tcBorders>
              <w:top w:val="nil"/>
              <w:left w:val="nil"/>
              <w:bottom w:val="nil"/>
              <w:right w:val="nil"/>
            </w:tcBorders>
          </w:tcPr>
          <w:p w:rsidR="00657F04" w:rsidRPr="00BC5EF8" w:rsidRDefault="00657F04"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b/>
                <w:sz w:val="16"/>
                <w:lang w:eastAsia="en-AU"/>
              </w:rPr>
            </w:pPr>
            <w:r w:rsidRPr="00BC5EF8">
              <w:rPr>
                <w:rFonts w:eastAsiaTheme="minorEastAsia"/>
                <w:b/>
                <w:bCs/>
                <w:sz w:val="16"/>
                <w:lang w:eastAsia="en-AU"/>
              </w:rPr>
              <w:t>Other economic flows – other comprehensive income</w:t>
            </w:r>
          </w:p>
        </w:tc>
      </w:tr>
      <w:tr w:rsidR="00657F04" w:rsidRPr="00BC5EF8" w:rsidTr="00423972">
        <w:trPr>
          <w:cantSplit/>
        </w:trPr>
        <w:tc>
          <w:tcPr>
            <w:tcW w:w="724" w:type="dxa"/>
            <w:tcBorders>
              <w:top w:val="nil"/>
              <w:left w:val="nil"/>
              <w:bottom w:val="nil"/>
              <w:right w:val="nil"/>
            </w:tcBorders>
          </w:tcPr>
          <w:p w:rsidR="00657F04" w:rsidRPr="00BC5EF8" w:rsidRDefault="00657F04"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b/>
                <w:sz w:val="16"/>
                <w:lang w:eastAsia="en-AU"/>
              </w:rPr>
            </w:pPr>
            <w:r w:rsidRPr="00BC5EF8">
              <w:rPr>
                <w:rFonts w:eastAsiaTheme="minorEastAsia"/>
                <w:b/>
                <w:bCs/>
                <w:sz w:val="16"/>
                <w:lang w:eastAsia="en-AU"/>
              </w:rPr>
              <w:t>Items that will not be reclassified to net result</w:t>
            </w:r>
          </w:p>
        </w:tc>
      </w:tr>
      <w:tr w:rsidR="00B03921" w:rsidRPr="00BC5EF8" w:rsidTr="00016914">
        <w:trPr>
          <w:cantSplit/>
        </w:trPr>
        <w:tc>
          <w:tcPr>
            <w:tcW w:w="724" w:type="dxa"/>
            <w:tcBorders>
              <w:top w:val="nil"/>
              <w:left w:val="nil"/>
              <w:bottom w:val="nil"/>
              <w:right w:val="nil"/>
            </w:tcBorders>
            <w:shd w:val="solid" w:color="FFFFFF" w:fill="auto"/>
          </w:tcPr>
          <w:p w:rsidR="00B03921" w:rsidRPr="00BC5EF8" w:rsidRDefault="00B03921" w:rsidP="00016914">
            <w:pPr>
              <w:pStyle w:val="TableofFigures"/>
              <w:rPr>
                <w:rFonts w:eastAsiaTheme="minorEastAsia"/>
                <w:sz w:val="16"/>
                <w:lang w:eastAsia="en-AU"/>
              </w:rPr>
            </w:pPr>
            <w:r>
              <w:rPr>
                <w:rFonts w:eastAsiaTheme="minorEastAsia"/>
                <w:sz w:val="16"/>
                <w:lang w:eastAsia="en-AU"/>
              </w:rPr>
              <w:t>(680.8)</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Changes in non-financial assets revaluation surplus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(76.2)</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4 820.2</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3 906.5</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913.6</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23.4</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2 004.2</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shd w:val="solid" w:color="FFFFFF" w:fill="auto"/>
          </w:tcPr>
          <w:p w:rsidR="00B03921" w:rsidRPr="00BC5EF8" w:rsidRDefault="00B03921" w:rsidP="00016914">
            <w:pPr>
              <w:pStyle w:val="Tabletext"/>
              <w:rPr>
                <w:rFonts w:eastAsiaTheme="minorEastAsia"/>
                <w:sz w:val="16"/>
                <w:vertAlign w:val="superscript"/>
                <w:lang w:eastAsia="en-AU"/>
              </w:rPr>
            </w:pPr>
            <w:r w:rsidRPr="00BC5EF8">
              <w:rPr>
                <w:rFonts w:eastAsiaTheme="minorEastAsia"/>
                <w:sz w:val="16"/>
                <w:lang w:eastAsia="en-AU"/>
              </w:rPr>
              <w:t>Remeasurement of superannuation defined benefit plans</w:t>
            </w:r>
            <w:r w:rsidRPr="00BC5EF8">
              <w:rPr>
                <w:rFonts w:eastAsiaTheme="minorEastAsia"/>
                <w:sz w:val="16"/>
                <w:vertAlign w:val="superscript"/>
                <w:lang w:eastAsia="en-AU"/>
              </w:rPr>
              <w:t>(a)</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7a</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(4 435.6)</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(4 278.8)</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499.2</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(4 778.0)</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(957.2)</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1 110.9</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Net gain/(loss) on equity investments in other sector entities at proportional share of the carrying amount of net assets</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2.7</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2 438.1</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2 884.3</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(446.2)</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(15.5)</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634.8</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Other movements in equity</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(626.3)</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44.9</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0.1</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44.9</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47 272.7</w:t>
            </w:r>
          </w:p>
        </w:tc>
      </w:tr>
      <w:tr w:rsidR="00657F04" w:rsidRPr="00BC5EF8" w:rsidTr="00423972">
        <w:trPr>
          <w:cantSplit/>
        </w:trPr>
        <w:tc>
          <w:tcPr>
            <w:tcW w:w="724"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sz w:val="16"/>
                <w:lang w:eastAsia="en-AU"/>
              </w:rPr>
            </w:pPr>
            <w:r w:rsidRPr="00BC5EF8">
              <w:rPr>
                <w:rFonts w:eastAsiaTheme="minorEastAsia"/>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sz w:val="16"/>
                <w:lang w:eastAsia="en-AU"/>
              </w:rPr>
            </w:pPr>
            <w:r w:rsidRPr="00BC5EF8">
              <w:rPr>
                <w:rFonts w:eastAsiaTheme="minorEastAsia"/>
                <w:b/>
                <w:bCs/>
                <w:sz w:val="16"/>
                <w:lang w:eastAsia="en-AU"/>
              </w:rPr>
              <w:t>Items that may be reclassified subsequently to net result</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28.4</w:t>
            </w:r>
          </w:p>
        </w:tc>
        <w:tc>
          <w:tcPr>
            <w:tcW w:w="123"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Net gain/(loss) on financial assets at fair value</w:t>
            </w:r>
          </w:p>
        </w:tc>
        <w:tc>
          <w:tcPr>
            <w:tcW w:w="487" w:type="dxa"/>
            <w:tcBorders>
              <w:top w:val="nil"/>
              <w:left w:val="nil"/>
              <w:bottom w:val="nil"/>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(46.3)</w:t>
            </w:r>
          </w:p>
        </w:tc>
        <w:tc>
          <w:tcPr>
            <w:tcW w:w="686"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1.2</w:t>
            </w:r>
          </w:p>
        </w:tc>
        <w:tc>
          <w:tcPr>
            <w:tcW w:w="73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1.1</w:t>
            </w:r>
          </w:p>
        </w:tc>
        <w:tc>
          <w:tcPr>
            <w:tcW w:w="731"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0.1</w:t>
            </w:r>
          </w:p>
        </w:tc>
        <w:tc>
          <w:tcPr>
            <w:tcW w:w="660" w:type="dxa"/>
            <w:tcBorders>
              <w:top w:val="nil"/>
              <w:left w:val="nil"/>
              <w:bottom w:val="nil"/>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7.0</w:t>
            </w:r>
          </w:p>
        </w:tc>
      </w:tr>
      <w:tr w:rsidR="00B03921" w:rsidRPr="00BC5EF8" w:rsidTr="00016914">
        <w:trPr>
          <w:cantSplit/>
        </w:trPr>
        <w:tc>
          <w:tcPr>
            <w:tcW w:w="724"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3 097.6</w:t>
            </w:r>
          </w:p>
        </w:tc>
        <w:tc>
          <w:tcPr>
            <w:tcW w:w="123"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6" w:space="0" w:color="auto"/>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Total other economic flows – other comprehensive income</w:t>
            </w:r>
            <w:r w:rsidRPr="00BC5EF8">
              <w:rPr>
                <w:rFonts w:eastAsiaTheme="minorEastAsia"/>
                <w:b/>
                <w:sz w:val="16"/>
                <w:vertAlign w:val="superscript"/>
                <w:lang w:eastAsia="en-AU"/>
              </w:rPr>
              <w:t>(a)</w:t>
            </w:r>
          </w:p>
        </w:tc>
        <w:tc>
          <w:tcPr>
            <w:tcW w:w="487" w:type="dxa"/>
            <w:tcBorders>
              <w:top w:val="single" w:sz="6" w:space="0" w:color="auto"/>
              <w:left w:val="nil"/>
              <w:bottom w:val="single" w:sz="6"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(5 181.8)</w:t>
            </w:r>
          </w:p>
        </w:tc>
        <w:tc>
          <w:tcPr>
            <w:tcW w:w="686"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3 025.6</w:t>
            </w:r>
          </w:p>
        </w:tc>
        <w:tc>
          <w:tcPr>
            <w:tcW w:w="73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7 291.2</w:t>
            </w:r>
          </w:p>
        </w:tc>
        <w:tc>
          <w:tcPr>
            <w:tcW w:w="731"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(4 265.6)</w:t>
            </w:r>
          </w:p>
        </w:tc>
        <w:tc>
          <w:tcPr>
            <w:tcW w:w="660" w:type="dxa"/>
            <w:tcBorders>
              <w:top w:val="single" w:sz="6" w:space="0" w:color="auto"/>
              <w:left w:val="nil"/>
              <w:bottom w:val="single" w:sz="6"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(58.5)</w:t>
            </w:r>
          </w:p>
        </w:tc>
      </w:tr>
      <w:tr w:rsidR="00B03921" w:rsidRPr="00BC5EF8" w:rsidTr="00016914">
        <w:trPr>
          <w:cantSplit/>
        </w:trPr>
        <w:tc>
          <w:tcPr>
            <w:tcW w:w="724"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2 888.4</w:t>
            </w:r>
          </w:p>
        </w:tc>
        <w:tc>
          <w:tcPr>
            <w:tcW w:w="123"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12" w:space="0" w:color="auto"/>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Comprehensive result – total change in net worth</w:t>
            </w:r>
            <w:r w:rsidRPr="00BC5EF8">
              <w:rPr>
                <w:rFonts w:eastAsiaTheme="minorEastAsia"/>
                <w:b/>
                <w:sz w:val="16"/>
                <w:vertAlign w:val="superscript"/>
                <w:lang w:eastAsia="en-AU"/>
              </w:rPr>
              <w:t>(a)(b)</w:t>
            </w:r>
          </w:p>
        </w:tc>
        <w:tc>
          <w:tcPr>
            <w:tcW w:w="487" w:type="dxa"/>
            <w:tcBorders>
              <w:top w:val="nil"/>
              <w:left w:val="nil"/>
              <w:bottom w:val="single" w:sz="12" w:space="0" w:color="auto"/>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(3 676.3)</w:t>
            </w:r>
          </w:p>
        </w:tc>
        <w:tc>
          <w:tcPr>
            <w:tcW w:w="686"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3 557.6</w:t>
            </w:r>
          </w:p>
        </w:tc>
        <w:tc>
          <w:tcPr>
            <w:tcW w:w="730"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8 443.5</w:t>
            </w:r>
          </w:p>
        </w:tc>
        <w:tc>
          <w:tcPr>
            <w:tcW w:w="731"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(4 885.9)</w:t>
            </w:r>
          </w:p>
        </w:tc>
        <w:tc>
          <w:tcPr>
            <w:tcW w:w="660" w:type="dxa"/>
            <w:tcBorders>
              <w:top w:val="single" w:sz="6" w:space="0" w:color="auto"/>
              <w:left w:val="nil"/>
              <w:bottom w:val="single" w:sz="12" w:space="0" w:color="auto"/>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(57.9)</w:t>
            </w:r>
          </w:p>
        </w:tc>
      </w:tr>
    </w:tbl>
    <w:p w:rsidR="00657F04" w:rsidRDefault="00657F04"/>
    <w:p w:rsidR="00657F04" w:rsidRDefault="00657F04" w:rsidP="00657F04">
      <w:pPr>
        <w:pStyle w:val="Tableheading"/>
      </w:pPr>
      <w:r w:rsidRPr="00F10B6E">
        <w:t>Table B.1:</w:t>
      </w:r>
      <w:r w:rsidRPr="00F10B6E">
        <w:tab/>
        <w:t>Comprehensive operating statement for the period ended 31 March</w:t>
      </w:r>
      <w:r>
        <w:t xml:space="preserve"> </w:t>
      </w:r>
      <w:r w:rsidRPr="00657F04">
        <w:rPr>
          <w:i/>
        </w:rPr>
        <w:t>(continued)</w:t>
      </w:r>
    </w:p>
    <w:p w:rsidR="00657F04" w:rsidRDefault="00657F04" w:rsidP="00657F0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724"/>
        <w:gridCol w:w="123"/>
        <w:gridCol w:w="2903"/>
        <w:gridCol w:w="487"/>
        <w:gridCol w:w="716"/>
        <w:gridCol w:w="686"/>
        <w:gridCol w:w="730"/>
        <w:gridCol w:w="731"/>
        <w:gridCol w:w="660"/>
      </w:tblGrid>
      <w:tr w:rsidR="00657F04" w:rsidRPr="00BC5EF8" w:rsidTr="00423972">
        <w:trPr>
          <w:cantSplit/>
          <w:trHeight w:val="796"/>
          <w:tblHeader/>
        </w:trPr>
        <w:tc>
          <w:tcPr>
            <w:tcW w:w="724" w:type="dxa"/>
            <w:tcBorders>
              <w:top w:val="single" w:sz="6" w:space="0" w:color="auto"/>
              <w:left w:val="single" w:sz="6" w:space="0" w:color="auto"/>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2013-14 Actual</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to Mar</w:t>
            </w:r>
          </w:p>
        </w:tc>
        <w:tc>
          <w:tcPr>
            <w:tcW w:w="123" w:type="dxa"/>
            <w:tcBorders>
              <w:top w:val="single" w:sz="6" w:space="0" w:color="auto"/>
              <w:left w:val="nil"/>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tc>
        <w:tc>
          <w:tcPr>
            <w:tcW w:w="2903" w:type="dxa"/>
            <w:tcBorders>
              <w:top w:val="single" w:sz="6" w:space="0" w:color="auto"/>
              <w:left w:val="nil"/>
              <w:right w:val="nil"/>
            </w:tcBorders>
            <w:shd w:val="clear" w:color="000000" w:fill="000000"/>
          </w:tcPr>
          <w:p w:rsidR="00657F04" w:rsidRPr="00BC5EF8" w:rsidRDefault="00657F04" w:rsidP="00423972">
            <w:pPr>
              <w:pStyle w:val="Tabletext"/>
              <w:rPr>
                <w:rFonts w:eastAsiaTheme="minorEastAsia"/>
                <w:i/>
                <w:sz w:val="16"/>
                <w:lang w:eastAsia="en-AU"/>
              </w:rPr>
            </w:pPr>
            <w:r w:rsidRPr="00BC5EF8">
              <w:rPr>
                <w:rFonts w:eastAsiaTheme="minorEastAsia"/>
                <w:i/>
                <w:sz w:val="16"/>
                <w:lang w:eastAsia="en-AU"/>
              </w:rPr>
              <w:t xml:space="preserve"> </w:t>
            </w:r>
          </w:p>
          <w:p w:rsidR="00657F04" w:rsidRPr="00BC5EF8" w:rsidRDefault="00657F04" w:rsidP="00423972">
            <w:pPr>
              <w:pStyle w:val="Tabletext"/>
              <w:rPr>
                <w:rFonts w:eastAsiaTheme="minorEastAsia"/>
                <w:i/>
                <w:sz w:val="16"/>
                <w:lang w:eastAsia="en-AU"/>
              </w:rPr>
            </w:pPr>
            <w:r w:rsidRPr="00BC5EF8">
              <w:rPr>
                <w:rFonts w:eastAsiaTheme="minorEastAsia"/>
                <w:i/>
                <w:sz w:val="16"/>
                <w:lang w:eastAsia="en-AU"/>
              </w:rPr>
              <w:t xml:space="preserve"> </w:t>
            </w:r>
          </w:p>
          <w:p w:rsidR="00657F04" w:rsidRPr="00BC5EF8" w:rsidRDefault="00657F04" w:rsidP="00423972">
            <w:pPr>
              <w:pStyle w:val="Tabletext"/>
              <w:rPr>
                <w:rFonts w:eastAsiaTheme="minorEastAsia"/>
                <w:i/>
                <w:sz w:val="16"/>
                <w:lang w:eastAsia="en-AU"/>
              </w:rPr>
            </w:pPr>
            <w:r w:rsidRPr="00BC5EF8">
              <w:rPr>
                <w:rFonts w:eastAsiaTheme="minorEastAsia"/>
                <w:i/>
                <w:sz w:val="16"/>
                <w:lang w:eastAsia="en-AU"/>
              </w:rPr>
              <w:t xml:space="preserve"> </w:t>
            </w:r>
          </w:p>
        </w:tc>
        <w:tc>
          <w:tcPr>
            <w:tcW w:w="487" w:type="dxa"/>
            <w:tcBorders>
              <w:top w:val="single" w:sz="6" w:space="0" w:color="auto"/>
              <w:left w:val="nil"/>
              <w:right w:val="nil"/>
            </w:tcBorders>
            <w:shd w:val="clear" w:color="000000" w:fill="000000"/>
          </w:tcPr>
          <w:p w:rsidR="00657F04" w:rsidRDefault="00657F04" w:rsidP="00423972">
            <w:pPr>
              <w:pStyle w:val="Tabletextheadingcentred"/>
              <w:rPr>
                <w:rFonts w:eastAsiaTheme="minorEastAsia"/>
                <w:sz w:val="16"/>
                <w:lang w:eastAsia="en-AU"/>
              </w:rPr>
            </w:pPr>
            <w:r w:rsidRPr="00BC5EF8">
              <w:rPr>
                <w:rFonts w:eastAsiaTheme="minorEastAsia"/>
                <w:sz w:val="16"/>
                <w:lang w:eastAsia="en-AU"/>
              </w:rPr>
              <w:t xml:space="preserve"> </w:t>
            </w:r>
          </w:p>
          <w:p w:rsidR="00657F04" w:rsidRPr="00BC5EF8" w:rsidRDefault="00657F04" w:rsidP="00423972">
            <w:pPr>
              <w:pStyle w:val="Tabletextheadingcentred"/>
              <w:rPr>
                <w:rFonts w:eastAsiaTheme="minorEastAsia"/>
                <w:sz w:val="16"/>
                <w:lang w:eastAsia="en-AU"/>
              </w:rPr>
            </w:pPr>
          </w:p>
          <w:p w:rsidR="00657F04" w:rsidRPr="00BC5EF8" w:rsidRDefault="00657F04" w:rsidP="00423972">
            <w:pPr>
              <w:pStyle w:val="Tabletextheadingcentred"/>
              <w:rPr>
                <w:rFonts w:eastAsiaTheme="minorEastAsia"/>
                <w:sz w:val="16"/>
                <w:lang w:eastAsia="en-AU"/>
              </w:rPr>
            </w:pPr>
            <w:r w:rsidRPr="00BC5EF8">
              <w:rPr>
                <w:rFonts w:eastAsiaTheme="minorEastAsia"/>
                <w:sz w:val="16"/>
                <w:lang w:eastAsia="en-AU"/>
              </w:rPr>
              <w:t xml:space="preserve"> </w:t>
            </w:r>
          </w:p>
          <w:p w:rsidR="00657F04" w:rsidRPr="00BC5EF8" w:rsidRDefault="00657F04" w:rsidP="00423972">
            <w:pPr>
              <w:pStyle w:val="Tabletextheadingcentred"/>
              <w:rPr>
                <w:rFonts w:eastAsiaTheme="minorEastAsia"/>
                <w:sz w:val="16"/>
                <w:lang w:eastAsia="en-AU"/>
              </w:rPr>
            </w:pPr>
            <w:r w:rsidRPr="00BC5EF8">
              <w:rPr>
                <w:rFonts w:eastAsiaTheme="minorEastAsia"/>
                <w:sz w:val="16"/>
                <w:lang w:eastAsia="en-AU"/>
              </w:rPr>
              <w:t>Notes</w:t>
            </w:r>
          </w:p>
        </w:tc>
        <w:tc>
          <w:tcPr>
            <w:tcW w:w="716" w:type="dxa"/>
            <w:tcBorders>
              <w:top w:val="single" w:sz="6" w:space="0" w:color="auto"/>
              <w:left w:val="nil"/>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2014-15 Actual</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to Mar</w:t>
            </w:r>
          </w:p>
        </w:tc>
        <w:tc>
          <w:tcPr>
            <w:tcW w:w="686" w:type="dxa"/>
            <w:tcBorders>
              <w:top w:val="single" w:sz="6" w:space="0" w:color="auto"/>
              <w:left w:val="nil"/>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Revised</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budget</w:t>
            </w:r>
          </w:p>
        </w:tc>
        <w:tc>
          <w:tcPr>
            <w:tcW w:w="730" w:type="dxa"/>
            <w:tcBorders>
              <w:top w:val="single" w:sz="6" w:space="0" w:color="auto"/>
              <w:left w:val="nil"/>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Published</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budget</w:t>
            </w:r>
          </w:p>
        </w:tc>
        <w:tc>
          <w:tcPr>
            <w:tcW w:w="731" w:type="dxa"/>
            <w:tcBorders>
              <w:top w:val="single" w:sz="6" w:space="0" w:color="auto"/>
              <w:left w:val="nil"/>
              <w:right w:val="nil"/>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Budget</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to revised budget</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change  </w:t>
            </w:r>
          </w:p>
        </w:tc>
        <w:tc>
          <w:tcPr>
            <w:tcW w:w="660" w:type="dxa"/>
            <w:tcBorders>
              <w:top w:val="single" w:sz="6" w:space="0" w:color="auto"/>
              <w:left w:val="nil"/>
              <w:right w:val="single" w:sz="6" w:space="0" w:color="auto"/>
            </w:tcBorders>
            <w:shd w:val="clear" w:color="000000" w:fill="000000"/>
          </w:tcPr>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 xml:space="preserve"> </w:t>
            </w:r>
          </w:p>
          <w:p w:rsidR="00657F04" w:rsidRPr="00BC5EF8" w:rsidRDefault="00657F04" w:rsidP="00423972">
            <w:pPr>
              <w:pStyle w:val="Tabletextheading"/>
              <w:rPr>
                <w:rFonts w:eastAsiaTheme="minorEastAsia"/>
                <w:color w:val="FFFFFF"/>
                <w:sz w:val="16"/>
                <w:lang w:eastAsia="en-AU"/>
              </w:rPr>
            </w:pP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Change</w:t>
            </w:r>
          </w:p>
          <w:p w:rsidR="00657F04" w:rsidRPr="00BC5EF8" w:rsidRDefault="00657F04" w:rsidP="00423972">
            <w:pPr>
              <w:pStyle w:val="Tabletextheading"/>
              <w:rPr>
                <w:rFonts w:eastAsiaTheme="minorEastAsia"/>
                <w:color w:val="FFFFFF"/>
                <w:sz w:val="16"/>
                <w:lang w:eastAsia="en-AU"/>
              </w:rPr>
            </w:pPr>
            <w:r w:rsidRPr="00BC5EF8">
              <w:rPr>
                <w:rFonts w:eastAsiaTheme="minorEastAsia"/>
                <w:color w:val="FFFFFF"/>
                <w:sz w:val="16"/>
                <w:lang w:eastAsia="en-AU"/>
              </w:rPr>
              <w:t>%</w:t>
            </w:r>
          </w:p>
        </w:tc>
      </w:tr>
      <w:tr w:rsidR="00657F04" w:rsidRPr="00BC5EF8" w:rsidTr="00423972">
        <w:trPr>
          <w:cantSplit/>
        </w:trPr>
        <w:tc>
          <w:tcPr>
            <w:tcW w:w="724" w:type="dxa"/>
            <w:tcBorders>
              <w:top w:val="nil"/>
              <w:left w:val="nil"/>
              <w:bottom w:val="nil"/>
              <w:right w:val="nil"/>
            </w:tcBorders>
          </w:tcPr>
          <w:p w:rsidR="00657F04" w:rsidRPr="00BC5EF8" w:rsidRDefault="00657F04" w:rsidP="00657F04">
            <w:pPr>
              <w:pStyle w:val="TableofFigures"/>
              <w:rPr>
                <w:rFonts w:eastAsiaTheme="minorEastAsia"/>
                <w:sz w:val="16"/>
                <w:lang w:eastAsia="en-AU"/>
              </w:rPr>
            </w:pPr>
            <w:r w:rsidRPr="00BC5EF8">
              <w:rPr>
                <w:rFonts w:eastAsiaTheme="minorEastAsia"/>
                <w:sz w:val="16"/>
                <w:lang w:eastAsia="en-AU"/>
              </w:rPr>
              <w:t xml:space="preserve"> </w:t>
            </w:r>
          </w:p>
        </w:tc>
        <w:tc>
          <w:tcPr>
            <w:tcW w:w="123" w:type="dxa"/>
            <w:tcBorders>
              <w:top w:val="nil"/>
              <w:left w:val="nil"/>
              <w:bottom w:val="nil"/>
              <w:right w:val="nil"/>
            </w:tcBorders>
          </w:tcPr>
          <w:p w:rsidR="00657F04" w:rsidRPr="00BC5EF8" w:rsidRDefault="00657F04"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6913" w:type="dxa"/>
            <w:gridSpan w:val="7"/>
            <w:tcBorders>
              <w:top w:val="nil"/>
              <w:left w:val="nil"/>
              <w:bottom w:val="nil"/>
              <w:right w:val="nil"/>
            </w:tcBorders>
          </w:tcPr>
          <w:p w:rsidR="00657F04" w:rsidRPr="00BC5EF8" w:rsidRDefault="00657F04" w:rsidP="00657F04">
            <w:pPr>
              <w:pStyle w:val="Tabletext"/>
              <w:rPr>
                <w:rFonts w:eastAsiaTheme="minorEastAsia"/>
                <w:sz w:val="16"/>
                <w:lang w:eastAsia="en-AU"/>
              </w:rPr>
            </w:pPr>
            <w:r w:rsidRPr="00BC5EF8">
              <w:rPr>
                <w:rFonts w:eastAsiaTheme="minorEastAsia"/>
                <w:b/>
                <w:bCs/>
                <w:sz w:val="16"/>
                <w:lang w:eastAsia="en-AU"/>
              </w:rPr>
              <w:t>KEY FISCAL AGGREGATES</w:t>
            </w:r>
          </w:p>
        </w:tc>
      </w:tr>
      <w:tr w:rsidR="00B03921" w:rsidRPr="00BC5EF8" w:rsidTr="00016914">
        <w:trPr>
          <w:cantSplit/>
        </w:trPr>
        <w:tc>
          <w:tcPr>
            <w:tcW w:w="724"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847.6</w:t>
            </w:r>
          </w:p>
        </w:tc>
        <w:tc>
          <w:tcPr>
            <w:tcW w:w="123"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nil"/>
              <w:left w:val="nil"/>
              <w:bottom w:val="nil"/>
              <w:right w:val="nil"/>
            </w:tcBorders>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Net operating balance</w:t>
            </w:r>
            <w:r w:rsidRPr="00BC5EF8">
              <w:rPr>
                <w:rFonts w:eastAsiaTheme="minorEastAsia"/>
                <w:b/>
                <w:sz w:val="16"/>
                <w:vertAlign w:val="superscript"/>
                <w:lang w:eastAsia="en-AU"/>
              </w:rPr>
              <w:t>(a)(b)</w:t>
            </w:r>
          </w:p>
        </w:tc>
        <w:tc>
          <w:tcPr>
            <w:tcW w:w="487" w:type="dxa"/>
            <w:tcBorders>
              <w:top w:val="nil"/>
              <w:left w:val="nil"/>
              <w:bottom w:val="nil"/>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1 872.1</w:t>
            </w:r>
          </w:p>
        </w:tc>
        <w:tc>
          <w:tcPr>
            <w:tcW w:w="686"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883.0</w:t>
            </w:r>
          </w:p>
        </w:tc>
        <w:tc>
          <w:tcPr>
            <w:tcW w:w="730"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1 326.7</w:t>
            </w:r>
          </w:p>
        </w:tc>
        <w:tc>
          <w:tcPr>
            <w:tcW w:w="731"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(443.8)</w:t>
            </w:r>
          </w:p>
        </w:tc>
        <w:tc>
          <w:tcPr>
            <w:tcW w:w="660" w:type="dxa"/>
            <w:tcBorders>
              <w:top w:val="nil"/>
              <w:left w:val="nil"/>
              <w:bottom w:val="nil"/>
              <w:right w:val="nil"/>
            </w:tcBorders>
          </w:tcPr>
          <w:p w:rsidR="00B03921" w:rsidRPr="00BC5EF8" w:rsidRDefault="00B03921" w:rsidP="00016914">
            <w:pPr>
              <w:pStyle w:val="TableofFigures"/>
              <w:rPr>
                <w:rFonts w:eastAsiaTheme="minorEastAsia"/>
                <w:b/>
                <w:bCs/>
                <w:sz w:val="16"/>
                <w:lang w:eastAsia="en-AU"/>
              </w:rPr>
            </w:pPr>
            <w:r>
              <w:rPr>
                <w:rFonts w:eastAsiaTheme="minorEastAsia"/>
                <w:b/>
                <w:bCs/>
                <w:sz w:val="16"/>
                <w:lang w:eastAsia="en-AU"/>
              </w:rPr>
              <w:t>(33.4)</w:t>
            </w:r>
          </w:p>
        </w:tc>
      </w:tr>
      <w:tr w:rsidR="00B03921" w:rsidRPr="00BC5EF8" w:rsidTr="00016914">
        <w:trPr>
          <w:cantSplit/>
        </w:trPr>
        <w:tc>
          <w:tcPr>
            <w:tcW w:w="724"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549.0</w:t>
            </w:r>
          </w:p>
        </w:tc>
        <w:tc>
          <w:tcPr>
            <w:tcW w:w="123"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w:t>
            </w:r>
          </w:p>
        </w:tc>
        <w:tc>
          <w:tcPr>
            <w:tcW w:w="2903" w:type="dxa"/>
            <w:tcBorders>
              <w:top w:val="nil"/>
              <w:left w:val="nil"/>
              <w:bottom w:val="single" w:sz="6" w:space="0" w:color="auto"/>
              <w:right w:val="nil"/>
            </w:tcBorders>
          </w:tcPr>
          <w:p w:rsidR="00B03921" w:rsidRPr="00BC5EF8" w:rsidRDefault="00B03921" w:rsidP="00016914">
            <w:pPr>
              <w:pStyle w:val="Tabletext"/>
              <w:rPr>
                <w:rFonts w:eastAsiaTheme="minorEastAsia"/>
                <w:sz w:val="16"/>
                <w:lang w:eastAsia="en-AU"/>
              </w:rPr>
            </w:pPr>
            <w:r w:rsidRPr="00BC5EF8">
              <w:rPr>
                <w:rFonts w:eastAsiaTheme="minorEastAsia"/>
                <w:sz w:val="16"/>
                <w:lang w:eastAsia="en-AU"/>
              </w:rPr>
              <w:t>Less: Net acquisition of non-financial assets from transactions</w:t>
            </w:r>
          </w:p>
        </w:tc>
        <w:tc>
          <w:tcPr>
            <w:tcW w:w="487" w:type="dxa"/>
            <w:tcBorders>
              <w:top w:val="nil"/>
              <w:left w:val="nil"/>
              <w:bottom w:val="single" w:sz="6" w:space="0" w:color="auto"/>
              <w:right w:val="nil"/>
            </w:tcBorders>
          </w:tcPr>
          <w:p w:rsidR="00B03921" w:rsidRPr="00BC5EF8" w:rsidRDefault="00B03921" w:rsidP="00016914">
            <w:pPr>
              <w:pStyle w:val="Tabletextcentred"/>
              <w:rPr>
                <w:rFonts w:eastAsiaTheme="minorEastAsia"/>
                <w:sz w:val="16"/>
                <w:lang w:eastAsia="en-AU"/>
              </w:rPr>
            </w:pPr>
            <w:r w:rsidRPr="00BC5EF8">
              <w:rPr>
                <w:rFonts w:eastAsiaTheme="minorEastAsia"/>
                <w:sz w:val="16"/>
                <w:lang w:eastAsia="en-AU"/>
              </w:rPr>
              <w:t>11</w:t>
            </w:r>
          </w:p>
        </w:tc>
        <w:tc>
          <w:tcPr>
            <w:tcW w:w="716"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559.8</w:t>
            </w:r>
          </w:p>
        </w:tc>
        <w:tc>
          <w:tcPr>
            <w:tcW w:w="686"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(137.4)</w:t>
            </w:r>
          </w:p>
        </w:tc>
        <w:tc>
          <w:tcPr>
            <w:tcW w:w="730"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 xml:space="preserve"> 966.4</w:t>
            </w:r>
          </w:p>
        </w:tc>
        <w:tc>
          <w:tcPr>
            <w:tcW w:w="731"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sidRPr="00BC5EF8">
              <w:rPr>
                <w:rFonts w:eastAsiaTheme="minorEastAsia"/>
                <w:sz w:val="16"/>
                <w:lang w:eastAsia="en-AU"/>
              </w:rPr>
              <w:t>(1 103.8)</w:t>
            </w:r>
          </w:p>
        </w:tc>
        <w:tc>
          <w:tcPr>
            <w:tcW w:w="660" w:type="dxa"/>
            <w:tcBorders>
              <w:top w:val="nil"/>
              <w:left w:val="nil"/>
              <w:bottom w:val="single" w:sz="6" w:space="0" w:color="auto"/>
              <w:right w:val="nil"/>
            </w:tcBorders>
          </w:tcPr>
          <w:p w:rsidR="00B03921" w:rsidRPr="00BC5EF8" w:rsidRDefault="00B03921" w:rsidP="00016914">
            <w:pPr>
              <w:pStyle w:val="TableofFigures"/>
              <w:rPr>
                <w:rFonts w:eastAsiaTheme="minorEastAsia"/>
                <w:sz w:val="16"/>
                <w:lang w:eastAsia="en-AU"/>
              </w:rPr>
            </w:pPr>
            <w:r>
              <w:rPr>
                <w:rFonts w:eastAsiaTheme="minorEastAsia"/>
                <w:sz w:val="16"/>
                <w:lang w:eastAsia="en-AU"/>
              </w:rPr>
              <w:t>(114.2)</w:t>
            </w:r>
          </w:p>
        </w:tc>
      </w:tr>
      <w:tr w:rsidR="00B03921" w:rsidRPr="00BC5EF8" w:rsidTr="00016914">
        <w:trPr>
          <w:cantSplit/>
        </w:trPr>
        <w:tc>
          <w:tcPr>
            <w:tcW w:w="724"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298.5</w:t>
            </w:r>
          </w:p>
        </w:tc>
        <w:tc>
          <w:tcPr>
            <w:tcW w:w="123"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w:t>
            </w:r>
          </w:p>
        </w:tc>
        <w:tc>
          <w:tcPr>
            <w:tcW w:w="2903" w:type="dxa"/>
            <w:tcBorders>
              <w:top w:val="single" w:sz="6" w:space="0" w:color="auto"/>
              <w:left w:val="nil"/>
              <w:bottom w:val="single" w:sz="12" w:space="0" w:color="000000"/>
              <w:right w:val="nil"/>
            </w:tcBorders>
            <w:shd w:val="solid" w:color="FFFFFF" w:fill="auto"/>
          </w:tcPr>
          <w:p w:rsidR="00B03921" w:rsidRPr="00BC5EF8" w:rsidRDefault="00B03921" w:rsidP="00016914">
            <w:pPr>
              <w:pStyle w:val="Tabletext"/>
              <w:rPr>
                <w:rFonts w:eastAsiaTheme="minorEastAsia"/>
                <w:b/>
                <w:sz w:val="16"/>
                <w:vertAlign w:val="superscript"/>
                <w:lang w:eastAsia="en-AU"/>
              </w:rPr>
            </w:pPr>
            <w:r w:rsidRPr="00BC5EF8">
              <w:rPr>
                <w:rFonts w:eastAsiaTheme="minorEastAsia"/>
                <w:b/>
                <w:bCs/>
                <w:sz w:val="16"/>
                <w:lang w:eastAsia="en-AU"/>
              </w:rPr>
              <w:t>Net lending/(borrowing)</w:t>
            </w:r>
            <w:r w:rsidRPr="00BC5EF8">
              <w:rPr>
                <w:rFonts w:eastAsiaTheme="minorEastAsia"/>
                <w:b/>
                <w:sz w:val="16"/>
                <w:vertAlign w:val="superscript"/>
                <w:lang w:eastAsia="en-AU"/>
              </w:rPr>
              <w:t>(a)(b)</w:t>
            </w:r>
          </w:p>
        </w:tc>
        <w:tc>
          <w:tcPr>
            <w:tcW w:w="487" w:type="dxa"/>
            <w:tcBorders>
              <w:top w:val="single" w:sz="6" w:space="0" w:color="auto"/>
              <w:left w:val="nil"/>
              <w:bottom w:val="single" w:sz="12" w:space="0" w:color="000000"/>
              <w:right w:val="nil"/>
            </w:tcBorders>
          </w:tcPr>
          <w:p w:rsidR="00B03921" w:rsidRPr="00BC5EF8" w:rsidRDefault="00B03921" w:rsidP="00016914">
            <w:pPr>
              <w:pStyle w:val="Tabletextcentred"/>
              <w:rPr>
                <w:rFonts w:eastAsiaTheme="minorEastAsia"/>
                <w:b/>
                <w:sz w:val="16"/>
                <w:lang w:eastAsia="en-AU"/>
              </w:rPr>
            </w:pPr>
            <w:r w:rsidRPr="00BC5EF8">
              <w:rPr>
                <w:rFonts w:eastAsiaTheme="minorEastAsia"/>
                <w:b/>
                <w:sz w:val="16"/>
                <w:lang w:eastAsia="en-AU"/>
              </w:rPr>
              <w:t xml:space="preserve"> </w:t>
            </w:r>
          </w:p>
        </w:tc>
        <w:tc>
          <w:tcPr>
            <w:tcW w:w="716"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1 312.3</w:t>
            </w:r>
          </w:p>
        </w:tc>
        <w:tc>
          <w:tcPr>
            <w:tcW w:w="686"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1 020.3</w:t>
            </w:r>
          </w:p>
        </w:tc>
        <w:tc>
          <w:tcPr>
            <w:tcW w:w="730"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360.4</w:t>
            </w:r>
          </w:p>
        </w:tc>
        <w:tc>
          <w:tcPr>
            <w:tcW w:w="731"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660.0</w:t>
            </w:r>
          </w:p>
        </w:tc>
        <w:tc>
          <w:tcPr>
            <w:tcW w:w="660" w:type="dxa"/>
            <w:tcBorders>
              <w:top w:val="single" w:sz="6" w:space="0" w:color="auto"/>
              <w:left w:val="nil"/>
              <w:bottom w:val="single" w:sz="12" w:space="0" w:color="000000"/>
              <w:right w:val="nil"/>
            </w:tcBorders>
          </w:tcPr>
          <w:p w:rsidR="00B03921" w:rsidRPr="00BC5EF8" w:rsidRDefault="00B03921" w:rsidP="00016914">
            <w:pPr>
              <w:pStyle w:val="TableofFigures"/>
              <w:rPr>
                <w:rFonts w:eastAsiaTheme="minorEastAsia"/>
                <w:b/>
                <w:bCs/>
                <w:sz w:val="16"/>
                <w:lang w:eastAsia="en-AU"/>
              </w:rPr>
            </w:pPr>
            <w:r w:rsidRPr="00BC5EF8">
              <w:rPr>
                <w:rFonts w:eastAsiaTheme="minorEastAsia"/>
                <w:b/>
                <w:bCs/>
                <w:sz w:val="16"/>
                <w:lang w:eastAsia="en-AU"/>
              </w:rPr>
              <w:t xml:space="preserve"> 183.1</w:t>
            </w:r>
          </w:p>
        </w:tc>
      </w:tr>
    </w:tbl>
    <w:p w:rsidR="00B03921" w:rsidRDefault="00B03921" w:rsidP="00016914">
      <w:pPr>
        <w:pStyle w:val="Source"/>
      </w:pPr>
      <w:r w:rsidRPr="00FD4D10">
        <w:t>Source</w:t>
      </w:r>
      <w:r>
        <w:t>: Department of Treasury and Finance</w:t>
      </w:r>
    </w:p>
    <w:p w:rsidR="00B03921" w:rsidRDefault="00B03921" w:rsidP="00016914">
      <w:pPr>
        <w:pStyle w:val="Notes"/>
      </w:pPr>
      <w:r w:rsidRPr="00FD4D10">
        <w:t>The</w:t>
      </w:r>
      <w:r>
        <w:t xml:space="preserve"> accompanying notes form part of these financial statements.</w:t>
      </w:r>
    </w:p>
    <w:p w:rsidR="00B03921" w:rsidRDefault="00B03921" w:rsidP="00016914">
      <w:pPr>
        <w:pStyle w:val="Notes"/>
      </w:pPr>
    </w:p>
    <w:p w:rsidR="00B03921" w:rsidRDefault="00B03921" w:rsidP="00016914">
      <w:pPr>
        <w:pStyle w:val="Notes"/>
      </w:pPr>
      <w:r>
        <w:t>Notes:</w:t>
      </w:r>
    </w:p>
    <w:p w:rsidR="00B03921" w:rsidRDefault="00B03921" w:rsidP="00016914">
      <w:pPr>
        <w:pStyle w:val="Notes"/>
      </w:pPr>
      <w:r>
        <w:t>(a)</w:t>
      </w:r>
      <w:r>
        <w:tab/>
        <w:t>2013-14 March comparative figures have been restated to reflect a change in accounting policy associated with the calculation of the tax liability component  of the unfunded superannuation liability.</w:t>
      </w:r>
    </w:p>
    <w:p w:rsidR="00B03921" w:rsidRDefault="00B03921" w:rsidP="00016914">
      <w:pPr>
        <w:pStyle w:val="Notes"/>
      </w:pPr>
      <w:r>
        <w:t>(b)</w:t>
      </w:r>
      <w:r>
        <w:tab/>
        <w:t>2013-14 March comparative figures have been restated to reflect a change in accounting policy associated with the valuation of school building assets.</w:t>
      </w:r>
    </w:p>
    <w:p w:rsidR="00B03921" w:rsidRPr="00F10B6E" w:rsidRDefault="00B03921" w:rsidP="00016914">
      <w:pPr>
        <w:pStyle w:val="Notes"/>
      </w:pPr>
    </w:p>
    <w:p w:rsidR="00B03921" w:rsidRDefault="00B03921">
      <w:pPr>
        <w:spacing w:after="0"/>
        <w:rPr>
          <w:rFonts w:ascii="Calibri" w:hAnsi="Calibri"/>
          <w:b/>
        </w:rPr>
      </w:pPr>
    </w:p>
    <w:p w:rsidR="00B03921" w:rsidRDefault="00B03921">
      <w:pPr>
        <w:spacing w:after="0"/>
        <w:rPr>
          <w:rFonts w:ascii="Calibri" w:hAnsi="Calibri"/>
          <w:b/>
        </w:rPr>
      </w:pPr>
      <w:r>
        <w:br w:type="page"/>
      </w:r>
    </w:p>
    <w:p w:rsidR="00B03921" w:rsidRDefault="00B03921" w:rsidP="00016914">
      <w:pPr>
        <w:pStyle w:val="Tableheading"/>
      </w:pPr>
      <w:r w:rsidRPr="008B0D7D">
        <w:t>Table B.2:</w:t>
      </w:r>
      <w:r w:rsidRPr="008B0D7D">
        <w:tab/>
        <w:t>Balance sheet as at 31 March</w:t>
      </w:r>
    </w:p>
    <w:p w:rsidR="00B03921" w:rsidRDefault="00B03921" w:rsidP="00016914">
      <w:pPr>
        <w:pStyle w:val="million"/>
        <w:rPr>
          <w:rFonts w:ascii="Times New Roman" w:hAnsi="Times New Roman"/>
          <w:i w:val="0"/>
          <w:sz w:val="20"/>
          <w:szCs w:val="20"/>
          <w:lang w:eastAsia="en-AU"/>
        </w:rPr>
      </w:pPr>
      <w:r w:rsidRPr="00740BDE">
        <w:rPr>
          <w:rStyle w:val="TableheadingChar"/>
          <w:sz w:val="18"/>
        </w:rP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743"/>
        <w:gridCol w:w="110"/>
        <w:gridCol w:w="1667"/>
        <w:gridCol w:w="191"/>
        <w:gridCol w:w="92"/>
        <w:gridCol w:w="349"/>
        <w:gridCol w:w="749"/>
        <w:gridCol w:w="749"/>
        <w:gridCol w:w="749"/>
        <w:gridCol w:w="762"/>
        <w:gridCol w:w="806"/>
        <w:gridCol w:w="793"/>
      </w:tblGrid>
      <w:tr w:rsidR="00657F04" w:rsidRPr="00455E58" w:rsidTr="00423972">
        <w:trPr>
          <w:cantSplit/>
          <w:trHeight w:val="601"/>
          <w:tblHeader/>
        </w:trPr>
        <w:tc>
          <w:tcPr>
            <w:tcW w:w="743" w:type="dxa"/>
            <w:tcBorders>
              <w:top w:val="single" w:sz="6" w:space="0" w:color="000000"/>
              <w:left w:val="single" w:sz="6" w:space="0" w:color="000000"/>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2013-14</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Actual</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31 Mar</w:t>
            </w:r>
          </w:p>
        </w:tc>
        <w:tc>
          <w:tcPr>
            <w:tcW w:w="110"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p>
        </w:tc>
        <w:tc>
          <w:tcPr>
            <w:tcW w:w="1667" w:type="dxa"/>
            <w:tcBorders>
              <w:top w:val="single" w:sz="6" w:space="0" w:color="000000"/>
              <w:left w:val="nil"/>
              <w:right w:val="nil"/>
            </w:tcBorders>
            <w:shd w:val="clear" w:color="000000" w:fill="000000"/>
          </w:tcPr>
          <w:p w:rsidR="00657F04" w:rsidRPr="00455E58" w:rsidRDefault="00657F04" w:rsidP="00016914">
            <w:pPr>
              <w:pStyle w:val="Tabletext"/>
              <w:rPr>
                <w:rFonts w:eastAsiaTheme="minorEastAsia"/>
                <w:i/>
                <w:sz w:val="16"/>
                <w:lang w:eastAsia="en-AU"/>
              </w:rPr>
            </w:pPr>
          </w:p>
        </w:tc>
        <w:tc>
          <w:tcPr>
            <w:tcW w:w="632" w:type="dxa"/>
            <w:gridSpan w:val="3"/>
            <w:tcBorders>
              <w:top w:val="single" w:sz="6" w:space="0" w:color="000000"/>
              <w:left w:val="nil"/>
              <w:right w:val="nil"/>
            </w:tcBorders>
            <w:shd w:val="clear" w:color="000000" w:fill="000000"/>
          </w:tcPr>
          <w:p w:rsidR="00657F04" w:rsidRPr="00455E58" w:rsidRDefault="00657F04" w:rsidP="00016914">
            <w:pPr>
              <w:pStyle w:val="Tabletextheadingcentred"/>
              <w:rPr>
                <w:rFonts w:eastAsiaTheme="minorEastAsia"/>
                <w:sz w:val="16"/>
                <w:lang w:eastAsia="en-AU"/>
              </w:rPr>
            </w:pPr>
            <w:r w:rsidRPr="00455E58">
              <w:rPr>
                <w:rFonts w:eastAsiaTheme="minorEastAsia"/>
                <w:sz w:val="16"/>
                <w:lang w:eastAsia="en-AU"/>
              </w:rPr>
              <w:t xml:space="preserve"> </w:t>
            </w:r>
          </w:p>
          <w:p w:rsidR="00657F04" w:rsidRPr="00455E58" w:rsidRDefault="00657F04" w:rsidP="00016914">
            <w:pPr>
              <w:pStyle w:val="Tabletextheadingcentred"/>
              <w:rPr>
                <w:rFonts w:eastAsiaTheme="minorEastAsia"/>
                <w:sz w:val="16"/>
                <w:lang w:eastAsia="en-AU"/>
              </w:rPr>
            </w:pPr>
            <w:r w:rsidRPr="00455E58">
              <w:rPr>
                <w:rFonts w:eastAsiaTheme="minorEastAsia"/>
                <w:sz w:val="16"/>
                <w:lang w:eastAsia="en-AU"/>
              </w:rPr>
              <w:t xml:space="preserve"> </w:t>
            </w:r>
          </w:p>
          <w:p w:rsidR="00657F04" w:rsidRPr="00455E58" w:rsidRDefault="00657F04" w:rsidP="00016914">
            <w:pPr>
              <w:pStyle w:val="Tabletextheadingcentred"/>
              <w:jc w:val="right"/>
              <w:rPr>
                <w:rFonts w:eastAsiaTheme="minorEastAsia"/>
                <w:sz w:val="16"/>
                <w:lang w:eastAsia="en-AU"/>
              </w:rPr>
            </w:pPr>
            <w:r>
              <w:rPr>
                <w:rFonts w:eastAsiaTheme="minorEastAsia"/>
                <w:sz w:val="16"/>
                <w:lang w:eastAsia="en-AU"/>
              </w:rPr>
              <w:t>Notes</w:t>
            </w:r>
            <w:r w:rsidRPr="00455E58">
              <w:rPr>
                <w:rFonts w:eastAsiaTheme="minorEastAsia"/>
                <w:sz w:val="16"/>
                <w:lang w:eastAsia="en-AU"/>
              </w:rPr>
              <w:t xml:space="preserve"> </w:t>
            </w:r>
          </w:p>
        </w:tc>
        <w:tc>
          <w:tcPr>
            <w:tcW w:w="749"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 </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Opening</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1 Jul</w:t>
            </w:r>
          </w:p>
        </w:tc>
        <w:tc>
          <w:tcPr>
            <w:tcW w:w="749"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2014-15</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Actual</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31 Mar</w:t>
            </w:r>
          </w:p>
        </w:tc>
        <w:tc>
          <w:tcPr>
            <w:tcW w:w="749"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 </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Revised</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budget</w:t>
            </w:r>
          </w:p>
        </w:tc>
        <w:tc>
          <w:tcPr>
            <w:tcW w:w="762"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 </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2014-15</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budget </w:t>
            </w:r>
            <w:r w:rsidRPr="00455E58">
              <w:rPr>
                <w:rFonts w:eastAsiaTheme="minorEastAsia"/>
                <w:color w:val="FFFFFF"/>
                <w:sz w:val="16"/>
                <w:vertAlign w:val="superscript"/>
                <w:lang w:eastAsia="en-AU"/>
              </w:rPr>
              <w:t>(a)</w:t>
            </w:r>
          </w:p>
        </w:tc>
        <w:tc>
          <w:tcPr>
            <w:tcW w:w="806" w:type="dxa"/>
            <w:tcBorders>
              <w:top w:val="single" w:sz="6" w:space="0" w:color="000000"/>
              <w:left w:val="nil"/>
              <w:right w:val="nil"/>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 </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Revised</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movement</w:t>
            </w:r>
          </w:p>
        </w:tc>
        <w:tc>
          <w:tcPr>
            <w:tcW w:w="793" w:type="dxa"/>
            <w:tcBorders>
              <w:top w:val="single" w:sz="6" w:space="0" w:color="000000"/>
              <w:left w:val="nil"/>
              <w:right w:val="single" w:sz="6" w:space="0" w:color="000000"/>
            </w:tcBorders>
            <w:shd w:val="clear" w:color="000000" w:fill="000000"/>
          </w:tcPr>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 xml:space="preserve"> </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Budgeted</w:t>
            </w:r>
          </w:p>
          <w:p w:rsidR="00657F04" w:rsidRPr="00455E58" w:rsidRDefault="00657F04" w:rsidP="00016914">
            <w:pPr>
              <w:pStyle w:val="Tabletextheading"/>
              <w:rPr>
                <w:rFonts w:eastAsiaTheme="minorEastAsia"/>
                <w:color w:val="FFFFFF"/>
                <w:sz w:val="16"/>
                <w:lang w:eastAsia="en-AU"/>
              </w:rPr>
            </w:pPr>
            <w:r w:rsidRPr="00455E58">
              <w:rPr>
                <w:rFonts w:eastAsiaTheme="minorEastAsia"/>
                <w:color w:val="FFFFFF"/>
                <w:sz w:val="16"/>
                <w:lang w:eastAsia="en-AU"/>
              </w:rPr>
              <w:t>movement</w:t>
            </w:r>
          </w:p>
        </w:tc>
      </w:tr>
      <w:tr w:rsidR="00657F04" w:rsidRPr="00455E58" w:rsidTr="00423972">
        <w:trPr>
          <w:cantSplit/>
        </w:trPr>
        <w:tc>
          <w:tcPr>
            <w:tcW w:w="743" w:type="dxa"/>
            <w:tcBorders>
              <w:top w:val="single" w:sz="6" w:space="0" w:color="000000"/>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110" w:type="dxa"/>
            <w:tcBorders>
              <w:top w:val="single" w:sz="6" w:space="0" w:color="000000"/>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6907" w:type="dxa"/>
            <w:gridSpan w:val="10"/>
            <w:tcBorders>
              <w:top w:val="single" w:sz="6" w:space="0" w:color="000000"/>
              <w:left w:val="nil"/>
              <w:bottom w:val="nil"/>
              <w:right w:val="nil"/>
            </w:tcBorders>
          </w:tcPr>
          <w:p w:rsidR="00657F04" w:rsidRPr="00455E58" w:rsidRDefault="00657F04" w:rsidP="00657F04">
            <w:pPr>
              <w:pStyle w:val="Tabletext"/>
              <w:rPr>
                <w:rFonts w:eastAsiaTheme="minorEastAsia"/>
                <w:sz w:val="16"/>
                <w:lang w:eastAsia="en-AU"/>
              </w:rPr>
            </w:pPr>
            <w:r w:rsidRPr="00455E58">
              <w:rPr>
                <w:rFonts w:eastAsiaTheme="minorEastAsia"/>
                <w:b/>
                <w:bCs/>
                <w:sz w:val="16"/>
                <w:lang w:eastAsia="en-AU"/>
              </w:rPr>
              <w:t>Assets</w:t>
            </w:r>
          </w:p>
        </w:tc>
      </w:tr>
      <w:tr w:rsidR="00657F04" w:rsidRPr="00455E58" w:rsidTr="00423972">
        <w:trPr>
          <w:cantSplit/>
        </w:trPr>
        <w:tc>
          <w:tcPr>
            <w:tcW w:w="743"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110"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6907" w:type="dxa"/>
            <w:gridSpan w:val="10"/>
            <w:tcBorders>
              <w:top w:val="nil"/>
              <w:left w:val="nil"/>
              <w:bottom w:val="nil"/>
              <w:right w:val="nil"/>
            </w:tcBorders>
          </w:tcPr>
          <w:p w:rsidR="00657F04" w:rsidRPr="00455E58" w:rsidRDefault="00657F04" w:rsidP="00657F04">
            <w:pPr>
              <w:pStyle w:val="Tabletext"/>
              <w:rPr>
                <w:rFonts w:eastAsiaTheme="minorEastAsia"/>
                <w:sz w:val="16"/>
                <w:lang w:eastAsia="en-AU"/>
              </w:rPr>
            </w:pPr>
            <w:r w:rsidRPr="00455E58">
              <w:rPr>
                <w:rFonts w:eastAsiaTheme="minorEastAsia"/>
                <w:b/>
                <w:bCs/>
                <w:sz w:val="16"/>
                <w:lang w:eastAsia="en-AU"/>
              </w:rPr>
              <w:t>Financial assets</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3 064.7</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Cash and deposits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4 500.9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4 527.2</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4 912.6</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4 654.1</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411.7</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153.2</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4 593.5</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Advances paid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4 586.9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4 573.3</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4 567.9</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4 537.7</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(19.0)</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(49.2)</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5 893.4</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Receivables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12</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4 940.6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6 729.0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5 010.0</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4 861.3</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69.5</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(79.2)</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4 166.0</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Investments, loans and placements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3 117.6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3 478.7</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3 039.3</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3 140.3</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(78.3)</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22.6</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49.4</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950" w:type="dxa"/>
            <w:gridSpan w:val="3"/>
            <w:tcBorders>
              <w:top w:val="nil"/>
              <w:left w:val="nil"/>
              <w:bottom w:val="nil"/>
              <w:right w:val="nil"/>
            </w:tcBorders>
            <w:shd w:val="solid" w:color="FFFFFF" w:fill="auto"/>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Investments accounted for using the equity method</w:t>
            </w:r>
          </w:p>
        </w:tc>
        <w:tc>
          <w:tcPr>
            <w:tcW w:w="349" w:type="dxa"/>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44.1</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46.9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44.1</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44.1</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w:t>
            </w:r>
          </w:p>
        </w:tc>
      </w:tr>
      <w:tr w:rsidR="00B03921" w:rsidRPr="00455E58" w:rsidTr="00657F04">
        <w:trPr>
          <w:cantSplit/>
        </w:trPr>
        <w:tc>
          <w:tcPr>
            <w:tcW w:w="743" w:type="dxa"/>
            <w:tcBorders>
              <w:top w:val="nil"/>
              <w:left w:val="nil"/>
              <w:bottom w:val="nil"/>
              <w:right w:val="nil"/>
            </w:tcBorders>
            <w:shd w:val="solid" w:color="FFFFFF"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72 375.8</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950" w:type="dxa"/>
            <w:gridSpan w:val="3"/>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Investments in other sector entities</w:t>
            </w:r>
            <w:r w:rsidRPr="00455E58">
              <w:rPr>
                <w:rFonts w:eastAsiaTheme="minorEastAsia"/>
                <w:sz w:val="16"/>
                <w:vertAlign w:val="superscript"/>
                <w:lang w:eastAsia="en-AU"/>
              </w:rPr>
              <w:t>(b)</w:t>
            </w:r>
          </w:p>
        </w:tc>
        <w:tc>
          <w:tcPr>
            <w:tcW w:w="349" w:type="dxa"/>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75 869.2</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76 357.5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80 446.8</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81 013.8</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4 577.6</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5 144.6</w:t>
            </w:r>
          </w:p>
        </w:tc>
      </w:tr>
      <w:tr w:rsidR="00B03921" w:rsidRPr="00455E58" w:rsidTr="00657F04">
        <w:trPr>
          <w:cantSplit/>
        </w:trPr>
        <w:tc>
          <w:tcPr>
            <w:tcW w:w="743"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90 142.8</w:t>
            </w:r>
          </w:p>
        </w:tc>
        <w:tc>
          <w:tcPr>
            <w:tcW w:w="110"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single" w:sz="6" w:space="0" w:color="auto"/>
              <w:left w:val="nil"/>
              <w:bottom w:val="single" w:sz="12" w:space="0" w:color="auto"/>
              <w:right w:val="nil"/>
            </w:tcBorders>
            <w:shd w:val="solid" w:color="FFFFFF" w:fill="auto"/>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Total financial assets</w:t>
            </w:r>
            <w:r w:rsidRPr="00455E58">
              <w:rPr>
                <w:rFonts w:eastAsiaTheme="minorEastAsia"/>
                <w:b/>
                <w:sz w:val="16"/>
                <w:vertAlign w:val="superscript"/>
                <w:lang w:eastAsia="en-AU"/>
              </w:rPr>
              <w:t>(b)</w:t>
            </w:r>
          </w:p>
        </w:tc>
        <w:tc>
          <w:tcPr>
            <w:tcW w:w="441" w:type="dxa"/>
            <w:gridSpan w:val="2"/>
            <w:tcBorders>
              <w:top w:val="single" w:sz="6" w:space="0" w:color="auto"/>
              <w:left w:val="nil"/>
              <w:bottom w:val="single" w:sz="12" w:space="0" w:color="auto"/>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93 059.4</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95 712.5</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98 020.7</w:t>
            </w:r>
          </w:p>
        </w:tc>
        <w:tc>
          <w:tcPr>
            <w:tcW w:w="762"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98 251.3</w:t>
            </w:r>
          </w:p>
        </w:tc>
        <w:tc>
          <w:tcPr>
            <w:tcW w:w="806"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4 961.4</w:t>
            </w:r>
          </w:p>
        </w:tc>
        <w:tc>
          <w:tcPr>
            <w:tcW w:w="793"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5 192.0</w:t>
            </w:r>
          </w:p>
        </w:tc>
      </w:tr>
      <w:tr w:rsidR="00657F04" w:rsidRPr="00455E58" w:rsidTr="00423972">
        <w:trPr>
          <w:cantSplit/>
        </w:trPr>
        <w:tc>
          <w:tcPr>
            <w:tcW w:w="743"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110"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6907" w:type="dxa"/>
            <w:gridSpan w:val="10"/>
            <w:tcBorders>
              <w:top w:val="nil"/>
              <w:left w:val="nil"/>
              <w:bottom w:val="nil"/>
              <w:right w:val="nil"/>
            </w:tcBorders>
          </w:tcPr>
          <w:p w:rsidR="00657F04" w:rsidRPr="00455E58" w:rsidRDefault="00657F04" w:rsidP="00657F04">
            <w:pPr>
              <w:pStyle w:val="Tabletext"/>
              <w:rPr>
                <w:rFonts w:eastAsiaTheme="minorEastAsia"/>
                <w:sz w:val="16"/>
                <w:lang w:eastAsia="en-AU"/>
              </w:rPr>
            </w:pPr>
            <w:r w:rsidRPr="00455E58">
              <w:rPr>
                <w:rFonts w:eastAsiaTheme="minorEastAsia"/>
                <w:b/>
                <w:bCs/>
                <w:sz w:val="16"/>
                <w:lang w:eastAsia="en-AU"/>
              </w:rPr>
              <w:t>Non-financial assets</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183.2</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Inventories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176.6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147.1</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155.1</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175.1</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(21.5)</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(1.5)</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55.8</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Non-financial assets held for sale</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142.5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151.5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128.5</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142.5</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(14.0)</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102 645.8</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Land, buildings, infrastructure, plant and equipment</w:t>
            </w:r>
            <w:r w:rsidRPr="00455E58">
              <w:rPr>
                <w:rFonts w:eastAsiaTheme="minorEastAsia"/>
                <w:sz w:val="16"/>
                <w:vertAlign w:val="superscript"/>
                <w:lang w:eastAsia="en-AU"/>
              </w:rPr>
              <w:t>(d)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13a</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105 161.7</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104 847.4</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109 633.6</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108 299.7</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4 471.9</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3 138.0</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1 145.9</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Other non-financial assets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14</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1 204.8</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1 325.0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1 208.5</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1 190.5</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3.6</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(14.3)</w:t>
            </w:r>
          </w:p>
        </w:tc>
      </w:tr>
      <w:tr w:rsidR="00B03921" w:rsidRPr="00455E58" w:rsidTr="00657F04">
        <w:trPr>
          <w:cantSplit/>
        </w:trPr>
        <w:tc>
          <w:tcPr>
            <w:tcW w:w="743"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104 030.8</w:t>
            </w:r>
          </w:p>
        </w:tc>
        <w:tc>
          <w:tcPr>
            <w:tcW w:w="110"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single" w:sz="6" w:space="0" w:color="auto"/>
              <w:left w:val="nil"/>
              <w:bottom w:val="single" w:sz="6" w:space="0" w:color="auto"/>
              <w:right w:val="nil"/>
            </w:tcBorders>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Total non-financial assets</w:t>
            </w:r>
            <w:r w:rsidRPr="00455E58">
              <w:rPr>
                <w:rFonts w:eastAsiaTheme="minorEastAsia"/>
                <w:b/>
                <w:sz w:val="16"/>
                <w:vertAlign w:val="superscript"/>
                <w:lang w:eastAsia="en-AU"/>
              </w:rPr>
              <w:t>(d)</w:t>
            </w:r>
          </w:p>
        </w:tc>
        <w:tc>
          <w:tcPr>
            <w:tcW w:w="441" w:type="dxa"/>
            <w:gridSpan w:val="2"/>
            <w:tcBorders>
              <w:top w:val="single" w:sz="6" w:space="0" w:color="auto"/>
              <w:left w:val="nil"/>
              <w:bottom w:val="single" w:sz="6" w:space="0" w:color="auto"/>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106 685.6</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106 470.9</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111 125.6</w:t>
            </w:r>
          </w:p>
        </w:tc>
        <w:tc>
          <w:tcPr>
            <w:tcW w:w="762"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109 807.8</w:t>
            </w:r>
          </w:p>
        </w:tc>
        <w:tc>
          <w:tcPr>
            <w:tcW w:w="806"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4 440.1</w:t>
            </w:r>
          </w:p>
        </w:tc>
        <w:tc>
          <w:tcPr>
            <w:tcW w:w="793"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3 122.2</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194 173.6</w:t>
            </w:r>
          </w:p>
        </w:tc>
        <w:tc>
          <w:tcPr>
            <w:tcW w:w="110"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Total assets</w:t>
            </w:r>
            <w:r w:rsidRPr="00455E58">
              <w:rPr>
                <w:rFonts w:eastAsiaTheme="minorEastAsia"/>
                <w:b/>
                <w:sz w:val="16"/>
                <w:vertAlign w:val="superscript"/>
                <w:lang w:eastAsia="en-AU"/>
              </w:rPr>
              <w:t>(b)(d)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199 744.9</w:t>
            </w:r>
          </w:p>
        </w:tc>
        <w:tc>
          <w:tcPr>
            <w:tcW w:w="749"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202 183.4</w:t>
            </w:r>
          </w:p>
        </w:tc>
        <w:tc>
          <w:tcPr>
            <w:tcW w:w="749"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209 146.3</w:t>
            </w:r>
          </w:p>
        </w:tc>
        <w:tc>
          <w:tcPr>
            <w:tcW w:w="762"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208 059.1</w:t>
            </w:r>
          </w:p>
        </w:tc>
        <w:tc>
          <w:tcPr>
            <w:tcW w:w="806"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9 401.4</w:t>
            </w:r>
          </w:p>
        </w:tc>
        <w:tc>
          <w:tcPr>
            <w:tcW w:w="793"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8 314.2</w:t>
            </w:r>
          </w:p>
        </w:tc>
      </w:tr>
      <w:tr w:rsidR="00657F04" w:rsidRPr="00455E58" w:rsidTr="00423972">
        <w:trPr>
          <w:cantSplit/>
        </w:trPr>
        <w:tc>
          <w:tcPr>
            <w:tcW w:w="743"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110" w:type="dxa"/>
            <w:tcBorders>
              <w:top w:val="nil"/>
              <w:left w:val="nil"/>
              <w:bottom w:val="nil"/>
              <w:right w:val="nil"/>
            </w:tcBorders>
          </w:tcPr>
          <w:p w:rsidR="00657F04" w:rsidRPr="00455E58" w:rsidRDefault="00657F04" w:rsidP="00016914">
            <w:pPr>
              <w:pStyle w:val="TableofFigures"/>
              <w:rPr>
                <w:rFonts w:eastAsiaTheme="minorEastAsia"/>
                <w:sz w:val="16"/>
                <w:lang w:eastAsia="en-AU"/>
              </w:rPr>
            </w:pPr>
            <w:r w:rsidRPr="00455E58">
              <w:rPr>
                <w:rFonts w:eastAsiaTheme="minorEastAsia"/>
                <w:sz w:val="16"/>
                <w:lang w:eastAsia="en-AU"/>
              </w:rPr>
              <w:t xml:space="preserve"> </w:t>
            </w:r>
          </w:p>
        </w:tc>
        <w:tc>
          <w:tcPr>
            <w:tcW w:w="6907" w:type="dxa"/>
            <w:gridSpan w:val="10"/>
            <w:tcBorders>
              <w:top w:val="nil"/>
              <w:left w:val="nil"/>
              <w:bottom w:val="nil"/>
              <w:right w:val="nil"/>
            </w:tcBorders>
          </w:tcPr>
          <w:p w:rsidR="00657F04" w:rsidRPr="00455E58" w:rsidRDefault="00657F04" w:rsidP="00657F04">
            <w:pPr>
              <w:pStyle w:val="Tabletext"/>
              <w:rPr>
                <w:rFonts w:eastAsiaTheme="minorEastAsia"/>
                <w:sz w:val="16"/>
                <w:lang w:eastAsia="en-AU"/>
              </w:rPr>
            </w:pPr>
            <w:r w:rsidRPr="00455E58">
              <w:rPr>
                <w:rFonts w:eastAsiaTheme="minorEastAsia"/>
                <w:b/>
                <w:bCs/>
                <w:sz w:val="16"/>
                <w:lang w:eastAsia="en-AU"/>
              </w:rPr>
              <w:t>Liabilities</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591.0</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Deposits held and advances received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426.5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529.0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426.4</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426.4</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(0.1)</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(0.1)</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5 291.8</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Payables</w:t>
            </w:r>
          </w:p>
        </w:tc>
        <w:tc>
          <w:tcPr>
            <w:tcW w:w="441" w:type="dxa"/>
            <w:gridSpan w:val="2"/>
            <w:tcBorders>
              <w:top w:val="nil"/>
              <w:left w:val="nil"/>
              <w:bottom w:val="nil"/>
              <w:right w:val="nil"/>
            </w:tcBorders>
            <w:shd w:val="solid" w:color="FFFFFF" w:fill="auto"/>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5 746.5</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6 375.8</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5 864.2</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5 207.0</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117.7</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(539.5)</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33 889.6</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Borrowings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32 953.6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33 286.1</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33 333.4</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34 933.3</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379.8</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1 979.7</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5 264.6</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Employee benefits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5 302.7</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5 637.4</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5 519.7</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5 535.2</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217.0</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232.4</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23 903.9</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Superannuation</w:t>
            </w:r>
            <w:r w:rsidRPr="00455E58">
              <w:rPr>
                <w:rFonts w:eastAsiaTheme="minorEastAsia"/>
                <w:sz w:val="16"/>
                <w:vertAlign w:val="superscript"/>
                <w:lang w:eastAsia="en-AU"/>
              </w:rPr>
              <w:t>(c)</w:t>
            </w:r>
          </w:p>
        </w:tc>
        <w:tc>
          <w:tcPr>
            <w:tcW w:w="441" w:type="dxa"/>
            <w:gridSpan w:val="2"/>
            <w:tcBorders>
              <w:top w:val="nil"/>
              <w:left w:val="nil"/>
              <w:bottom w:val="nil"/>
              <w:right w:val="nil"/>
            </w:tcBorders>
            <w:shd w:val="solid" w:color="FFFFFF" w:fill="auto"/>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7b</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26 252.9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30 881.1</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30 752.2</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25 377.9</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4 499.3</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(875.1)</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611.0</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Other provisions</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630.6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718.0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1 261.7</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649.1</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631.1</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18.5</w:t>
            </w:r>
          </w:p>
        </w:tc>
      </w:tr>
      <w:tr w:rsidR="00B03921" w:rsidRPr="00455E58" w:rsidTr="00657F04">
        <w:trPr>
          <w:cantSplit/>
        </w:trPr>
        <w:tc>
          <w:tcPr>
            <w:tcW w:w="743"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69 551.9</w:t>
            </w:r>
          </w:p>
        </w:tc>
        <w:tc>
          <w:tcPr>
            <w:tcW w:w="110"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single" w:sz="6" w:space="0" w:color="auto"/>
              <w:left w:val="nil"/>
              <w:bottom w:val="single" w:sz="6" w:space="0" w:color="auto"/>
              <w:right w:val="nil"/>
            </w:tcBorders>
            <w:shd w:val="solid" w:color="FFFFFF" w:fill="auto"/>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Total liabilities</w:t>
            </w:r>
            <w:r w:rsidRPr="00455E58">
              <w:rPr>
                <w:rFonts w:eastAsiaTheme="minorEastAsia"/>
                <w:b/>
                <w:sz w:val="16"/>
                <w:vertAlign w:val="superscript"/>
                <w:lang w:eastAsia="en-AU"/>
              </w:rPr>
              <w:t>(c)</w:t>
            </w:r>
          </w:p>
        </w:tc>
        <w:tc>
          <w:tcPr>
            <w:tcW w:w="441" w:type="dxa"/>
            <w:gridSpan w:val="2"/>
            <w:tcBorders>
              <w:top w:val="single" w:sz="6" w:space="0" w:color="auto"/>
              <w:left w:val="nil"/>
              <w:bottom w:val="single" w:sz="6" w:space="0" w:color="auto"/>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71 312.8</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77 427.6</w:t>
            </w:r>
          </w:p>
        </w:tc>
        <w:tc>
          <w:tcPr>
            <w:tcW w:w="749"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77 157.6</w:t>
            </w:r>
          </w:p>
        </w:tc>
        <w:tc>
          <w:tcPr>
            <w:tcW w:w="762"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72 128.8</w:t>
            </w:r>
          </w:p>
        </w:tc>
        <w:tc>
          <w:tcPr>
            <w:tcW w:w="806"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5 844.9</w:t>
            </w:r>
          </w:p>
        </w:tc>
        <w:tc>
          <w:tcPr>
            <w:tcW w:w="793" w:type="dxa"/>
            <w:tcBorders>
              <w:top w:val="single" w:sz="6" w:space="0" w:color="auto"/>
              <w:left w:val="nil"/>
              <w:bottom w:val="single" w:sz="6"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816.0</w:t>
            </w:r>
          </w:p>
        </w:tc>
      </w:tr>
      <w:tr w:rsidR="00B03921" w:rsidRPr="00455E58" w:rsidTr="00657F04">
        <w:trPr>
          <w:cantSplit/>
        </w:trPr>
        <w:tc>
          <w:tcPr>
            <w:tcW w:w="743"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124 621.7</w:t>
            </w:r>
          </w:p>
        </w:tc>
        <w:tc>
          <w:tcPr>
            <w:tcW w:w="110"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nil"/>
              <w:left w:val="nil"/>
              <w:bottom w:val="single" w:sz="12" w:space="0" w:color="auto"/>
              <w:right w:val="nil"/>
            </w:tcBorders>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Net assets</w:t>
            </w:r>
            <w:r w:rsidRPr="00455E58">
              <w:rPr>
                <w:rFonts w:eastAsiaTheme="minorEastAsia"/>
                <w:b/>
                <w:sz w:val="16"/>
                <w:vertAlign w:val="superscript"/>
                <w:lang w:eastAsia="en-AU"/>
              </w:rPr>
              <w:t>(b)(c)</w:t>
            </w:r>
          </w:p>
        </w:tc>
        <w:tc>
          <w:tcPr>
            <w:tcW w:w="441" w:type="dxa"/>
            <w:gridSpan w:val="2"/>
            <w:tcBorders>
              <w:top w:val="nil"/>
              <w:left w:val="nil"/>
              <w:bottom w:val="single" w:sz="12" w:space="0" w:color="auto"/>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128 432.2</w:t>
            </w:r>
          </w:p>
        </w:tc>
        <w:tc>
          <w:tcPr>
            <w:tcW w:w="749"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124 755.9</w:t>
            </w:r>
          </w:p>
        </w:tc>
        <w:tc>
          <w:tcPr>
            <w:tcW w:w="749"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131 988.7</w:t>
            </w:r>
          </w:p>
        </w:tc>
        <w:tc>
          <w:tcPr>
            <w:tcW w:w="762"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135 930.3</w:t>
            </w:r>
          </w:p>
        </w:tc>
        <w:tc>
          <w:tcPr>
            <w:tcW w:w="806"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3 556.6</w:t>
            </w:r>
          </w:p>
        </w:tc>
        <w:tc>
          <w:tcPr>
            <w:tcW w:w="793" w:type="dxa"/>
            <w:tcBorders>
              <w:top w:val="nil"/>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7 498.2</w:t>
            </w:r>
          </w:p>
        </w:tc>
      </w:tr>
      <w:tr w:rsidR="00B03921" w:rsidRPr="00455E58" w:rsidTr="00657F04">
        <w:trPr>
          <w:cantSplit/>
        </w:trPr>
        <w:tc>
          <w:tcPr>
            <w:tcW w:w="743" w:type="dxa"/>
            <w:tcBorders>
              <w:top w:val="nil"/>
              <w:left w:val="nil"/>
              <w:bottom w:val="nil"/>
              <w:right w:val="nil"/>
            </w:tcBorders>
            <w:shd w:val="solid" w:color="FFFFFF"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44 793.6</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Accumulated surplus/(deficit)</w:t>
            </w:r>
            <w:r w:rsidRPr="00455E58">
              <w:rPr>
                <w:rFonts w:eastAsiaTheme="minorEastAsia"/>
                <w:sz w:val="16"/>
                <w:vertAlign w:val="superscript"/>
                <w:lang w:eastAsia="en-AU"/>
              </w:rPr>
              <w:t>(c)(d)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43 531.3</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39 989.0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39 828.6</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46 066.5</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(3 702.7)</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2 535.3</w:t>
            </w:r>
          </w:p>
        </w:tc>
      </w:tr>
      <w:tr w:rsidR="00B03921" w:rsidRPr="00455E58" w:rsidTr="00657F04">
        <w:trPr>
          <w:cantSplit/>
        </w:trPr>
        <w:tc>
          <w:tcPr>
            <w:tcW w:w="743" w:type="dxa"/>
            <w:tcBorders>
              <w:top w:val="nil"/>
              <w:left w:val="nil"/>
              <w:bottom w:val="nil"/>
              <w:right w:val="nil"/>
            </w:tcBorders>
            <w:shd w:val="solid" w:color="FFFFFF"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79 778.0</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Reserves</w:t>
            </w:r>
            <w:r w:rsidRPr="00455E58">
              <w:rPr>
                <w:rFonts w:eastAsiaTheme="minorEastAsia"/>
                <w:sz w:val="16"/>
                <w:vertAlign w:val="superscript"/>
                <w:lang w:eastAsia="en-AU"/>
              </w:rPr>
              <w:t>(b)(d)</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84 850.9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84 716.8</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92 110.2</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89 813.8</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7 259.3</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4 962.9</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50.0</w:t>
            </w:r>
          </w:p>
        </w:tc>
        <w:tc>
          <w:tcPr>
            <w:tcW w:w="110"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Non-controlling interest</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50.0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50.0</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50.0</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50.0</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w:t>
            </w:r>
          </w:p>
        </w:tc>
      </w:tr>
      <w:tr w:rsidR="00B03921" w:rsidRPr="00455E58" w:rsidTr="00657F04">
        <w:trPr>
          <w:cantSplit/>
        </w:trPr>
        <w:tc>
          <w:tcPr>
            <w:tcW w:w="743"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124 621.7</w:t>
            </w:r>
          </w:p>
        </w:tc>
        <w:tc>
          <w:tcPr>
            <w:tcW w:w="110"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single" w:sz="6" w:space="0" w:color="auto"/>
              <w:left w:val="nil"/>
              <w:bottom w:val="single" w:sz="12" w:space="0" w:color="auto"/>
              <w:right w:val="nil"/>
            </w:tcBorders>
          </w:tcPr>
          <w:p w:rsidR="00B03921" w:rsidRPr="00455E58" w:rsidRDefault="00B03921" w:rsidP="00016914">
            <w:pPr>
              <w:pStyle w:val="Tabletext"/>
              <w:rPr>
                <w:rFonts w:eastAsiaTheme="minorEastAsia"/>
                <w:b/>
                <w:sz w:val="16"/>
                <w:vertAlign w:val="superscript"/>
                <w:lang w:eastAsia="en-AU"/>
              </w:rPr>
            </w:pPr>
            <w:r w:rsidRPr="00455E58">
              <w:rPr>
                <w:rFonts w:eastAsiaTheme="minorEastAsia"/>
                <w:b/>
                <w:bCs/>
                <w:sz w:val="16"/>
                <w:lang w:eastAsia="en-AU"/>
              </w:rPr>
              <w:t>Net worth</w:t>
            </w:r>
            <w:r w:rsidRPr="00455E58">
              <w:rPr>
                <w:rFonts w:eastAsiaTheme="minorEastAsia"/>
                <w:b/>
                <w:sz w:val="16"/>
                <w:vertAlign w:val="superscript"/>
                <w:lang w:eastAsia="en-AU"/>
              </w:rPr>
              <w:t>(b)(c)(d)</w:t>
            </w:r>
          </w:p>
        </w:tc>
        <w:tc>
          <w:tcPr>
            <w:tcW w:w="441" w:type="dxa"/>
            <w:gridSpan w:val="2"/>
            <w:tcBorders>
              <w:top w:val="single" w:sz="6" w:space="0" w:color="auto"/>
              <w:left w:val="nil"/>
              <w:bottom w:val="single" w:sz="12" w:space="0" w:color="auto"/>
              <w:right w:val="nil"/>
            </w:tcBorders>
          </w:tcPr>
          <w:p w:rsidR="00B03921" w:rsidRPr="00455E58" w:rsidRDefault="00B03921" w:rsidP="00016914">
            <w:pPr>
              <w:pStyle w:val="Tabletextcentred"/>
              <w:rPr>
                <w:rFonts w:eastAsiaTheme="minorEastAsia"/>
                <w:b/>
                <w:sz w:val="16"/>
                <w:lang w:eastAsia="en-AU"/>
              </w:rPr>
            </w:pPr>
            <w:r w:rsidRPr="00455E58">
              <w:rPr>
                <w:rFonts w:eastAsiaTheme="minorEastAsia"/>
                <w:b/>
                <w:sz w:val="16"/>
                <w:lang w:eastAsia="en-AU"/>
              </w:rPr>
              <w:t xml:space="preserve"> </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128 432.2</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124 755.9</w:t>
            </w:r>
          </w:p>
        </w:tc>
        <w:tc>
          <w:tcPr>
            <w:tcW w:w="749"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131 988.7</w:t>
            </w:r>
          </w:p>
        </w:tc>
        <w:tc>
          <w:tcPr>
            <w:tcW w:w="762"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135 930.3</w:t>
            </w:r>
          </w:p>
        </w:tc>
        <w:tc>
          <w:tcPr>
            <w:tcW w:w="806"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3 556.6</w:t>
            </w:r>
          </w:p>
        </w:tc>
        <w:tc>
          <w:tcPr>
            <w:tcW w:w="793" w:type="dxa"/>
            <w:tcBorders>
              <w:top w:val="single" w:sz="6" w:space="0" w:color="auto"/>
              <w:left w:val="nil"/>
              <w:bottom w:val="single" w:sz="12" w:space="0" w:color="auto"/>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7 498.2</w:t>
            </w:r>
          </w:p>
        </w:tc>
      </w:tr>
      <w:tr w:rsidR="00657F04" w:rsidRPr="00455E58" w:rsidTr="00423972">
        <w:trPr>
          <w:cantSplit/>
        </w:trPr>
        <w:tc>
          <w:tcPr>
            <w:tcW w:w="743" w:type="dxa"/>
            <w:tcBorders>
              <w:top w:val="nil"/>
              <w:left w:val="nil"/>
              <w:bottom w:val="nil"/>
              <w:right w:val="nil"/>
            </w:tcBorders>
          </w:tcPr>
          <w:p w:rsidR="00657F04" w:rsidRPr="00455E58" w:rsidRDefault="00657F04"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10" w:type="dxa"/>
            <w:tcBorders>
              <w:top w:val="nil"/>
              <w:left w:val="nil"/>
              <w:bottom w:val="nil"/>
              <w:right w:val="nil"/>
            </w:tcBorders>
          </w:tcPr>
          <w:p w:rsidR="00657F04" w:rsidRPr="00455E58" w:rsidRDefault="00657F04"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6907" w:type="dxa"/>
            <w:gridSpan w:val="10"/>
            <w:tcBorders>
              <w:top w:val="nil"/>
              <w:left w:val="nil"/>
              <w:bottom w:val="nil"/>
              <w:right w:val="nil"/>
            </w:tcBorders>
          </w:tcPr>
          <w:p w:rsidR="00657F04" w:rsidRPr="00455E58" w:rsidRDefault="00657F04" w:rsidP="00657F04">
            <w:pPr>
              <w:pStyle w:val="Tabletext"/>
              <w:rPr>
                <w:rFonts w:eastAsiaTheme="minorEastAsia"/>
                <w:b/>
                <w:bCs/>
                <w:sz w:val="16"/>
                <w:lang w:eastAsia="en-AU"/>
              </w:rPr>
            </w:pPr>
            <w:r w:rsidRPr="00455E58">
              <w:rPr>
                <w:rFonts w:eastAsiaTheme="minorEastAsia"/>
                <w:b/>
                <w:bCs/>
                <w:sz w:val="16"/>
                <w:lang w:eastAsia="en-AU"/>
              </w:rPr>
              <w:t>FISCAL AGGREGATES</w:t>
            </w:r>
          </w:p>
        </w:tc>
      </w:tr>
      <w:tr w:rsidR="00B03921" w:rsidRPr="00455E58" w:rsidTr="00657F04">
        <w:trPr>
          <w:cantSplit/>
        </w:trPr>
        <w:tc>
          <w:tcPr>
            <w:tcW w:w="74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20 590.9</w:t>
            </w:r>
          </w:p>
        </w:tc>
        <w:tc>
          <w:tcPr>
            <w:tcW w:w="110" w:type="dxa"/>
            <w:tcBorders>
              <w:top w:val="nil"/>
              <w:left w:val="nil"/>
              <w:bottom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nil"/>
              <w:left w:val="nil"/>
              <w:bottom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Net financial worth</w:t>
            </w:r>
            <w:r w:rsidRPr="00455E58">
              <w:rPr>
                <w:rFonts w:eastAsiaTheme="minorEastAsia"/>
                <w:sz w:val="16"/>
                <w:vertAlign w:val="superscript"/>
                <w:lang w:eastAsia="en-AU"/>
              </w:rPr>
              <w:t>(b)(c)</w:t>
            </w:r>
          </w:p>
        </w:tc>
        <w:tc>
          <w:tcPr>
            <w:tcW w:w="441" w:type="dxa"/>
            <w:gridSpan w:val="2"/>
            <w:tcBorders>
              <w:top w:val="nil"/>
              <w:left w:val="nil"/>
              <w:bottom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21 746.6</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18 284.9</w:t>
            </w:r>
          </w:p>
        </w:tc>
        <w:tc>
          <w:tcPr>
            <w:tcW w:w="749"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20 863.1</w:t>
            </w:r>
          </w:p>
        </w:tc>
        <w:tc>
          <w:tcPr>
            <w:tcW w:w="762"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26 122.6</w:t>
            </w:r>
          </w:p>
        </w:tc>
        <w:tc>
          <w:tcPr>
            <w:tcW w:w="806"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(883.5)</w:t>
            </w:r>
          </w:p>
        </w:tc>
        <w:tc>
          <w:tcPr>
            <w:tcW w:w="793" w:type="dxa"/>
            <w:tcBorders>
              <w:top w:val="nil"/>
              <w:left w:val="nil"/>
              <w:bottom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4 375.9</w:t>
            </w:r>
          </w:p>
        </w:tc>
      </w:tr>
      <w:tr w:rsidR="00B03921" w:rsidRPr="00455E58" w:rsidTr="00657F04">
        <w:trPr>
          <w:cantSplit/>
        </w:trPr>
        <w:tc>
          <w:tcPr>
            <w:tcW w:w="743"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51 784.9</w:t>
            </w:r>
          </w:p>
        </w:tc>
        <w:tc>
          <w:tcPr>
            <w:tcW w:w="110" w:type="dxa"/>
            <w:tcBorders>
              <w:top w:val="nil"/>
              <w:left w:val="nil"/>
              <w:right w:val="nil"/>
            </w:tcBorders>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nil"/>
              <w:left w:val="nil"/>
              <w:right w:val="nil"/>
            </w:tcBorders>
          </w:tcPr>
          <w:p w:rsidR="00B03921" w:rsidRPr="00455E58" w:rsidRDefault="00B03921" w:rsidP="00016914">
            <w:pPr>
              <w:pStyle w:val="Tabletext"/>
              <w:rPr>
                <w:rFonts w:eastAsiaTheme="minorEastAsia"/>
                <w:sz w:val="16"/>
                <w:vertAlign w:val="superscript"/>
                <w:lang w:eastAsia="en-AU"/>
              </w:rPr>
            </w:pPr>
            <w:r w:rsidRPr="00455E58">
              <w:rPr>
                <w:rFonts w:eastAsiaTheme="minorEastAsia"/>
                <w:sz w:val="16"/>
                <w:lang w:eastAsia="en-AU"/>
              </w:rPr>
              <w:t>Net financial liabilities</w:t>
            </w:r>
            <w:r w:rsidRPr="00455E58">
              <w:rPr>
                <w:rFonts w:eastAsiaTheme="minorEastAsia"/>
                <w:sz w:val="16"/>
                <w:vertAlign w:val="superscript"/>
                <w:lang w:eastAsia="en-AU"/>
              </w:rPr>
              <w:t>(b)(c)</w:t>
            </w:r>
          </w:p>
        </w:tc>
        <w:tc>
          <w:tcPr>
            <w:tcW w:w="441" w:type="dxa"/>
            <w:gridSpan w:val="2"/>
            <w:tcBorders>
              <w:top w:val="nil"/>
              <w:left w:val="nil"/>
              <w:right w:val="nil"/>
            </w:tcBorders>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 xml:space="preserve"> </w:t>
            </w:r>
          </w:p>
        </w:tc>
        <w:tc>
          <w:tcPr>
            <w:tcW w:w="749"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54 122.6</w:t>
            </w:r>
          </w:p>
        </w:tc>
        <w:tc>
          <w:tcPr>
            <w:tcW w:w="749"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58 072.5</w:t>
            </w:r>
          </w:p>
        </w:tc>
        <w:tc>
          <w:tcPr>
            <w:tcW w:w="749"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59 583.7</w:t>
            </w:r>
          </w:p>
        </w:tc>
        <w:tc>
          <w:tcPr>
            <w:tcW w:w="762"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54 891.3</w:t>
            </w:r>
          </w:p>
        </w:tc>
        <w:tc>
          <w:tcPr>
            <w:tcW w:w="806"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5 461.1</w:t>
            </w:r>
          </w:p>
        </w:tc>
        <w:tc>
          <w:tcPr>
            <w:tcW w:w="793" w:type="dxa"/>
            <w:tcBorders>
              <w:top w:val="nil"/>
              <w:left w:val="nil"/>
              <w:right w:val="nil"/>
            </w:tcBorders>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768.6</w:t>
            </w:r>
          </w:p>
        </w:tc>
      </w:tr>
      <w:tr w:rsidR="00B03921" w:rsidRPr="00455E58" w:rsidTr="00657F04">
        <w:trPr>
          <w:cantSplit/>
        </w:trPr>
        <w:tc>
          <w:tcPr>
            <w:tcW w:w="743"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22 656.3</w:t>
            </w:r>
          </w:p>
        </w:tc>
        <w:tc>
          <w:tcPr>
            <w:tcW w:w="110"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b/>
                <w:bCs/>
                <w:sz w:val="16"/>
                <w:lang w:eastAsia="en-AU"/>
              </w:rPr>
            </w:pPr>
            <w:r w:rsidRPr="00455E58">
              <w:rPr>
                <w:rFonts w:eastAsiaTheme="minorEastAsia"/>
                <w:b/>
                <w:bCs/>
                <w:sz w:val="16"/>
                <w:lang w:eastAsia="en-AU"/>
              </w:rPr>
              <w:t xml:space="preserve"> </w:t>
            </w:r>
          </w:p>
        </w:tc>
        <w:tc>
          <w:tcPr>
            <w:tcW w:w="1858" w:type="dxa"/>
            <w:gridSpan w:val="2"/>
            <w:tcBorders>
              <w:top w:val="nil"/>
              <w:left w:val="nil"/>
              <w:bottom w:val="single" w:sz="12" w:space="0" w:color="000000"/>
              <w:right w:val="nil"/>
            </w:tcBorders>
            <w:shd w:val="clear" w:color="auto" w:fill="auto"/>
          </w:tcPr>
          <w:p w:rsidR="00B03921" w:rsidRPr="00455E58" w:rsidRDefault="00B03921" w:rsidP="00016914">
            <w:pPr>
              <w:pStyle w:val="Tabletext"/>
              <w:rPr>
                <w:rFonts w:eastAsiaTheme="minorEastAsia"/>
                <w:sz w:val="16"/>
                <w:lang w:eastAsia="en-AU"/>
              </w:rPr>
            </w:pPr>
            <w:r w:rsidRPr="00455E58">
              <w:rPr>
                <w:rFonts w:eastAsiaTheme="minorEastAsia"/>
                <w:sz w:val="16"/>
                <w:lang w:eastAsia="en-AU"/>
              </w:rPr>
              <w:t>Net debt</w:t>
            </w:r>
          </w:p>
        </w:tc>
        <w:tc>
          <w:tcPr>
            <w:tcW w:w="441" w:type="dxa"/>
            <w:gridSpan w:val="2"/>
            <w:tcBorders>
              <w:top w:val="nil"/>
              <w:left w:val="nil"/>
              <w:bottom w:val="single" w:sz="12" w:space="0" w:color="000000"/>
              <w:right w:val="nil"/>
            </w:tcBorders>
            <w:shd w:val="clear" w:color="auto" w:fill="auto"/>
          </w:tcPr>
          <w:p w:rsidR="00B03921" w:rsidRPr="00455E58" w:rsidRDefault="00B03921" w:rsidP="00016914">
            <w:pPr>
              <w:pStyle w:val="Tabletextcentred"/>
              <w:rPr>
                <w:rFonts w:eastAsiaTheme="minorEastAsia"/>
                <w:sz w:val="16"/>
                <w:lang w:eastAsia="en-AU"/>
              </w:rPr>
            </w:pPr>
            <w:r w:rsidRPr="00455E58">
              <w:rPr>
                <w:rFonts w:eastAsiaTheme="minorEastAsia"/>
                <w:sz w:val="16"/>
                <w:lang w:eastAsia="en-AU"/>
              </w:rPr>
              <w:t>17</w:t>
            </w:r>
          </w:p>
        </w:tc>
        <w:tc>
          <w:tcPr>
            <w:tcW w:w="749"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21 174.6</w:t>
            </w:r>
          </w:p>
        </w:tc>
        <w:tc>
          <w:tcPr>
            <w:tcW w:w="749"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21 236.0</w:t>
            </w:r>
          </w:p>
        </w:tc>
        <w:tc>
          <w:tcPr>
            <w:tcW w:w="749"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21 240.0</w:t>
            </w:r>
          </w:p>
        </w:tc>
        <w:tc>
          <w:tcPr>
            <w:tcW w:w="762"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23 027.6</w:t>
            </w:r>
          </w:p>
        </w:tc>
        <w:tc>
          <w:tcPr>
            <w:tcW w:w="806"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 xml:space="preserve"> 65.4</w:t>
            </w:r>
          </w:p>
        </w:tc>
        <w:tc>
          <w:tcPr>
            <w:tcW w:w="793" w:type="dxa"/>
            <w:tcBorders>
              <w:top w:val="nil"/>
              <w:left w:val="nil"/>
              <w:bottom w:val="single" w:sz="12" w:space="0" w:color="000000"/>
              <w:right w:val="nil"/>
            </w:tcBorders>
            <w:shd w:val="clear" w:color="auto" w:fill="auto"/>
          </w:tcPr>
          <w:p w:rsidR="00B03921" w:rsidRPr="00455E58" w:rsidRDefault="00B03921" w:rsidP="00016914">
            <w:pPr>
              <w:pStyle w:val="TableofFigures"/>
              <w:rPr>
                <w:rFonts w:eastAsiaTheme="minorEastAsia"/>
                <w:sz w:val="16"/>
                <w:lang w:eastAsia="en-AU"/>
              </w:rPr>
            </w:pPr>
            <w:r w:rsidRPr="00455E58">
              <w:rPr>
                <w:rFonts w:eastAsiaTheme="minorEastAsia"/>
                <w:sz w:val="16"/>
                <w:lang w:eastAsia="en-AU"/>
              </w:rPr>
              <w:t>1 853.0</w:t>
            </w:r>
          </w:p>
        </w:tc>
      </w:tr>
    </w:tbl>
    <w:p w:rsidR="00B03921" w:rsidRPr="00657F04" w:rsidRDefault="00B03921" w:rsidP="00657F04">
      <w:pPr>
        <w:pStyle w:val="Source"/>
        <w:rPr>
          <w:rStyle w:val="TableheadingChar"/>
          <w:b w:val="0"/>
          <w:sz w:val="15"/>
        </w:rPr>
      </w:pPr>
      <w:r w:rsidRPr="00657F04">
        <w:rPr>
          <w:rStyle w:val="TableheadingChar"/>
          <w:b w:val="0"/>
          <w:sz w:val="15"/>
        </w:rPr>
        <w:t>Source: Department of Treasury and Finance</w:t>
      </w:r>
    </w:p>
    <w:p w:rsidR="00B03921" w:rsidRPr="00657F04" w:rsidRDefault="00B03921" w:rsidP="00657F04">
      <w:pPr>
        <w:pStyle w:val="Notes"/>
        <w:rPr>
          <w:rStyle w:val="TableheadingChar"/>
          <w:b w:val="0"/>
          <w:sz w:val="15"/>
        </w:rPr>
      </w:pPr>
      <w:r w:rsidRPr="00657F04">
        <w:rPr>
          <w:rStyle w:val="TableheadingChar"/>
          <w:b w:val="0"/>
          <w:sz w:val="15"/>
        </w:rPr>
        <w:t>The accompanying notes form part of these financial statements.</w:t>
      </w:r>
    </w:p>
    <w:p w:rsidR="00B03921" w:rsidRPr="00657F04" w:rsidRDefault="00B03921" w:rsidP="00657F04">
      <w:pPr>
        <w:pStyle w:val="Notes"/>
        <w:rPr>
          <w:rStyle w:val="TableheadingChar"/>
          <w:b w:val="0"/>
          <w:sz w:val="15"/>
        </w:rPr>
      </w:pPr>
    </w:p>
    <w:p w:rsidR="00B03921" w:rsidRPr="00657F04" w:rsidRDefault="00B03921" w:rsidP="00657F04">
      <w:pPr>
        <w:pStyle w:val="Notes"/>
        <w:rPr>
          <w:rStyle w:val="TableheadingChar"/>
          <w:b w:val="0"/>
          <w:sz w:val="15"/>
        </w:rPr>
      </w:pPr>
      <w:r w:rsidRPr="00657F04">
        <w:rPr>
          <w:rStyle w:val="TableheadingChar"/>
          <w:b w:val="0"/>
          <w:sz w:val="15"/>
        </w:rPr>
        <w:t>Notes:</w:t>
      </w:r>
    </w:p>
    <w:p w:rsidR="00B03921" w:rsidRPr="00657F04" w:rsidRDefault="00B03921" w:rsidP="00657F04">
      <w:pPr>
        <w:pStyle w:val="Notes"/>
        <w:rPr>
          <w:rStyle w:val="TableheadingChar"/>
          <w:b w:val="0"/>
          <w:sz w:val="15"/>
        </w:rPr>
      </w:pPr>
      <w:r w:rsidRPr="00657F04">
        <w:rPr>
          <w:rStyle w:val="TableheadingChar"/>
          <w:b w:val="0"/>
          <w:sz w:val="15"/>
        </w:rPr>
        <w:t xml:space="preserve">(a) </w:t>
      </w:r>
      <w:r w:rsidRPr="00657F04">
        <w:rPr>
          <w:rStyle w:val="TableheadingChar"/>
          <w:b w:val="0"/>
          <w:sz w:val="15"/>
        </w:rPr>
        <w:tab/>
        <w:t>Budget represents actual opening balances as at 1 July 2014 plus 2014-15 budgeted movement.</w:t>
      </w:r>
    </w:p>
    <w:p w:rsidR="00B03921" w:rsidRPr="00657F04" w:rsidRDefault="00B03921" w:rsidP="00657F04">
      <w:pPr>
        <w:pStyle w:val="Notes"/>
        <w:rPr>
          <w:rStyle w:val="TableheadingChar"/>
          <w:b w:val="0"/>
          <w:sz w:val="15"/>
        </w:rPr>
      </w:pPr>
      <w:r w:rsidRPr="00657F04">
        <w:rPr>
          <w:rStyle w:val="TableheadingChar"/>
          <w:b w:val="0"/>
          <w:sz w:val="15"/>
        </w:rPr>
        <w:t>(b)</w:t>
      </w:r>
      <w:r w:rsidRPr="00657F04">
        <w:rPr>
          <w:rStyle w:val="TableheadingChar"/>
          <w:b w:val="0"/>
          <w:sz w:val="15"/>
        </w:rPr>
        <w:tab/>
        <w:t>The 31 March 2014 comparative figures have been restated to more accurately reflect the balances.</w:t>
      </w:r>
    </w:p>
    <w:p w:rsidR="00B03921" w:rsidRPr="00657F04" w:rsidRDefault="00B03921" w:rsidP="00657F04">
      <w:pPr>
        <w:pStyle w:val="Notes"/>
        <w:rPr>
          <w:rStyle w:val="TableheadingChar"/>
          <w:b w:val="0"/>
          <w:sz w:val="15"/>
        </w:rPr>
      </w:pPr>
      <w:r w:rsidRPr="00657F04">
        <w:rPr>
          <w:rStyle w:val="TableheadingChar"/>
          <w:b w:val="0"/>
          <w:sz w:val="15"/>
        </w:rPr>
        <w:t>(c)</w:t>
      </w:r>
      <w:r w:rsidRPr="00657F04">
        <w:rPr>
          <w:rStyle w:val="TableheadingChar"/>
          <w:b w:val="0"/>
          <w:sz w:val="15"/>
        </w:rPr>
        <w:tab/>
        <w:t>The 31 March 2014 comparative figures and 1 July 2014 opening balances have been restated to reflect a change in accounting policy associated with the calculation of the tax liability component of the unfunded superannuation liability.</w:t>
      </w:r>
    </w:p>
    <w:p w:rsidR="00B03921" w:rsidRPr="00657F04" w:rsidRDefault="00B03921" w:rsidP="00657F04">
      <w:pPr>
        <w:pStyle w:val="Notes"/>
        <w:rPr>
          <w:rStyle w:val="TableheadingChar"/>
          <w:b w:val="0"/>
          <w:sz w:val="15"/>
        </w:rPr>
      </w:pPr>
      <w:r w:rsidRPr="00657F04">
        <w:rPr>
          <w:rStyle w:val="TableheadingChar"/>
          <w:b w:val="0"/>
          <w:sz w:val="15"/>
        </w:rPr>
        <w:t>(d)</w:t>
      </w:r>
      <w:r w:rsidRPr="00657F04">
        <w:rPr>
          <w:rStyle w:val="TableheadingChar"/>
          <w:b w:val="0"/>
          <w:sz w:val="15"/>
        </w:rPr>
        <w:tab/>
        <w:t>The 31 March 2014 comparative figures and 1 July 2014 opening balances have been restated to reflect a change in accounting policy associated with the valuation of school building assets.</w:t>
      </w:r>
    </w:p>
    <w:p w:rsidR="00B03921" w:rsidRPr="00657F04" w:rsidRDefault="00B03921" w:rsidP="00657F04">
      <w:pPr>
        <w:pStyle w:val="Tableheading"/>
        <w:rPr>
          <w:rStyle w:val="TableheadingChar"/>
          <w:b/>
        </w:rPr>
      </w:pPr>
      <w:r w:rsidRPr="00657F04">
        <w:rPr>
          <w:rStyle w:val="TableheadingChar"/>
          <w:b/>
        </w:rPr>
        <w:t>Table B.3:</w:t>
      </w:r>
      <w:r w:rsidRPr="00657F04">
        <w:rPr>
          <w:rStyle w:val="TableheadingChar"/>
          <w:b/>
        </w:rPr>
        <w:tab/>
        <w:t>Statement of cash flows for the period ended 31 March</w:t>
      </w:r>
    </w:p>
    <w:p w:rsidR="00B03921" w:rsidRPr="0003757B" w:rsidRDefault="00B03921" w:rsidP="00016914">
      <w:pPr>
        <w:pStyle w:val="million"/>
        <w:rPr>
          <w:rFonts w:ascii="Times New Roman" w:hAnsi="Times New Roman"/>
          <w:i w:val="0"/>
          <w:sz w:val="20"/>
          <w:szCs w:val="20"/>
          <w:lang w:eastAsia="en-AU"/>
        </w:rPr>
      </w:pPr>
      <w:r w:rsidRPr="000D77BD">
        <w:rPr>
          <w:rStyle w:val="TableheadingChar"/>
          <w:sz w:val="18"/>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827"/>
        <w:gridCol w:w="120"/>
        <w:gridCol w:w="2388"/>
        <w:gridCol w:w="532"/>
        <w:gridCol w:w="812"/>
        <w:gridCol w:w="837"/>
        <w:gridCol w:w="803"/>
        <w:gridCol w:w="804"/>
        <w:gridCol w:w="637"/>
      </w:tblGrid>
      <w:tr w:rsidR="00657F04" w:rsidRPr="0003757B" w:rsidTr="00423972">
        <w:trPr>
          <w:trHeight w:val="845"/>
          <w:tblHeader/>
        </w:trPr>
        <w:tc>
          <w:tcPr>
            <w:tcW w:w="827" w:type="dxa"/>
            <w:tcBorders>
              <w:top w:val="single" w:sz="6" w:space="0" w:color="auto"/>
              <w:left w:val="single" w:sz="6" w:space="0" w:color="auto"/>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2013-14 Actual</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Mar</w:t>
            </w:r>
          </w:p>
        </w:tc>
        <w:tc>
          <w:tcPr>
            <w:tcW w:w="120" w:type="dxa"/>
            <w:tcBorders>
              <w:top w:val="single" w:sz="6" w:space="0" w:color="auto"/>
              <w:left w:val="nil"/>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p>
        </w:tc>
        <w:tc>
          <w:tcPr>
            <w:tcW w:w="2388" w:type="dxa"/>
            <w:tcBorders>
              <w:top w:val="single" w:sz="6" w:space="0" w:color="auto"/>
              <w:left w:val="nil"/>
              <w:right w:val="nil"/>
            </w:tcBorders>
            <w:shd w:val="clear" w:color="000000" w:fill="000000"/>
          </w:tcPr>
          <w:p w:rsidR="00657F04" w:rsidRPr="0003757B" w:rsidRDefault="00657F04" w:rsidP="00657F04">
            <w:pPr>
              <w:pStyle w:val="Tabletext"/>
              <w:rPr>
                <w:rFonts w:eastAsiaTheme="minorEastAsia"/>
                <w:i/>
                <w:sz w:val="17"/>
                <w:szCs w:val="17"/>
                <w:lang w:eastAsia="en-AU"/>
              </w:rPr>
            </w:pPr>
          </w:p>
        </w:tc>
        <w:tc>
          <w:tcPr>
            <w:tcW w:w="532" w:type="dxa"/>
            <w:tcBorders>
              <w:top w:val="single" w:sz="6" w:space="0" w:color="auto"/>
              <w:left w:val="nil"/>
              <w:right w:val="nil"/>
            </w:tcBorders>
            <w:shd w:val="clear" w:color="000000" w:fill="000000"/>
          </w:tcPr>
          <w:p w:rsidR="00657F04" w:rsidRPr="0003757B" w:rsidRDefault="00657F04" w:rsidP="00016914">
            <w:pPr>
              <w:pStyle w:val="Tabletextheadingcentred"/>
              <w:rPr>
                <w:rFonts w:eastAsiaTheme="minorEastAsia"/>
                <w:sz w:val="17"/>
                <w:szCs w:val="17"/>
                <w:lang w:eastAsia="en-AU"/>
              </w:rPr>
            </w:pPr>
            <w:r w:rsidRPr="0003757B">
              <w:rPr>
                <w:rFonts w:eastAsiaTheme="minorEastAsia"/>
                <w:sz w:val="17"/>
                <w:szCs w:val="17"/>
                <w:lang w:eastAsia="en-AU"/>
              </w:rPr>
              <w:t xml:space="preserve"> </w:t>
            </w:r>
          </w:p>
          <w:p w:rsidR="00657F04" w:rsidRDefault="00657F04" w:rsidP="00016914">
            <w:pPr>
              <w:pStyle w:val="Tabletextheadingcentred"/>
              <w:rPr>
                <w:rFonts w:eastAsiaTheme="minorEastAsia"/>
                <w:sz w:val="17"/>
                <w:szCs w:val="17"/>
                <w:lang w:eastAsia="en-AU"/>
              </w:rPr>
            </w:pPr>
          </w:p>
          <w:p w:rsidR="00657F04" w:rsidRPr="0003757B" w:rsidRDefault="00657F04" w:rsidP="00016914">
            <w:pPr>
              <w:pStyle w:val="Tabletextheadingcentred"/>
              <w:rPr>
                <w:rFonts w:eastAsiaTheme="minorEastAsia"/>
                <w:sz w:val="17"/>
                <w:szCs w:val="17"/>
                <w:lang w:eastAsia="en-AU"/>
              </w:rPr>
            </w:pPr>
            <w:r w:rsidRPr="0003757B">
              <w:rPr>
                <w:rFonts w:eastAsiaTheme="minorEastAsia"/>
                <w:sz w:val="17"/>
                <w:szCs w:val="17"/>
                <w:lang w:eastAsia="en-AU"/>
              </w:rPr>
              <w:t xml:space="preserve"> </w:t>
            </w:r>
          </w:p>
          <w:p w:rsidR="00657F04" w:rsidRPr="0003757B" w:rsidRDefault="00657F04" w:rsidP="00016914">
            <w:pPr>
              <w:pStyle w:val="Tabletextheadingcentred"/>
              <w:rPr>
                <w:rFonts w:eastAsiaTheme="minorEastAsia"/>
                <w:sz w:val="17"/>
                <w:szCs w:val="17"/>
                <w:lang w:eastAsia="en-AU"/>
              </w:rPr>
            </w:pPr>
            <w:r w:rsidRPr="0003757B">
              <w:rPr>
                <w:rFonts w:eastAsiaTheme="minorEastAsia"/>
                <w:sz w:val="17"/>
                <w:szCs w:val="17"/>
                <w:lang w:eastAsia="en-AU"/>
              </w:rPr>
              <w:t xml:space="preserve">Notes </w:t>
            </w:r>
          </w:p>
        </w:tc>
        <w:tc>
          <w:tcPr>
            <w:tcW w:w="812" w:type="dxa"/>
            <w:tcBorders>
              <w:top w:val="single" w:sz="6" w:space="0" w:color="auto"/>
              <w:left w:val="nil"/>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2014-15 Actual</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Mar</w:t>
            </w:r>
          </w:p>
        </w:tc>
        <w:tc>
          <w:tcPr>
            <w:tcW w:w="837" w:type="dxa"/>
            <w:tcBorders>
              <w:top w:val="single" w:sz="6" w:space="0" w:color="auto"/>
              <w:left w:val="nil"/>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016914">
            <w:pPr>
              <w:pStyle w:val="Tabletextheading"/>
              <w:rPr>
                <w:rFonts w:eastAsiaTheme="minorEastAsia"/>
                <w:color w:val="FFFFFF"/>
                <w:sz w:val="17"/>
                <w:szCs w:val="17"/>
                <w:lang w:eastAsia="en-AU"/>
              </w:rPr>
            </w:pP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Revised</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tc>
        <w:tc>
          <w:tcPr>
            <w:tcW w:w="803" w:type="dxa"/>
            <w:tcBorders>
              <w:top w:val="single" w:sz="6" w:space="0" w:color="auto"/>
              <w:left w:val="nil"/>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016914">
            <w:pPr>
              <w:pStyle w:val="Tabletextheading"/>
              <w:rPr>
                <w:rFonts w:eastAsiaTheme="minorEastAsia"/>
                <w:color w:val="FFFFFF"/>
                <w:sz w:val="17"/>
                <w:szCs w:val="17"/>
                <w:lang w:eastAsia="en-AU"/>
              </w:rPr>
            </w:pP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Published</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tc>
        <w:tc>
          <w:tcPr>
            <w:tcW w:w="804" w:type="dxa"/>
            <w:tcBorders>
              <w:top w:val="single" w:sz="6" w:space="0" w:color="auto"/>
              <w:left w:val="nil"/>
              <w:right w:val="nil"/>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revised budget</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change</w:t>
            </w:r>
          </w:p>
        </w:tc>
        <w:tc>
          <w:tcPr>
            <w:tcW w:w="637" w:type="dxa"/>
            <w:tcBorders>
              <w:top w:val="single" w:sz="6" w:space="0" w:color="auto"/>
              <w:left w:val="nil"/>
              <w:right w:val="single" w:sz="6" w:space="0" w:color="auto"/>
            </w:tcBorders>
            <w:shd w:val="clear" w:color="000000" w:fill="000000"/>
          </w:tcPr>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016914">
            <w:pPr>
              <w:pStyle w:val="Tabletextheading"/>
              <w:rPr>
                <w:rFonts w:eastAsiaTheme="minorEastAsia"/>
                <w:color w:val="FFFFFF"/>
                <w:sz w:val="17"/>
                <w:szCs w:val="17"/>
                <w:lang w:eastAsia="en-AU"/>
              </w:rPr>
            </w:pP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Change</w:t>
            </w:r>
          </w:p>
          <w:p w:rsidR="00657F04" w:rsidRPr="0003757B" w:rsidRDefault="00657F04" w:rsidP="00016914">
            <w:pPr>
              <w:pStyle w:val="Tabletextheading"/>
              <w:rPr>
                <w:rFonts w:eastAsiaTheme="minorEastAsia"/>
                <w:color w:val="FFFFFF"/>
                <w:sz w:val="17"/>
                <w:szCs w:val="17"/>
                <w:lang w:eastAsia="en-AU"/>
              </w:rPr>
            </w:pPr>
            <w:r w:rsidRPr="0003757B">
              <w:rPr>
                <w:rFonts w:eastAsiaTheme="minorEastAsia"/>
                <w:color w:val="FFFFFF"/>
                <w:sz w:val="17"/>
                <w:szCs w:val="17"/>
                <w:lang w:eastAsia="en-AU"/>
              </w:rPr>
              <w:t>%</w:t>
            </w:r>
          </w:p>
        </w:tc>
      </w:tr>
      <w:tr w:rsidR="00657F04" w:rsidRPr="0003757B" w:rsidTr="00423972">
        <w:tc>
          <w:tcPr>
            <w:tcW w:w="827" w:type="dxa"/>
            <w:tcBorders>
              <w:top w:val="single" w:sz="6" w:space="0" w:color="auto"/>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single" w:sz="6" w:space="0" w:color="auto"/>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6813" w:type="dxa"/>
            <w:gridSpan w:val="7"/>
            <w:tcBorders>
              <w:top w:val="single" w:sz="6" w:space="0" w:color="auto"/>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Cash flows from operating activities</w:t>
            </w:r>
          </w:p>
        </w:tc>
      </w:tr>
      <w:tr w:rsidR="00657F04" w:rsidRPr="0003757B" w:rsidTr="00423972">
        <w:tc>
          <w:tcPr>
            <w:tcW w:w="827"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6813" w:type="dxa"/>
            <w:gridSpan w:val="7"/>
            <w:tcBorders>
              <w:top w:val="nil"/>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Receipts</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12 305.2</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Taxes received</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13 642.8</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18 459.4</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18 043.9</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415.5</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2.3</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17 583.4</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Grants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18 417.5</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24 546.2</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24 848.0</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(301.8)</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(1.2)</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5 752.6</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vertAlign w:val="superscript"/>
                <w:lang w:eastAsia="en-AU"/>
              </w:rPr>
            </w:pPr>
            <w:r w:rsidRPr="0003757B">
              <w:rPr>
                <w:rFonts w:eastAsiaTheme="minorEastAsia"/>
                <w:sz w:val="17"/>
                <w:szCs w:val="17"/>
                <w:lang w:eastAsia="en-AU"/>
              </w:rPr>
              <w:t>Sales of goods and services</w:t>
            </w:r>
            <w:r w:rsidRPr="0003757B">
              <w:rPr>
                <w:rFonts w:eastAsiaTheme="minorEastAsia"/>
                <w:sz w:val="17"/>
                <w:szCs w:val="17"/>
                <w:vertAlign w:val="superscript"/>
                <w:lang w:eastAsia="en-AU"/>
              </w:rPr>
              <w:t>(a)</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5 412.7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7 183.9</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7 094.1</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89.8</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1.3</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589.0</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Interest received</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577.7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804.0</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821.7</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(17.6)</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(2.1)</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498.2</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Dividends and income tax equivalent and rate equivalent receipts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746.9</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1 070.5</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581.1</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489.4</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84.2</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1 036.3</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Other receipts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1 165.7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2 051.2</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1 796.6</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254.5</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14.2</w:t>
            </w:r>
          </w:p>
        </w:tc>
      </w:tr>
      <w:tr w:rsidR="00B03921" w:rsidRPr="0003757B" w:rsidTr="00016914">
        <w:tc>
          <w:tcPr>
            <w:tcW w:w="827"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37 764.8</w:t>
            </w:r>
          </w:p>
        </w:tc>
        <w:tc>
          <w:tcPr>
            <w:tcW w:w="120"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nil"/>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Total receipts</w:t>
            </w:r>
          </w:p>
        </w:tc>
        <w:tc>
          <w:tcPr>
            <w:tcW w:w="532" w:type="dxa"/>
            <w:tcBorders>
              <w:top w:val="single" w:sz="6" w:space="0" w:color="auto"/>
              <w:left w:val="nil"/>
              <w:bottom w:val="nil"/>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39 963.3</w:t>
            </w:r>
          </w:p>
        </w:tc>
        <w:tc>
          <w:tcPr>
            <w:tcW w:w="837"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54 115.2</w:t>
            </w:r>
          </w:p>
        </w:tc>
        <w:tc>
          <w:tcPr>
            <w:tcW w:w="803"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53 185.4</w:t>
            </w:r>
          </w:p>
        </w:tc>
        <w:tc>
          <w:tcPr>
            <w:tcW w:w="804"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929.8</w:t>
            </w:r>
          </w:p>
        </w:tc>
        <w:tc>
          <w:tcPr>
            <w:tcW w:w="637"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1.7</w:t>
            </w:r>
          </w:p>
        </w:tc>
      </w:tr>
      <w:tr w:rsidR="00657F04" w:rsidRPr="0003757B" w:rsidTr="00423972">
        <w:tc>
          <w:tcPr>
            <w:tcW w:w="827"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6813" w:type="dxa"/>
            <w:gridSpan w:val="7"/>
            <w:tcBorders>
              <w:top w:val="nil"/>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Payments</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(13 207.7)</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Payments for employees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(13 711.8)</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(18 261.7)</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(18 212.0)</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(49.7)</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0.3</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(2 016.2)</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Superannuation</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(2 086.7)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(2 681.8)</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(2 691.2)</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9.5</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(0.4)</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(1 544.6)</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Interest paid</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(1 533.3)</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(2 062.3)</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(2 155.3)</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93.0</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(4.3)</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(6 487.2)</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Grants and subsidies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(6 949.7)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(8 233.9)</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(8 331.7)</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97.8</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(1.2)</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(13 053.0)</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vertAlign w:val="superscript"/>
                <w:lang w:eastAsia="en-AU"/>
              </w:rPr>
            </w:pPr>
            <w:r w:rsidRPr="0003757B">
              <w:rPr>
                <w:rFonts w:eastAsiaTheme="minorEastAsia"/>
                <w:sz w:val="17"/>
                <w:szCs w:val="17"/>
                <w:lang w:eastAsia="en-AU"/>
              </w:rPr>
              <w:t>Goods and services</w:t>
            </w:r>
            <w:r w:rsidRPr="0003757B">
              <w:rPr>
                <w:rFonts w:eastAsiaTheme="minorEastAsia"/>
                <w:sz w:val="17"/>
                <w:szCs w:val="17"/>
                <w:vertAlign w:val="superscript"/>
                <w:lang w:eastAsia="en-AU"/>
              </w:rPr>
              <w:t>(a)</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(12 464.7)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(17 909.0)</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(17 285.6)</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(623.3)</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3.6</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(481.9)</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Other payments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(476.4)</w:t>
            </w:r>
          </w:p>
        </w:tc>
        <w:tc>
          <w:tcPr>
            <w:tcW w:w="8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(614.6)</w:t>
            </w:r>
          </w:p>
        </w:tc>
        <w:tc>
          <w:tcPr>
            <w:tcW w:w="803"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(670.1)</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55.5</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(8.3)</w:t>
            </w:r>
          </w:p>
        </w:tc>
      </w:tr>
      <w:tr w:rsidR="00B03921" w:rsidRPr="0003757B" w:rsidTr="00016914">
        <w:tc>
          <w:tcPr>
            <w:tcW w:w="82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(36 790.8)</w:t>
            </w:r>
          </w:p>
        </w:tc>
        <w:tc>
          <w:tcPr>
            <w:tcW w:w="120"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single" w:sz="6" w:space="0" w:color="auto"/>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Total payments</w:t>
            </w:r>
          </w:p>
        </w:tc>
        <w:tc>
          <w:tcPr>
            <w:tcW w:w="532" w:type="dxa"/>
            <w:tcBorders>
              <w:top w:val="single" w:sz="6" w:space="0" w:color="auto"/>
              <w:left w:val="nil"/>
              <w:bottom w:val="single" w:sz="6" w:space="0" w:color="auto"/>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(37 222.6)</w:t>
            </w:r>
          </w:p>
        </w:tc>
        <w:tc>
          <w:tcPr>
            <w:tcW w:w="8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(49 763.2)</w:t>
            </w:r>
          </w:p>
        </w:tc>
        <w:tc>
          <w:tcPr>
            <w:tcW w:w="803"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(49 345.9)</w:t>
            </w:r>
          </w:p>
        </w:tc>
        <w:tc>
          <w:tcPr>
            <w:tcW w:w="804"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(417.2)</w:t>
            </w:r>
          </w:p>
        </w:tc>
        <w:tc>
          <w:tcPr>
            <w:tcW w:w="6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0.8</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974.0</w:t>
            </w:r>
          </w:p>
        </w:tc>
        <w:tc>
          <w:tcPr>
            <w:tcW w:w="120"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Net cash flows from operating activities</w:t>
            </w:r>
          </w:p>
        </w:tc>
        <w:tc>
          <w:tcPr>
            <w:tcW w:w="532" w:type="dxa"/>
            <w:tcBorders>
              <w:top w:val="nil"/>
              <w:left w:val="nil"/>
              <w:bottom w:val="nil"/>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2 740.7</w:t>
            </w:r>
          </w:p>
        </w:tc>
        <w:tc>
          <w:tcPr>
            <w:tcW w:w="83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4 352.0</w:t>
            </w:r>
          </w:p>
        </w:tc>
        <w:tc>
          <w:tcPr>
            <w:tcW w:w="803"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3 839.5</w:t>
            </w:r>
          </w:p>
        </w:tc>
        <w:tc>
          <w:tcPr>
            <w:tcW w:w="804"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512.5</w:t>
            </w:r>
          </w:p>
        </w:tc>
        <w:tc>
          <w:tcPr>
            <w:tcW w:w="63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13.3</w:t>
            </w:r>
          </w:p>
        </w:tc>
      </w:tr>
      <w:tr w:rsidR="00657F04" w:rsidRPr="0003757B" w:rsidTr="00423972">
        <w:tc>
          <w:tcPr>
            <w:tcW w:w="827"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nil"/>
              <w:left w:val="nil"/>
              <w:bottom w:val="nil"/>
              <w:right w:val="nil"/>
            </w:tcBorders>
          </w:tcPr>
          <w:p w:rsidR="00657F04" w:rsidRPr="0003757B" w:rsidRDefault="00657F04"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6813" w:type="dxa"/>
            <w:gridSpan w:val="7"/>
            <w:tcBorders>
              <w:top w:val="nil"/>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Cash flows from investing activities</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(2 721.9)</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Purchases of non-financial assets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(2 986.9)</w:t>
            </w:r>
          </w:p>
        </w:tc>
        <w:tc>
          <w:tcPr>
            <w:tcW w:w="837" w:type="dxa"/>
            <w:tcBorders>
              <w:top w:val="nil"/>
              <w:left w:val="nil"/>
              <w:bottom w:val="nil"/>
              <w:right w:val="nil"/>
            </w:tcBorders>
            <w:shd w:val="solid" w:color="FFFFFF" w:fill="auto"/>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(4 018.1)</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(5 312.4)</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1 294.3</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(24.4)</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152.1</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Sales of non-financial assets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185.0</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360.0</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384.9</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(24.9)</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(6.5)</w:t>
            </w:r>
          </w:p>
        </w:tc>
      </w:tr>
      <w:tr w:rsidR="00B03921" w:rsidRPr="0003757B" w:rsidTr="00016914">
        <w:tc>
          <w:tcPr>
            <w:tcW w:w="827"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(2 569.8)</w:t>
            </w:r>
          </w:p>
        </w:tc>
        <w:tc>
          <w:tcPr>
            <w:tcW w:w="120"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nil"/>
              <w:right w:val="nil"/>
            </w:tcBorders>
            <w:shd w:val="solid" w:color="FFFFFF" w:fill="auto"/>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Cash flows from investments in non-financial assets</w:t>
            </w:r>
          </w:p>
        </w:tc>
        <w:tc>
          <w:tcPr>
            <w:tcW w:w="532" w:type="dxa"/>
            <w:tcBorders>
              <w:top w:val="single" w:sz="6" w:space="0" w:color="auto"/>
              <w:left w:val="nil"/>
              <w:bottom w:val="nil"/>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(2 801.9)</w:t>
            </w:r>
          </w:p>
        </w:tc>
        <w:tc>
          <w:tcPr>
            <w:tcW w:w="837"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(3 658.1)</w:t>
            </w:r>
          </w:p>
        </w:tc>
        <w:tc>
          <w:tcPr>
            <w:tcW w:w="803"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(4 927.5)</w:t>
            </w:r>
          </w:p>
        </w:tc>
        <w:tc>
          <w:tcPr>
            <w:tcW w:w="804" w:type="dxa"/>
            <w:tcBorders>
              <w:top w:val="single" w:sz="6" w:space="0" w:color="auto"/>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1 269.4</w:t>
            </w:r>
          </w:p>
        </w:tc>
        <w:tc>
          <w:tcPr>
            <w:tcW w:w="637" w:type="dxa"/>
            <w:tcBorders>
              <w:top w:val="single" w:sz="6" w:space="0" w:color="auto"/>
              <w:left w:val="nil"/>
              <w:bottom w:val="nil"/>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(25.8)</w:t>
            </w:r>
          </w:p>
        </w:tc>
      </w:tr>
      <w:tr w:rsidR="00B03921" w:rsidRPr="0003757B" w:rsidTr="00016914">
        <w:tc>
          <w:tcPr>
            <w:tcW w:w="827"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(1 220.5)</w:t>
            </w:r>
          </w:p>
        </w:tc>
        <w:tc>
          <w:tcPr>
            <w:tcW w:w="120"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single" w:sz="6" w:space="0" w:color="auto"/>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Net cash flows from investments in financial assets for policy purposes</w:t>
            </w:r>
          </w:p>
        </w:tc>
        <w:tc>
          <w:tcPr>
            <w:tcW w:w="532" w:type="dxa"/>
            <w:tcBorders>
              <w:top w:val="nil"/>
              <w:left w:val="nil"/>
              <w:bottom w:val="single" w:sz="6" w:space="0" w:color="auto"/>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(13.3)</w:t>
            </w:r>
          </w:p>
        </w:tc>
        <w:tc>
          <w:tcPr>
            <w:tcW w:w="837"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(719.5)</w:t>
            </w:r>
          </w:p>
        </w:tc>
        <w:tc>
          <w:tcPr>
            <w:tcW w:w="803"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(676.8)</w:t>
            </w:r>
          </w:p>
        </w:tc>
        <w:tc>
          <w:tcPr>
            <w:tcW w:w="804"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(42.7)</w:t>
            </w:r>
          </w:p>
        </w:tc>
        <w:tc>
          <w:tcPr>
            <w:tcW w:w="637"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6.3</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(3 790.3)</w:t>
            </w:r>
          </w:p>
        </w:tc>
        <w:tc>
          <w:tcPr>
            <w:tcW w:w="120"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Sub-total</w:t>
            </w:r>
          </w:p>
        </w:tc>
        <w:tc>
          <w:tcPr>
            <w:tcW w:w="532" w:type="dxa"/>
            <w:tcBorders>
              <w:top w:val="nil"/>
              <w:left w:val="nil"/>
              <w:bottom w:val="nil"/>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(2 815.2)</w:t>
            </w:r>
          </w:p>
        </w:tc>
        <w:tc>
          <w:tcPr>
            <w:tcW w:w="83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(4 377.7)</w:t>
            </w:r>
          </w:p>
        </w:tc>
        <w:tc>
          <w:tcPr>
            <w:tcW w:w="803"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(5 604.3)</w:t>
            </w:r>
          </w:p>
        </w:tc>
        <w:tc>
          <w:tcPr>
            <w:tcW w:w="804"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1 226.7</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(21.9)</w:t>
            </w:r>
          </w:p>
        </w:tc>
      </w:tr>
      <w:tr w:rsidR="00B03921" w:rsidRPr="0003757B" w:rsidTr="00016914">
        <w:tc>
          <w:tcPr>
            <w:tcW w:w="827"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(651.8)</w:t>
            </w:r>
          </w:p>
        </w:tc>
        <w:tc>
          <w:tcPr>
            <w:tcW w:w="120"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single" w:sz="6" w:space="0" w:color="auto"/>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Net cash flows from investments in financial assets for liquidity management purposes</w:t>
            </w:r>
          </w:p>
        </w:tc>
        <w:tc>
          <w:tcPr>
            <w:tcW w:w="532" w:type="dxa"/>
            <w:tcBorders>
              <w:top w:val="nil"/>
              <w:left w:val="nil"/>
              <w:bottom w:val="single" w:sz="6" w:space="0" w:color="auto"/>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(331.1)</w:t>
            </w:r>
          </w:p>
        </w:tc>
        <w:tc>
          <w:tcPr>
            <w:tcW w:w="837"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100.5</w:t>
            </w:r>
          </w:p>
        </w:tc>
        <w:tc>
          <w:tcPr>
            <w:tcW w:w="803"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(17.7)</w:t>
            </w:r>
          </w:p>
        </w:tc>
        <w:tc>
          <w:tcPr>
            <w:tcW w:w="804"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118.2</w:t>
            </w:r>
          </w:p>
        </w:tc>
        <w:tc>
          <w:tcPr>
            <w:tcW w:w="637"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(667.6)</w:t>
            </w:r>
          </w:p>
        </w:tc>
      </w:tr>
      <w:tr w:rsidR="00B03921" w:rsidRPr="0003757B" w:rsidTr="00016914">
        <w:tc>
          <w:tcPr>
            <w:tcW w:w="82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(4 442.0)</w:t>
            </w:r>
          </w:p>
        </w:tc>
        <w:tc>
          <w:tcPr>
            <w:tcW w:w="120"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single" w:sz="6" w:space="0" w:color="auto"/>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Net cash flows from investing activities</w:t>
            </w:r>
          </w:p>
        </w:tc>
        <w:tc>
          <w:tcPr>
            <w:tcW w:w="532" w:type="dxa"/>
            <w:tcBorders>
              <w:top w:val="single" w:sz="6" w:space="0" w:color="auto"/>
              <w:left w:val="nil"/>
              <w:bottom w:val="single" w:sz="6" w:space="0" w:color="auto"/>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(3 146.3)</w:t>
            </w:r>
          </w:p>
        </w:tc>
        <w:tc>
          <w:tcPr>
            <w:tcW w:w="8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(4 277.1)</w:t>
            </w:r>
          </w:p>
        </w:tc>
        <w:tc>
          <w:tcPr>
            <w:tcW w:w="803"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(5 622.0)</w:t>
            </w:r>
          </w:p>
        </w:tc>
        <w:tc>
          <w:tcPr>
            <w:tcW w:w="804"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1 344.9</w:t>
            </w:r>
          </w:p>
        </w:tc>
        <w:tc>
          <w:tcPr>
            <w:tcW w:w="6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(23.9)</w:t>
            </w:r>
          </w:p>
        </w:tc>
      </w:tr>
      <w:tr w:rsidR="00657F04" w:rsidRPr="0003757B" w:rsidTr="00423972">
        <w:tc>
          <w:tcPr>
            <w:tcW w:w="827"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nil"/>
              <w:left w:val="nil"/>
              <w:bottom w:val="nil"/>
              <w:right w:val="nil"/>
            </w:tcBorders>
          </w:tcPr>
          <w:p w:rsidR="00657F04" w:rsidRPr="0003757B" w:rsidRDefault="00657F04"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6813" w:type="dxa"/>
            <w:gridSpan w:val="7"/>
            <w:tcBorders>
              <w:top w:val="nil"/>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Cash flows from financing activities</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Pr>
                <w:rFonts w:eastAsiaTheme="minorEastAsia"/>
                <w:sz w:val="17"/>
                <w:szCs w:val="17"/>
                <w:lang w:eastAsia="en-AU"/>
              </w:rPr>
              <w:t>..</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shd w:val="solid" w:color="FFFFFF" w:fill="auto"/>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Advances received (net)</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1.2</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2 429.0</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Net borrowings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329.4</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336.9</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1 935.8</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(1 598.9)</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(82.6)</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141.8</w:t>
            </w:r>
          </w:p>
        </w:tc>
        <w:tc>
          <w:tcPr>
            <w:tcW w:w="120" w:type="dxa"/>
            <w:tcBorders>
              <w:top w:val="nil"/>
              <w:left w:val="nil"/>
              <w:bottom w:val="nil"/>
              <w:right w:val="nil"/>
            </w:tcBorders>
            <w:shd w:val="solid" w:color="FFFFFF" w:fill="auto"/>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shd w:val="solid" w:color="FFFFFF" w:fill="auto"/>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Deposits received (net)</w:t>
            </w:r>
          </w:p>
        </w:tc>
        <w:tc>
          <w:tcPr>
            <w:tcW w:w="532" w:type="dxa"/>
            <w:tcBorders>
              <w:top w:val="nil"/>
              <w:left w:val="nil"/>
              <w:bottom w:val="nil"/>
              <w:right w:val="nil"/>
            </w:tcBorders>
            <w:shd w:val="solid" w:color="FFFFFF" w:fill="auto"/>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101.3</w:t>
            </w:r>
          </w:p>
        </w:tc>
        <w:tc>
          <w:tcPr>
            <w:tcW w:w="8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(0.1)</w:t>
            </w:r>
          </w:p>
        </w:tc>
        <w:tc>
          <w:tcPr>
            <w:tcW w:w="803"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(0.1)</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Pr>
                <w:rFonts w:eastAsiaTheme="minorEastAsia"/>
                <w:sz w:val="17"/>
                <w:szCs w:val="17"/>
                <w:lang w:eastAsia="en-AU"/>
              </w:rPr>
              <w:t>..</w:t>
            </w:r>
          </w:p>
        </w:tc>
        <w:tc>
          <w:tcPr>
            <w:tcW w:w="6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(18.7)</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shd w:val="solid" w:color="FFFFFF" w:fill="auto"/>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Other financing (net)</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837"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804" w:type="dxa"/>
            <w:tcBorders>
              <w:top w:val="nil"/>
              <w:left w:val="nil"/>
              <w:bottom w:val="nil"/>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r>
      <w:tr w:rsidR="00B03921" w:rsidRPr="0003757B" w:rsidTr="00016914">
        <w:tc>
          <w:tcPr>
            <w:tcW w:w="82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2 570.8</w:t>
            </w:r>
          </w:p>
        </w:tc>
        <w:tc>
          <w:tcPr>
            <w:tcW w:w="120"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single" w:sz="6" w:space="0" w:color="auto"/>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Net cash flows from financing activities</w:t>
            </w:r>
          </w:p>
        </w:tc>
        <w:tc>
          <w:tcPr>
            <w:tcW w:w="532" w:type="dxa"/>
            <w:tcBorders>
              <w:top w:val="single" w:sz="6" w:space="0" w:color="auto"/>
              <w:left w:val="nil"/>
              <w:bottom w:val="single" w:sz="6" w:space="0" w:color="auto"/>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431.9</w:t>
            </w:r>
          </w:p>
        </w:tc>
        <w:tc>
          <w:tcPr>
            <w:tcW w:w="8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336.8</w:t>
            </w:r>
          </w:p>
        </w:tc>
        <w:tc>
          <w:tcPr>
            <w:tcW w:w="803"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1 935.7</w:t>
            </w:r>
          </w:p>
        </w:tc>
        <w:tc>
          <w:tcPr>
            <w:tcW w:w="804"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(1 598.9)</w:t>
            </w:r>
          </w:p>
        </w:tc>
        <w:tc>
          <w:tcPr>
            <w:tcW w:w="637" w:type="dxa"/>
            <w:tcBorders>
              <w:top w:val="single" w:sz="6" w:space="0" w:color="auto"/>
              <w:left w:val="nil"/>
              <w:bottom w:val="single" w:sz="6" w:space="0" w:color="auto"/>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(82.6)</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(897.2)</w:t>
            </w:r>
          </w:p>
        </w:tc>
        <w:tc>
          <w:tcPr>
            <w:tcW w:w="120"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Net increase/(decrease) in cash and cash equivalents</w:t>
            </w:r>
          </w:p>
        </w:tc>
        <w:tc>
          <w:tcPr>
            <w:tcW w:w="532" w:type="dxa"/>
            <w:tcBorders>
              <w:top w:val="nil"/>
              <w:left w:val="nil"/>
              <w:bottom w:val="nil"/>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26.3</w:t>
            </w:r>
          </w:p>
        </w:tc>
        <w:tc>
          <w:tcPr>
            <w:tcW w:w="83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411.7</w:t>
            </w:r>
          </w:p>
        </w:tc>
        <w:tc>
          <w:tcPr>
            <w:tcW w:w="803"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153.2</w:t>
            </w:r>
          </w:p>
        </w:tc>
        <w:tc>
          <w:tcPr>
            <w:tcW w:w="804"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258.5</w:t>
            </w:r>
          </w:p>
        </w:tc>
        <w:tc>
          <w:tcPr>
            <w:tcW w:w="637"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168.8</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3 962.0</w:t>
            </w:r>
          </w:p>
        </w:tc>
        <w:tc>
          <w:tcPr>
            <w:tcW w:w="120"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Cash and cash equivalents at beginning of reporting period</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4 500.9</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4 500.9</w:t>
            </w:r>
          </w:p>
        </w:tc>
        <w:tc>
          <w:tcPr>
            <w:tcW w:w="803" w:type="dxa"/>
            <w:tcBorders>
              <w:top w:val="nil"/>
              <w:left w:val="nil"/>
              <w:bottom w:val="nil"/>
              <w:right w:val="nil"/>
            </w:tcBorders>
            <w:shd w:val="solid" w:color="FFFFFF" w:fill="auto"/>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4 500.9</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w:t>
            </w:r>
          </w:p>
        </w:tc>
      </w:tr>
      <w:tr w:rsidR="00B03921" w:rsidRPr="0003757B" w:rsidTr="00016914">
        <w:tc>
          <w:tcPr>
            <w:tcW w:w="827"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3 064.7</w:t>
            </w:r>
          </w:p>
        </w:tc>
        <w:tc>
          <w:tcPr>
            <w:tcW w:w="120"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single" w:sz="12" w:space="0" w:color="auto"/>
              <w:right w:val="nil"/>
            </w:tcBorders>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Cash and cash equivalents at end of reporting period</w:t>
            </w:r>
          </w:p>
        </w:tc>
        <w:tc>
          <w:tcPr>
            <w:tcW w:w="532" w:type="dxa"/>
            <w:tcBorders>
              <w:top w:val="single" w:sz="6" w:space="0" w:color="auto"/>
              <w:left w:val="nil"/>
              <w:bottom w:val="single" w:sz="12" w:space="0" w:color="auto"/>
              <w:right w:val="nil"/>
            </w:tcBorders>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4 527.2</w:t>
            </w:r>
          </w:p>
        </w:tc>
        <w:tc>
          <w:tcPr>
            <w:tcW w:w="837"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4 912.6</w:t>
            </w:r>
          </w:p>
        </w:tc>
        <w:tc>
          <w:tcPr>
            <w:tcW w:w="803"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4 654.1</w:t>
            </w:r>
          </w:p>
        </w:tc>
        <w:tc>
          <w:tcPr>
            <w:tcW w:w="804"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258.5</w:t>
            </w:r>
          </w:p>
        </w:tc>
        <w:tc>
          <w:tcPr>
            <w:tcW w:w="637" w:type="dxa"/>
            <w:tcBorders>
              <w:top w:val="single" w:sz="6" w:space="0" w:color="auto"/>
              <w:left w:val="nil"/>
              <w:bottom w:val="single" w:sz="12"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5.6</w:t>
            </w:r>
          </w:p>
        </w:tc>
      </w:tr>
    </w:tbl>
    <w:p w:rsidR="00657F04" w:rsidRDefault="00657F04"/>
    <w:p w:rsidR="00657F04" w:rsidRPr="00657F04" w:rsidRDefault="00657F04" w:rsidP="00657F04">
      <w:pPr>
        <w:pStyle w:val="Tableheading"/>
        <w:rPr>
          <w:rStyle w:val="TableheadingChar"/>
          <w:b/>
        </w:rPr>
      </w:pPr>
      <w:r w:rsidRPr="00657F04">
        <w:rPr>
          <w:rStyle w:val="TableheadingChar"/>
          <w:b/>
        </w:rPr>
        <w:t>Table B.3:</w:t>
      </w:r>
      <w:r w:rsidRPr="00657F04">
        <w:rPr>
          <w:rStyle w:val="TableheadingChar"/>
          <w:b/>
        </w:rPr>
        <w:tab/>
        <w:t>Statement of cash flows for the period ended 31 March</w:t>
      </w:r>
      <w:r>
        <w:rPr>
          <w:rStyle w:val="TableheadingChar"/>
          <w:b/>
        </w:rPr>
        <w:t xml:space="preserve"> </w:t>
      </w:r>
      <w:r w:rsidRPr="00657F04">
        <w:rPr>
          <w:rStyle w:val="TableheadingChar"/>
          <w:b/>
          <w:i/>
        </w:rPr>
        <w:t>(continued)</w:t>
      </w:r>
    </w:p>
    <w:p w:rsidR="00657F04" w:rsidRPr="0003757B" w:rsidRDefault="00657F04" w:rsidP="00657F04">
      <w:pPr>
        <w:pStyle w:val="million"/>
        <w:rPr>
          <w:rFonts w:ascii="Times New Roman" w:hAnsi="Times New Roman"/>
          <w:i w:val="0"/>
          <w:sz w:val="20"/>
          <w:szCs w:val="20"/>
          <w:lang w:eastAsia="en-AU"/>
        </w:rPr>
      </w:pPr>
      <w:r w:rsidRPr="000D77BD">
        <w:rPr>
          <w:rStyle w:val="TableheadingChar"/>
          <w:sz w:val="18"/>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827"/>
        <w:gridCol w:w="120"/>
        <w:gridCol w:w="2388"/>
        <w:gridCol w:w="532"/>
        <w:gridCol w:w="812"/>
        <w:gridCol w:w="837"/>
        <w:gridCol w:w="803"/>
        <w:gridCol w:w="804"/>
        <w:gridCol w:w="637"/>
      </w:tblGrid>
      <w:tr w:rsidR="00657F04" w:rsidRPr="0003757B" w:rsidTr="00423972">
        <w:trPr>
          <w:trHeight w:val="845"/>
          <w:tblHeader/>
        </w:trPr>
        <w:tc>
          <w:tcPr>
            <w:tcW w:w="827" w:type="dxa"/>
            <w:tcBorders>
              <w:top w:val="single" w:sz="6" w:space="0" w:color="auto"/>
              <w:left w:val="single" w:sz="6" w:space="0" w:color="auto"/>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2013-14 Actual</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Mar</w:t>
            </w:r>
          </w:p>
        </w:tc>
        <w:tc>
          <w:tcPr>
            <w:tcW w:w="120" w:type="dxa"/>
            <w:tcBorders>
              <w:top w:val="single" w:sz="6" w:space="0" w:color="auto"/>
              <w:left w:val="nil"/>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p>
        </w:tc>
        <w:tc>
          <w:tcPr>
            <w:tcW w:w="2388" w:type="dxa"/>
            <w:tcBorders>
              <w:top w:val="single" w:sz="6" w:space="0" w:color="auto"/>
              <w:left w:val="nil"/>
              <w:right w:val="nil"/>
            </w:tcBorders>
            <w:shd w:val="clear" w:color="000000" w:fill="000000"/>
          </w:tcPr>
          <w:p w:rsidR="00657F04" w:rsidRPr="0003757B" w:rsidRDefault="00657F04" w:rsidP="00423972">
            <w:pPr>
              <w:pStyle w:val="Tabletext"/>
              <w:rPr>
                <w:rFonts w:eastAsiaTheme="minorEastAsia"/>
                <w:i/>
                <w:sz w:val="17"/>
                <w:szCs w:val="17"/>
                <w:lang w:eastAsia="en-AU"/>
              </w:rPr>
            </w:pPr>
          </w:p>
        </w:tc>
        <w:tc>
          <w:tcPr>
            <w:tcW w:w="532" w:type="dxa"/>
            <w:tcBorders>
              <w:top w:val="single" w:sz="6" w:space="0" w:color="auto"/>
              <w:left w:val="nil"/>
              <w:right w:val="nil"/>
            </w:tcBorders>
            <w:shd w:val="clear" w:color="000000" w:fill="000000"/>
          </w:tcPr>
          <w:p w:rsidR="00657F04" w:rsidRPr="0003757B" w:rsidRDefault="00657F04" w:rsidP="00423972">
            <w:pPr>
              <w:pStyle w:val="Tabletextheadingcentred"/>
              <w:rPr>
                <w:rFonts w:eastAsiaTheme="minorEastAsia"/>
                <w:sz w:val="17"/>
                <w:szCs w:val="17"/>
                <w:lang w:eastAsia="en-AU"/>
              </w:rPr>
            </w:pPr>
            <w:r w:rsidRPr="0003757B">
              <w:rPr>
                <w:rFonts w:eastAsiaTheme="minorEastAsia"/>
                <w:sz w:val="17"/>
                <w:szCs w:val="17"/>
                <w:lang w:eastAsia="en-AU"/>
              </w:rPr>
              <w:t xml:space="preserve"> </w:t>
            </w:r>
          </w:p>
          <w:p w:rsidR="00657F04" w:rsidRDefault="00657F04" w:rsidP="00423972">
            <w:pPr>
              <w:pStyle w:val="Tabletextheadingcentred"/>
              <w:rPr>
                <w:rFonts w:eastAsiaTheme="minorEastAsia"/>
                <w:sz w:val="17"/>
                <w:szCs w:val="17"/>
                <w:lang w:eastAsia="en-AU"/>
              </w:rPr>
            </w:pPr>
          </w:p>
          <w:p w:rsidR="00657F04" w:rsidRPr="0003757B" w:rsidRDefault="00657F04" w:rsidP="00423972">
            <w:pPr>
              <w:pStyle w:val="Tabletextheadingcentred"/>
              <w:rPr>
                <w:rFonts w:eastAsiaTheme="minorEastAsia"/>
                <w:sz w:val="17"/>
                <w:szCs w:val="17"/>
                <w:lang w:eastAsia="en-AU"/>
              </w:rPr>
            </w:pPr>
            <w:r w:rsidRPr="0003757B">
              <w:rPr>
                <w:rFonts w:eastAsiaTheme="minorEastAsia"/>
                <w:sz w:val="17"/>
                <w:szCs w:val="17"/>
                <w:lang w:eastAsia="en-AU"/>
              </w:rPr>
              <w:t xml:space="preserve"> </w:t>
            </w:r>
          </w:p>
          <w:p w:rsidR="00657F04" w:rsidRPr="0003757B" w:rsidRDefault="00657F04" w:rsidP="00423972">
            <w:pPr>
              <w:pStyle w:val="Tabletextheadingcentred"/>
              <w:rPr>
                <w:rFonts w:eastAsiaTheme="minorEastAsia"/>
                <w:sz w:val="17"/>
                <w:szCs w:val="17"/>
                <w:lang w:eastAsia="en-AU"/>
              </w:rPr>
            </w:pPr>
            <w:r w:rsidRPr="0003757B">
              <w:rPr>
                <w:rFonts w:eastAsiaTheme="minorEastAsia"/>
                <w:sz w:val="17"/>
                <w:szCs w:val="17"/>
                <w:lang w:eastAsia="en-AU"/>
              </w:rPr>
              <w:t xml:space="preserve">Notes </w:t>
            </w:r>
          </w:p>
        </w:tc>
        <w:tc>
          <w:tcPr>
            <w:tcW w:w="812" w:type="dxa"/>
            <w:tcBorders>
              <w:top w:val="single" w:sz="6" w:space="0" w:color="auto"/>
              <w:left w:val="nil"/>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2014-15 Actual</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Mar</w:t>
            </w:r>
          </w:p>
        </w:tc>
        <w:tc>
          <w:tcPr>
            <w:tcW w:w="837" w:type="dxa"/>
            <w:tcBorders>
              <w:top w:val="single" w:sz="6" w:space="0" w:color="auto"/>
              <w:left w:val="nil"/>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423972">
            <w:pPr>
              <w:pStyle w:val="Tabletextheading"/>
              <w:rPr>
                <w:rFonts w:eastAsiaTheme="minorEastAsia"/>
                <w:color w:val="FFFFFF"/>
                <w:sz w:val="17"/>
                <w:szCs w:val="17"/>
                <w:lang w:eastAsia="en-AU"/>
              </w:rPr>
            </w:pP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Revised</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tc>
        <w:tc>
          <w:tcPr>
            <w:tcW w:w="803" w:type="dxa"/>
            <w:tcBorders>
              <w:top w:val="single" w:sz="6" w:space="0" w:color="auto"/>
              <w:left w:val="nil"/>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423972">
            <w:pPr>
              <w:pStyle w:val="Tabletextheading"/>
              <w:rPr>
                <w:rFonts w:eastAsiaTheme="minorEastAsia"/>
                <w:color w:val="FFFFFF"/>
                <w:sz w:val="17"/>
                <w:szCs w:val="17"/>
                <w:lang w:eastAsia="en-AU"/>
              </w:rPr>
            </w:pP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Published</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tc>
        <w:tc>
          <w:tcPr>
            <w:tcW w:w="804" w:type="dxa"/>
            <w:tcBorders>
              <w:top w:val="single" w:sz="6" w:space="0" w:color="auto"/>
              <w:left w:val="nil"/>
              <w:right w:val="nil"/>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Budget</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to revised budget</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change</w:t>
            </w:r>
          </w:p>
        </w:tc>
        <w:tc>
          <w:tcPr>
            <w:tcW w:w="637" w:type="dxa"/>
            <w:tcBorders>
              <w:top w:val="single" w:sz="6" w:space="0" w:color="auto"/>
              <w:left w:val="nil"/>
              <w:right w:val="single" w:sz="6" w:space="0" w:color="auto"/>
            </w:tcBorders>
            <w:shd w:val="clear" w:color="000000" w:fill="000000"/>
          </w:tcPr>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 xml:space="preserve"> </w:t>
            </w:r>
          </w:p>
          <w:p w:rsidR="00657F04" w:rsidRPr="0003757B" w:rsidRDefault="00657F04" w:rsidP="00423972">
            <w:pPr>
              <w:pStyle w:val="Tabletextheading"/>
              <w:rPr>
                <w:rFonts w:eastAsiaTheme="minorEastAsia"/>
                <w:color w:val="FFFFFF"/>
                <w:sz w:val="17"/>
                <w:szCs w:val="17"/>
                <w:lang w:eastAsia="en-AU"/>
              </w:rPr>
            </w:pP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Change</w:t>
            </w:r>
          </w:p>
          <w:p w:rsidR="00657F04" w:rsidRPr="0003757B" w:rsidRDefault="00657F04" w:rsidP="00423972">
            <w:pPr>
              <w:pStyle w:val="Tabletextheading"/>
              <w:rPr>
                <w:rFonts w:eastAsiaTheme="minorEastAsia"/>
                <w:color w:val="FFFFFF"/>
                <w:sz w:val="17"/>
                <w:szCs w:val="17"/>
                <w:lang w:eastAsia="en-AU"/>
              </w:rPr>
            </w:pPr>
            <w:r w:rsidRPr="0003757B">
              <w:rPr>
                <w:rFonts w:eastAsiaTheme="minorEastAsia"/>
                <w:color w:val="FFFFFF"/>
                <w:sz w:val="17"/>
                <w:szCs w:val="17"/>
                <w:lang w:eastAsia="en-AU"/>
              </w:rPr>
              <w:t>%</w:t>
            </w:r>
          </w:p>
        </w:tc>
      </w:tr>
      <w:tr w:rsidR="00657F04" w:rsidRPr="0003757B" w:rsidTr="00423972">
        <w:tc>
          <w:tcPr>
            <w:tcW w:w="827" w:type="dxa"/>
            <w:tcBorders>
              <w:top w:val="nil"/>
              <w:left w:val="nil"/>
              <w:bottom w:val="nil"/>
              <w:right w:val="nil"/>
            </w:tcBorders>
          </w:tcPr>
          <w:p w:rsidR="00657F04" w:rsidRPr="0003757B" w:rsidRDefault="00657F04" w:rsidP="00657F04">
            <w:pPr>
              <w:pStyle w:val="TableofFigures"/>
              <w:rPr>
                <w:rFonts w:eastAsiaTheme="minorEastAsia"/>
                <w:sz w:val="17"/>
                <w:szCs w:val="17"/>
                <w:lang w:eastAsia="en-AU"/>
              </w:rPr>
            </w:pPr>
            <w:r w:rsidRPr="0003757B">
              <w:rPr>
                <w:rFonts w:eastAsiaTheme="minorEastAsia"/>
                <w:sz w:val="17"/>
                <w:szCs w:val="17"/>
                <w:lang w:eastAsia="en-AU"/>
              </w:rPr>
              <w:t xml:space="preserve"> </w:t>
            </w:r>
          </w:p>
        </w:tc>
        <w:tc>
          <w:tcPr>
            <w:tcW w:w="120" w:type="dxa"/>
            <w:tcBorders>
              <w:top w:val="nil"/>
              <w:left w:val="nil"/>
              <w:bottom w:val="nil"/>
              <w:right w:val="nil"/>
            </w:tcBorders>
          </w:tcPr>
          <w:p w:rsidR="00657F04" w:rsidRPr="0003757B" w:rsidRDefault="00657F04"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6813" w:type="dxa"/>
            <w:gridSpan w:val="7"/>
            <w:tcBorders>
              <w:top w:val="nil"/>
              <w:left w:val="nil"/>
              <w:bottom w:val="nil"/>
              <w:right w:val="nil"/>
            </w:tcBorders>
          </w:tcPr>
          <w:p w:rsidR="00657F04" w:rsidRPr="0003757B" w:rsidRDefault="00657F04" w:rsidP="00657F04">
            <w:pPr>
              <w:pStyle w:val="Tabletext"/>
              <w:rPr>
                <w:rFonts w:eastAsiaTheme="minorEastAsia"/>
                <w:sz w:val="17"/>
                <w:szCs w:val="17"/>
                <w:lang w:eastAsia="en-AU"/>
              </w:rPr>
            </w:pPr>
            <w:r w:rsidRPr="0003757B">
              <w:rPr>
                <w:rFonts w:eastAsiaTheme="minorEastAsia"/>
                <w:b/>
                <w:bCs/>
                <w:sz w:val="17"/>
                <w:szCs w:val="17"/>
                <w:lang w:eastAsia="en-AU"/>
              </w:rPr>
              <w:t>FISCAL AGGREGATES</w:t>
            </w:r>
          </w:p>
        </w:tc>
      </w:tr>
      <w:tr w:rsidR="00B03921" w:rsidRPr="0003757B" w:rsidTr="00016914">
        <w:tc>
          <w:tcPr>
            <w:tcW w:w="82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974.0</w:t>
            </w:r>
          </w:p>
        </w:tc>
        <w:tc>
          <w:tcPr>
            <w:tcW w:w="120" w:type="dxa"/>
            <w:tcBorders>
              <w:top w:val="nil"/>
              <w:left w:val="nil"/>
              <w:bottom w:val="nil"/>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nil"/>
              <w:left w:val="nil"/>
              <w:bottom w:val="nil"/>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Net cash flows from operating activities</w:t>
            </w:r>
          </w:p>
        </w:tc>
        <w:tc>
          <w:tcPr>
            <w:tcW w:w="532" w:type="dxa"/>
            <w:tcBorders>
              <w:top w:val="nil"/>
              <w:left w:val="nil"/>
              <w:bottom w:val="nil"/>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2 740.7</w:t>
            </w:r>
          </w:p>
        </w:tc>
        <w:tc>
          <w:tcPr>
            <w:tcW w:w="8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4 352.0</w:t>
            </w:r>
          </w:p>
        </w:tc>
        <w:tc>
          <w:tcPr>
            <w:tcW w:w="803"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3 839.5</w:t>
            </w:r>
          </w:p>
        </w:tc>
        <w:tc>
          <w:tcPr>
            <w:tcW w:w="804"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512.5</w:t>
            </w:r>
          </w:p>
        </w:tc>
        <w:tc>
          <w:tcPr>
            <w:tcW w:w="637" w:type="dxa"/>
            <w:tcBorders>
              <w:top w:val="nil"/>
              <w:left w:val="nil"/>
              <w:bottom w:val="nil"/>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 xml:space="preserve"> 13.3</w:t>
            </w:r>
          </w:p>
        </w:tc>
      </w:tr>
      <w:tr w:rsidR="00B03921" w:rsidRPr="0003757B" w:rsidTr="00016914">
        <w:tc>
          <w:tcPr>
            <w:tcW w:w="827"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(2 569.8)</w:t>
            </w:r>
          </w:p>
        </w:tc>
        <w:tc>
          <w:tcPr>
            <w:tcW w:w="120" w:type="dxa"/>
            <w:tcBorders>
              <w:top w:val="nil"/>
              <w:left w:val="nil"/>
              <w:bottom w:val="single" w:sz="6" w:space="0" w:color="auto"/>
              <w:right w:val="nil"/>
            </w:tcBorders>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nil"/>
              <w:left w:val="nil"/>
              <w:bottom w:val="single" w:sz="6" w:space="0" w:color="auto"/>
              <w:right w:val="nil"/>
            </w:tcBorders>
          </w:tcPr>
          <w:p w:rsidR="00B03921" w:rsidRPr="0003757B" w:rsidRDefault="00B03921" w:rsidP="00016914">
            <w:pPr>
              <w:pStyle w:val="Tabletext"/>
              <w:rPr>
                <w:rFonts w:eastAsiaTheme="minorEastAsia"/>
                <w:sz w:val="17"/>
                <w:szCs w:val="17"/>
                <w:lang w:eastAsia="en-AU"/>
              </w:rPr>
            </w:pPr>
            <w:r w:rsidRPr="0003757B">
              <w:rPr>
                <w:rFonts w:eastAsiaTheme="minorEastAsia"/>
                <w:sz w:val="17"/>
                <w:szCs w:val="17"/>
                <w:lang w:eastAsia="en-AU"/>
              </w:rPr>
              <w:t>Net cash flows from investments in non-financial assets</w:t>
            </w:r>
          </w:p>
        </w:tc>
        <w:tc>
          <w:tcPr>
            <w:tcW w:w="532" w:type="dxa"/>
            <w:tcBorders>
              <w:top w:val="nil"/>
              <w:left w:val="nil"/>
              <w:bottom w:val="single" w:sz="6" w:space="0" w:color="auto"/>
              <w:right w:val="nil"/>
            </w:tcBorders>
          </w:tcPr>
          <w:p w:rsidR="00B03921" w:rsidRPr="0003757B" w:rsidRDefault="00B03921" w:rsidP="00016914">
            <w:pPr>
              <w:pStyle w:val="Tabletextcentred"/>
              <w:rPr>
                <w:rFonts w:eastAsiaTheme="minorEastAsia"/>
                <w:sz w:val="17"/>
                <w:szCs w:val="17"/>
                <w:lang w:eastAsia="en-AU"/>
              </w:rPr>
            </w:pPr>
            <w:r w:rsidRPr="0003757B">
              <w:rPr>
                <w:rFonts w:eastAsiaTheme="minorEastAsia"/>
                <w:sz w:val="17"/>
                <w:szCs w:val="17"/>
                <w:lang w:eastAsia="en-AU"/>
              </w:rPr>
              <w:t xml:space="preserve"> </w:t>
            </w:r>
          </w:p>
        </w:tc>
        <w:tc>
          <w:tcPr>
            <w:tcW w:w="812"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(2 801.9)</w:t>
            </w:r>
          </w:p>
        </w:tc>
        <w:tc>
          <w:tcPr>
            <w:tcW w:w="837"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(3 658.1)</w:t>
            </w:r>
          </w:p>
        </w:tc>
        <w:tc>
          <w:tcPr>
            <w:tcW w:w="803"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(4 927.5)</w:t>
            </w:r>
          </w:p>
        </w:tc>
        <w:tc>
          <w:tcPr>
            <w:tcW w:w="804" w:type="dxa"/>
            <w:tcBorders>
              <w:top w:val="nil"/>
              <w:left w:val="nil"/>
              <w:bottom w:val="single" w:sz="6" w:space="0" w:color="auto"/>
              <w:right w:val="nil"/>
            </w:tcBorders>
          </w:tcPr>
          <w:p w:rsidR="00B03921" w:rsidRPr="0003757B" w:rsidRDefault="00B03921" w:rsidP="00016914">
            <w:pPr>
              <w:pStyle w:val="TableofFigures"/>
              <w:rPr>
                <w:rFonts w:eastAsiaTheme="minorEastAsia"/>
                <w:sz w:val="17"/>
                <w:szCs w:val="17"/>
                <w:lang w:eastAsia="en-AU"/>
              </w:rPr>
            </w:pPr>
            <w:r w:rsidRPr="0003757B">
              <w:rPr>
                <w:rFonts w:eastAsiaTheme="minorEastAsia"/>
                <w:sz w:val="17"/>
                <w:szCs w:val="17"/>
                <w:lang w:eastAsia="en-AU"/>
              </w:rPr>
              <w:t>1 269.4</w:t>
            </w:r>
          </w:p>
        </w:tc>
        <w:tc>
          <w:tcPr>
            <w:tcW w:w="637" w:type="dxa"/>
            <w:tcBorders>
              <w:top w:val="nil"/>
              <w:left w:val="nil"/>
              <w:bottom w:val="single" w:sz="6" w:space="0" w:color="auto"/>
              <w:right w:val="nil"/>
            </w:tcBorders>
          </w:tcPr>
          <w:p w:rsidR="00B03921" w:rsidRPr="0003757B" w:rsidRDefault="00B03921" w:rsidP="00016914">
            <w:pPr>
              <w:pStyle w:val="TableofFigures"/>
              <w:rPr>
                <w:rFonts w:eastAsiaTheme="minorEastAsia" w:cs="Calibri"/>
                <w:color w:val="000000"/>
                <w:lang w:eastAsia="en-AU"/>
              </w:rPr>
            </w:pPr>
            <w:r>
              <w:rPr>
                <w:rFonts w:eastAsiaTheme="minorEastAsia"/>
                <w:sz w:val="17"/>
                <w:szCs w:val="17"/>
                <w:lang w:eastAsia="en-AU"/>
              </w:rPr>
              <w:t>(25.8)</w:t>
            </w:r>
          </w:p>
        </w:tc>
      </w:tr>
      <w:tr w:rsidR="00B03921" w:rsidRPr="0003757B" w:rsidTr="00016914">
        <w:tc>
          <w:tcPr>
            <w:tcW w:w="827"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(1 595.8)</w:t>
            </w:r>
          </w:p>
        </w:tc>
        <w:tc>
          <w:tcPr>
            <w:tcW w:w="120"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w:t>
            </w:r>
          </w:p>
        </w:tc>
        <w:tc>
          <w:tcPr>
            <w:tcW w:w="2388"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text"/>
              <w:rPr>
                <w:rFonts w:eastAsiaTheme="minorEastAsia"/>
                <w:b/>
                <w:bCs/>
                <w:sz w:val="17"/>
                <w:szCs w:val="17"/>
                <w:lang w:eastAsia="en-AU"/>
              </w:rPr>
            </w:pPr>
            <w:r w:rsidRPr="0003757B">
              <w:rPr>
                <w:rFonts w:eastAsiaTheme="minorEastAsia"/>
                <w:b/>
                <w:bCs/>
                <w:sz w:val="17"/>
                <w:szCs w:val="17"/>
                <w:lang w:eastAsia="en-AU"/>
              </w:rPr>
              <w:t>Cash surplus/(deficit)</w:t>
            </w:r>
          </w:p>
        </w:tc>
        <w:tc>
          <w:tcPr>
            <w:tcW w:w="532"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textcentred"/>
              <w:rPr>
                <w:rFonts w:eastAsiaTheme="minorEastAsia"/>
                <w:b/>
                <w:sz w:val="17"/>
                <w:szCs w:val="17"/>
                <w:lang w:eastAsia="en-AU"/>
              </w:rPr>
            </w:pPr>
            <w:r w:rsidRPr="0003757B">
              <w:rPr>
                <w:rFonts w:eastAsiaTheme="minorEastAsia"/>
                <w:b/>
                <w:sz w:val="17"/>
                <w:szCs w:val="17"/>
                <w:lang w:eastAsia="en-AU"/>
              </w:rPr>
              <w:t xml:space="preserve"> </w:t>
            </w:r>
          </w:p>
        </w:tc>
        <w:tc>
          <w:tcPr>
            <w:tcW w:w="812"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(61.2)</w:t>
            </w:r>
          </w:p>
        </w:tc>
        <w:tc>
          <w:tcPr>
            <w:tcW w:w="837"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 xml:space="preserve"> 693.9</w:t>
            </w:r>
          </w:p>
        </w:tc>
        <w:tc>
          <w:tcPr>
            <w:tcW w:w="803"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(1 088.0)</w:t>
            </w:r>
          </w:p>
        </w:tc>
        <w:tc>
          <w:tcPr>
            <w:tcW w:w="804"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b/>
                <w:bCs/>
                <w:sz w:val="17"/>
                <w:szCs w:val="17"/>
                <w:lang w:eastAsia="en-AU"/>
              </w:rPr>
            </w:pPr>
            <w:r w:rsidRPr="0003757B">
              <w:rPr>
                <w:rFonts w:eastAsiaTheme="minorEastAsia"/>
                <w:b/>
                <w:bCs/>
                <w:sz w:val="17"/>
                <w:szCs w:val="17"/>
                <w:lang w:eastAsia="en-AU"/>
              </w:rPr>
              <w:t>1 781.9</w:t>
            </w:r>
          </w:p>
        </w:tc>
        <w:tc>
          <w:tcPr>
            <w:tcW w:w="637" w:type="dxa"/>
            <w:tcBorders>
              <w:top w:val="single" w:sz="6" w:space="0" w:color="auto"/>
              <w:left w:val="nil"/>
              <w:bottom w:val="single" w:sz="12" w:space="0" w:color="000000"/>
              <w:right w:val="nil"/>
            </w:tcBorders>
            <w:shd w:val="clear" w:color="auto" w:fill="auto"/>
          </w:tcPr>
          <w:p w:rsidR="00B03921" w:rsidRPr="0003757B" w:rsidRDefault="00B03921" w:rsidP="00016914">
            <w:pPr>
              <w:pStyle w:val="TableofFigures"/>
              <w:rPr>
                <w:rFonts w:eastAsiaTheme="minorEastAsia" w:cs="Calibri"/>
                <w:b/>
                <w:bCs/>
                <w:color w:val="000000"/>
                <w:lang w:eastAsia="en-AU"/>
              </w:rPr>
            </w:pPr>
            <w:r>
              <w:rPr>
                <w:rFonts w:eastAsiaTheme="minorEastAsia"/>
                <w:b/>
                <w:bCs/>
                <w:sz w:val="17"/>
                <w:szCs w:val="17"/>
                <w:lang w:eastAsia="en-AU"/>
              </w:rPr>
              <w:t>(163.8)</w:t>
            </w:r>
          </w:p>
        </w:tc>
      </w:tr>
    </w:tbl>
    <w:p w:rsidR="00B03921" w:rsidRPr="00657F04" w:rsidRDefault="00B03921" w:rsidP="00657F04">
      <w:pPr>
        <w:pStyle w:val="Source"/>
        <w:rPr>
          <w:rStyle w:val="TableheadingChar"/>
          <w:b w:val="0"/>
          <w:sz w:val="15"/>
        </w:rPr>
      </w:pPr>
      <w:r w:rsidRPr="00657F04">
        <w:rPr>
          <w:rStyle w:val="TableheadingChar"/>
          <w:b w:val="0"/>
          <w:sz w:val="15"/>
        </w:rPr>
        <w:t>Source: Department of Treasury and Finance</w:t>
      </w:r>
    </w:p>
    <w:p w:rsidR="00B03921" w:rsidRPr="00657F04" w:rsidRDefault="00B03921" w:rsidP="00657F04">
      <w:pPr>
        <w:pStyle w:val="Notes"/>
        <w:rPr>
          <w:rStyle w:val="TableheadingChar"/>
          <w:b w:val="0"/>
          <w:sz w:val="15"/>
        </w:rPr>
      </w:pPr>
      <w:r w:rsidRPr="00657F04">
        <w:rPr>
          <w:rStyle w:val="TableheadingChar"/>
          <w:b w:val="0"/>
          <w:sz w:val="15"/>
        </w:rPr>
        <w:t>The accompanying notes form part of these financial statements.</w:t>
      </w:r>
    </w:p>
    <w:p w:rsidR="00B03921" w:rsidRPr="00657F04" w:rsidRDefault="00B03921" w:rsidP="00657F04">
      <w:pPr>
        <w:pStyle w:val="Notes"/>
        <w:rPr>
          <w:rStyle w:val="TableheadingChar"/>
          <w:b w:val="0"/>
          <w:sz w:val="15"/>
        </w:rPr>
      </w:pPr>
    </w:p>
    <w:p w:rsidR="00B03921" w:rsidRPr="00657F04" w:rsidRDefault="00B03921" w:rsidP="00657F04">
      <w:pPr>
        <w:pStyle w:val="Notes"/>
        <w:rPr>
          <w:rStyle w:val="TableheadingChar"/>
          <w:b w:val="0"/>
          <w:sz w:val="15"/>
        </w:rPr>
      </w:pPr>
      <w:r w:rsidRPr="00657F04">
        <w:rPr>
          <w:rStyle w:val="TableheadingChar"/>
          <w:b w:val="0"/>
          <w:sz w:val="15"/>
        </w:rPr>
        <w:t>Note:</w:t>
      </w:r>
    </w:p>
    <w:p w:rsidR="00B03921" w:rsidRPr="00657F04" w:rsidRDefault="00B03921" w:rsidP="00657F04">
      <w:pPr>
        <w:pStyle w:val="Notes"/>
      </w:pPr>
      <w:r w:rsidRPr="00657F04">
        <w:rPr>
          <w:rStyle w:val="TableheadingChar"/>
          <w:b w:val="0"/>
          <w:sz w:val="15"/>
        </w:rPr>
        <w:t xml:space="preserve">(a) </w:t>
      </w:r>
      <w:r w:rsidRPr="00657F04">
        <w:rPr>
          <w:rStyle w:val="TableheadingChar"/>
          <w:b w:val="0"/>
          <w:sz w:val="15"/>
        </w:rPr>
        <w:tab/>
        <w:t>Inclusive of goods and services tax.</w:t>
      </w:r>
    </w:p>
    <w:p w:rsidR="00B03921" w:rsidRDefault="00B03921">
      <w:pPr>
        <w:spacing w:after="0"/>
        <w:rPr>
          <w:rFonts w:ascii="Calibri" w:hAnsi="Calibri"/>
          <w:b/>
        </w:rPr>
      </w:pPr>
      <w:r>
        <w:br w:type="page"/>
      </w:r>
    </w:p>
    <w:p w:rsidR="00B03921" w:rsidRDefault="00B03921" w:rsidP="00016914">
      <w:pPr>
        <w:pStyle w:val="Tableheading"/>
      </w:pPr>
      <w:r w:rsidRPr="00F10B6E">
        <w:t>Table B.4:</w:t>
      </w:r>
      <w:r w:rsidRPr="00F10B6E">
        <w:tab/>
        <w:t>Statement of changes in equity for the period ended 31 March</w:t>
      </w:r>
    </w:p>
    <w:p w:rsidR="00B03921" w:rsidRPr="00B52D5F" w:rsidRDefault="00B03921" w:rsidP="00016914">
      <w:pPr>
        <w:pStyle w:val="million"/>
        <w:rPr>
          <w:rFonts w:ascii="Times New Roman" w:hAnsi="Times New Roman"/>
          <w:i w:val="0"/>
          <w:sz w:val="20"/>
          <w:szCs w:val="20"/>
          <w:lang w:eastAsia="en-AU"/>
        </w:rPr>
      </w:pPr>
      <w:r w:rsidRPr="005E3FD8">
        <w:t>($ million)</w:t>
      </w:r>
    </w:p>
    <w:tbl>
      <w:tblPr>
        <w:tblW w:w="7760" w:type="dxa"/>
        <w:tblInd w:w="28" w:type="dxa"/>
        <w:tblLayout w:type="fixed"/>
        <w:tblCellMar>
          <w:left w:w="45" w:type="dxa"/>
          <w:right w:w="45" w:type="dxa"/>
        </w:tblCellMar>
        <w:tblLook w:val="0000" w:firstRow="0" w:lastRow="0" w:firstColumn="0" w:lastColumn="0" w:noHBand="0" w:noVBand="0"/>
      </w:tblPr>
      <w:tblGrid>
        <w:gridCol w:w="4357"/>
        <w:gridCol w:w="1693"/>
        <w:gridCol w:w="1710"/>
      </w:tblGrid>
      <w:tr w:rsidR="00B03921" w:rsidRPr="00B52D5F" w:rsidTr="00657F04">
        <w:trPr>
          <w:tblHeader/>
        </w:trPr>
        <w:tc>
          <w:tcPr>
            <w:tcW w:w="4357" w:type="dxa"/>
            <w:tcBorders>
              <w:top w:val="single" w:sz="6" w:space="0" w:color="auto"/>
              <w:left w:val="single" w:sz="6" w:space="0" w:color="auto"/>
              <w:bottom w:val="single" w:sz="6" w:space="0" w:color="auto"/>
              <w:right w:val="nil"/>
            </w:tcBorders>
            <w:shd w:val="clear" w:color="000000" w:fill="000000"/>
          </w:tcPr>
          <w:p w:rsidR="00B03921" w:rsidRPr="00B52D5F" w:rsidRDefault="00B03921" w:rsidP="00016914">
            <w:pPr>
              <w:pStyle w:val="Tabletext"/>
              <w:rPr>
                <w:rFonts w:eastAsiaTheme="minorEastAsia"/>
                <w:i/>
                <w:lang w:eastAsia="en-AU"/>
              </w:rPr>
            </w:pPr>
            <w:r w:rsidRPr="00B52D5F">
              <w:rPr>
                <w:rFonts w:eastAsiaTheme="minorEastAsia"/>
                <w:i/>
                <w:lang w:eastAsia="en-AU"/>
              </w:rPr>
              <w:t xml:space="preserve">  </w:t>
            </w:r>
          </w:p>
        </w:tc>
        <w:tc>
          <w:tcPr>
            <w:tcW w:w="1693" w:type="dxa"/>
            <w:tcBorders>
              <w:top w:val="single" w:sz="6" w:space="0" w:color="auto"/>
              <w:left w:val="nil"/>
              <w:bottom w:val="single" w:sz="6" w:space="0" w:color="auto"/>
              <w:right w:val="nil"/>
            </w:tcBorders>
            <w:shd w:val="clear" w:color="000000" w:fill="000000"/>
          </w:tcPr>
          <w:p w:rsidR="00B03921" w:rsidRPr="00B52D5F" w:rsidRDefault="00B03921" w:rsidP="00016914">
            <w:pPr>
              <w:pStyle w:val="Tabletextheading"/>
              <w:rPr>
                <w:rFonts w:eastAsiaTheme="minorEastAsia"/>
                <w:color w:val="FFFFFF"/>
                <w:lang w:eastAsia="en-AU"/>
              </w:rPr>
            </w:pP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Accumulated surplus/(deficit)</w:t>
            </w:r>
          </w:p>
        </w:tc>
        <w:tc>
          <w:tcPr>
            <w:tcW w:w="1710" w:type="dxa"/>
            <w:tcBorders>
              <w:top w:val="single" w:sz="6" w:space="0" w:color="auto"/>
              <w:left w:val="nil"/>
              <w:bottom w:val="single" w:sz="6" w:space="0" w:color="auto"/>
              <w:right w:val="single" w:sz="6" w:space="0" w:color="auto"/>
            </w:tcBorders>
            <w:shd w:val="clear" w:color="000000" w:fill="000000"/>
          </w:tcPr>
          <w:p w:rsidR="00657F04" w:rsidRDefault="00657F04" w:rsidP="00657F04">
            <w:pPr>
              <w:pStyle w:val="Tabletextheading"/>
              <w:rPr>
                <w:rFonts w:eastAsiaTheme="minorEastAsia"/>
                <w:color w:val="FFFFFF"/>
                <w:lang w:eastAsia="en-AU"/>
              </w:rPr>
            </w:pPr>
          </w:p>
          <w:p w:rsidR="00B03921" w:rsidRPr="00B52D5F" w:rsidRDefault="00B03921" w:rsidP="00657F04">
            <w:pPr>
              <w:pStyle w:val="Tabletextheading"/>
              <w:rPr>
                <w:rFonts w:eastAsiaTheme="minorEastAsia"/>
                <w:color w:val="FFFFFF"/>
                <w:lang w:eastAsia="en-AU"/>
              </w:rPr>
            </w:pPr>
            <w:r w:rsidRPr="00B52D5F">
              <w:rPr>
                <w:rFonts w:eastAsiaTheme="minorEastAsia"/>
                <w:color w:val="FFFFFF"/>
                <w:lang w:eastAsia="en-AU"/>
              </w:rPr>
              <w:t xml:space="preserve">Non-controlling </w:t>
            </w:r>
            <w:r w:rsidR="00657F04">
              <w:rPr>
                <w:rFonts w:eastAsiaTheme="minorEastAsia"/>
                <w:color w:val="FFFFFF"/>
                <w:lang w:eastAsia="en-AU"/>
              </w:rPr>
              <w:br/>
            </w:r>
            <w:r w:rsidRPr="00B52D5F">
              <w:rPr>
                <w:rFonts w:eastAsiaTheme="minorEastAsia"/>
                <w:color w:val="FFFFFF"/>
                <w:lang w:eastAsia="en-AU"/>
              </w:rPr>
              <w:t>interest</w:t>
            </w:r>
          </w:p>
        </w:tc>
      </w:tr>
      <w:tr w:rsidR="00657F04" w:rsidRPr="00B52D5F" w:rsidTr="00423972">
        <w:tc>
          <w:tcPr>
            <w:tcW w:w="7760" w:type="dxa"/>
            <w:gridSpan w:val="3"/>
            <w:tcBorders>
              <w:top w:val="single" w:sz="6" w:space="0" w:color="auto"/>
              <w:left w:val="nil"/>
              <w:bottom w:val="nil"/>
              <w:right w:val="nil"/>
            </w:tcBorders>
          </w:tcPr>
          <w:p w:rsidR="00657F04" w:rsidRPr="00B52D5F" w:rsidRDefault="00657F04" w:rsidP="00657F04">
            <w:pPr>
              <w:pStyle w:val="Tabletext"/>
              <w:rPr>
                <w:rFonts w:eastAsiaTheme="minorEastAsia"/>
                <w:b/>
                <w:bCs/>
                <w:lang w:eastAsia="en-AU"/>
              </w:rPr>
            </w:pPr>
            <w:r w:rsidRPr="00B52D5F">
              <w:rPr>
                <w:rFonts w:eastAsiaTheme="minorEastAsia"/>
                <w:b/>
                <w:bCs/>
                <w:lang w:eastAsia="en-AU"/>
              </w:rPr>
              <w:t>2013-14 (Actual)</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Balance at 1 July 2013</w:t>
            </w:r>
            <w:r w:rsidRPr="00B52D5F">
              <w:rPr>
                <w:rFonts w:eastAsiaTheme="minorEastAsia"/>
                <w:vertAlign w:val="superscript"/>
                <w:lang w:eastAsia="en-AU"/>
              </w:rPr>
              <w:t>(a)(b)</w:t>
            </w:r>
            <w:r>
              <w:rPr>
                <w:rFonts w:eastAsiaTheme="minorEastAsia"/>
                <w:vertAlign w:val="superscript"/>
                <w:lang w:eastAsia="en-AU"/>
              </w:rPr>
              <w:t>(c)</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42 330.2</w:t>
            </w:r>
          </w:p>
        </w:tc>
        <w:tc>
          <w:tcPr>
            <w:tcW w:w="171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Net result</w:t>
            </w:r>
            <w:r w:rsidRPr="00B52D5F">
              <w:rPr>
                <w:rFonts w:eastAsiaTheme="minorEastAsia"/>
                <w:vertAlign w:val="superscript"/>
                <w:lang w:eastAsia="en-AU"/>
              </w:rPr>
              <w:t>(a)(b)</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(209.2)</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Other comprehensive income for the year</w:t>
            </w:r>
            <w:r w:rsidRPr="00B52D5F">
              <w:rPr>
                <w:rFonts w:eastAsiaTheme="minorEastAsia"/>
                <w:vertAlign w:val="superscript"/>
                <w:lang w:eastAsia="en-AU"/>
              </w:rPr>
              <w:t>(b)</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2 672.6</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equity at end of period</w:t>
            </w:r>
            <w:r w:rsidRPr="00902FEA">
              <w:rPr>
                <w:rFonts w:eastAsiaTheme="minorEastAsia"/>
                <w:bCs/>
                <w:vertAlign w:val="superscript"/>
                <w:lang w:eastAsia="en-AU"/>
              </w:rPr>
              <w:t>(a)(b)</w:t>
            </w:r>
          </w:p>
        </w:tc>
        <w:tc>
          <w:tcPr>
            <w:tcW w:w="1693"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44 793.6</w:t>
            </w:r>
          </w:p>
        </w:tc>
        <w:tc>
          <w:tcPr>
            <w:tcW w:w="1710"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50.0</w:t>
            </w:r>
          </w:p>
        </w:tc>
      </w:tr>
      <w:tr w:rsidR="00657F04" w:rsidRPr="00B52D5F" w:rsidTr="00423972">
        <w:tc>
          <w:tcPr>
            <w:tcW w:w="7760" w:type="dxa"/>
            <w:gridSpan w:val="3"/>
            <w:tcBorders>
              <w:top w:val="nil"/>
              <w:left w:val="nil"/>
              <w:bottom w:val="nil"/>
              <w:right w:val="nil"/>
            </w:tcBorders>
          </w:tcPr>
          <w:p w:rsidR="00657F04" w:rsidRPr="00B52D5F" w:rsidRDefault="00657F04" w:rsidP="00657F04">
            <w:pPr>
              <w:pStyle w:val="Tabletext"/>
              <w:rPr>
                <w:rFonts w:eastAsiaTheme="minorEastAsia"/>
                <w:b/>
                <w:bCs/>
                <w:lang w:eastAsia="en-AU"/>
              </w:rPr>
            </w:pPr>
            <w:r w:rsidRPr="00B52D5F">
              <w:rPr>
                <w:rFonts w:eastAsiaTheme="minorEastAsia"/>
                <w:b/>
                <w:bCs/>
                <w:lang w:eastAsia="en-AU"/>
              </w:rPr>
              <w:t>2014-15 (Actual)</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Balance at 1 July 2014</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43 531.3</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result</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1 505.5</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comprehensive income for the year</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Pr>
                <w:rFonts w:eastAsiaTheme="minorEastAsia"/>
                <w:lang w:eastAsia="en-AU"/>
              </w:rPr>
              <w:t>(5 047.7)</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equity at end of period</w:t>
            </w:r>
          </w:p>
        </w:tc>
        <w:tc>
          <w:tcPr>
            <w:tcW w:w="1693"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39 989.0</w:t>
            </w:r>
          </w:p>
        </w:tc>
        <w:tc>
          <w:tcPr>
            <w:tcW w:w="1710"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50.0</w:t>
            </w:r>
          </w:p>
        </w:tc>
      </w:tr>
      <w:tr w:rsidR="00657F04" w:rsidRPr="00B52D5F" w:rsidTr="00423972">
        <w:tc>
          <w:tcPr>
            <w:tcW w:w="7760" w:type="dxa"/>
            <w:gridSpan w:val="3"/>
            <w:tcBorders>
              <w:top w:val="nil"/>
              <w:left w:val="nil"/>
              <w:bottom w:val="nil"/>
              <w:right w:val="nil"/>
            </w:tcBorders>
          </w:tcPr>
          <w:p w:rsidR="00657F04" w:rsidRPr="00B52D5F" w:rsidRDefault="00657F04" w:rsidP="00657F04">
            <w:pPr>
              <w:pStyle w:val="Tabletext"/>
              <w:rPr>
                <w:rFonts w:eastAsiaTheme="minorEastAsia"/>
                <w:b/>
                <w:bCs/>
                <w:lang w:eastAsia="en-AU"/>
              </w:rPr>
            </w:pPr>
            <w:r w:rsidRPr="00B52D5F">
              <w:rPr>
                <w:rFonts w:eastAsiaTheme="minorEastAsia"/>
                <w:b/>
                <w:bCs/>
                <w:lang w:eastAsia="en-AU"/>
              </w:rPr>
              <w:t>2014-15 (Revised)</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Balance at 1 July 2014</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43 531.2</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result</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532.0</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comprehensive income for the year</w:t>
            </w:r>
          </w:p>
        </w:tc>
        <w:tc>
          <w:tcPr>
            <w:tcW w:w="1693"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Pr>
                <w:rFonts w:eastAsiaTheme="minorEastAsia"/>
                <w:lang w:eastAsia="en-AU"/>
              </w:rPr>
              <w:t>(4 234.6)</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equity at end of period</w:t>
            </w:r>
          </w:p>
        </w:tc>
        <w:tc>
          <w:tcPr>
            <w:tcW w:w="1693"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lang w:eastAsia="en-AU"/>
              </w:rPr>
            </w:pPr>
            <w:r w:rsidRPr="00B52D5F">
              <w:rPr>
                <w:rFonts w:eastAsiaTheme="minorEastAsia"/>
                <w:b/>
                <w:lang w:eastAsia="en-AU"/>
              </w:rPr>
              <w:t>39 828.6</w:t>
            </w:r>
          </w:p>
        </w:tc>
        <w:tc>
          <w:tcPr>
            <w:tcW w:w="1710"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50.0</w:t>
            </w:r>
          </w:p>
        </w:tc>
      </w:tr>
      <w:tr w:rsidR="00657F04" w:rsidRPr="00B52D5F" w:rsidTr="00423972">
        <w:tc>
          <w:tcPr>
            <w:tcW w:w="7760" w:type="dxa"/>
            <w:gridSpan w:val="3"/>
            <w:tcBorders>
              <w:top w:val="nil"/>
              <w:left w:val="nil"/>
              <w:bottom w:val="nil"/>
              <w:right w:val="nil"/>
            </w:tcBorders>
          </w:tcPr>
          <w:p w:rsidR="00657F04" w:rsidRPr="00B52D5F" w:rsidRDefault="00657F04" w:rsidP="00657F04">
            <w:pPr>
              <w:pStyle w:val="Tabletext"/>
              <w:rPr>
                <w:rFonts w:eastAsiaTheme="minorEastAsia"/>
                <w:b/>
                <w:bCs/>
                <w:lang w:eastAsia="en-AU"/>
              </w:rPr>
            </w:pPr>
            <w:r w:rsidRPr="00B52D5F">
              <w:rPr>
                <w:rFonts w:eastAsiaTheme="minorEastAsia"/>
                <w:b/>
                <w:bCs/>
                <w:lang w:eastAsia="en-AU"/>
              </w:rPr>
              <w:t>2014-15 (Budget)</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Balance at 1 July 2014</w:t>
            </w:r>
            <w:r w:rsidRPr="00B52D5F">
              <w:rPr>
                <w:rFonts w:eastAsiaTheme="minorEastAsia"/>
                <w:vertAlign w:val="superscript"/>
                <w:lang w:eastAsia="en-AU"/>
              </w:rPr>
              <w:t>(a)(b)</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43 531.2</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r>
      <w:tr w:rsidR="00B03921" w:rsidRPr="00B52D5F" w:rsidTr="00657F04">
        <w:tc>
          <w:tcPr>
            <w:tcW w:w="4357"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Net result</w:t>
            </w:r>
            <w:r w:rsidRPr="00B52D5F">
              <w:rPr>
                <w:rFonts w:eastAsiaTheme="minorEastAsia"/>
                <w:vertAlign w:val="superscript"/>
                <w:lang w:eastAsia="en-AU"/>
              </w:rPr>
              <w:t>(a)(b)</w:t>
            </w:r>
          </w:p>
        </w:tc>
        <w:tc>
          <w:tcPr>
            <w:tcW w:w="1693"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1 152.2</w:t>
            </w:r>
          </w:p>
        </w:tc>
        <w:tc>
          <w:tcPr>
            <w:tcW w:w="171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nil"/>
              <w:left w:val="nil"/>
              <w:bottom w:val="single" w:sz="6" w:space="0" w:color="auto"/>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Other comprehensive income for the year</w:t>
            </w:r>
            <w:r w:rsidRPr="00B52D5F">
              <w:rPr>
                <w:rFonts w:eastAsiaTheme="minorEastAsia"/>
                <w:vertAlign w:val="superscript"/>
                <w:lang w:eastAsia="en-AU"/>
              </w:rPr>
              <w:t>(b)</w:t>
            </w:r>
          </w:p>
        </w:tc>
        <w:tc>
          <w:tcPr>
            <w:tcW w:w="1693"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sidRPr="00B52D5F">
              <w:rPr>
                <w:rFonts w:eastAsiaTheme="minorEastAsia"/>
                <w:lang w:eastAsia="en-AU"/>
              </w:rPr>
              <w:t>1 383.0</w:t>
            </w:r>
          </w:p>
        </w:tc>
        <w:tc>
          <w:tcPr>
            <w:tcW w:w="1710"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657F04">
        <w:tc>
          <w:tcPr>
            <w:tcW w:w="4357"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equity at end of period</w:t>
            </w:r>
          </w:p>
        </w:tc>
        <w:tc>
          <w:tcPr>
            <w:tcW w:w="1693"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46 066.4</w:t>
            </w:r>
          </w:p>
        </w:tc>
        <w:tc>
          <w:tcPr>
            <w:tcW w:w="171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50.0</w:t>
            </w:r>
          </w:p>
        </w:tc>
      </w:tr>
    </w:tbl>
    <w:p w:rsidR="00B03921" w:rsidRPr="00F92F4F" w:rsidRDefault="00B03921" w:rsidP="00016914">
      <w:pPr>
        <w:pStyle w:val="Source"/>
        <w:rPr>
          <w:rStyle w:val="TableheadingChar"/>
          <w:b w:val="0"/>
          <w:sz w:val="15"/>
        </w:rPr>
      </w:pPr>
      <w:r w:rsidRPr="005E3FD8">
        <w:t>Source: Department of Treasury and Finance</w:t>
      </w:r>
    </w:p>
    <w:p w:rsidR="00B03921" w:rsidRPr="00657F04" w:rsidRDefault="00B03921" w:rsidP="00657F04">
      <w:pPr>
        <w:pStyle w:val="Notes"/>
        <w:rPr>
          <w:rStyle w:val="TableheadingChar"/>
          <w:b w:val="0"/>
          <w:sz w:val="15"/>
        </w:rPr>
      </w:pPr>
      <w:r w:rsidRPr="00657F04">
        <w:rPr>
          <w:rStyle w:val="TableheadingChar"/>
          <w:b w:val="0"/>
          <w:sz w:val="15"/>
        </w:rPr>
        <w:t>Notes:</w:t>
      </w:r>
    </w:p>
    <w:p w:rsidR="00B03921" w:rsidRPr="00657F04" w:rsidRDefault="00B03921" w:rsidP="00657F04">
      <w:pPr>
        <w:pStyle w:val="Notes"/>
        <w:rPr>
          <w:rStyle w:val="TableheadingChar"/>
          <w:b w:val="0"/>
          <w:sz w:val="15"/>
        </w:rPr>
      </w:pPr>
      <w:r w:rsidRPr="00657F04">
        <w:rPr>
          <w:rStyle w:val="TableheadingChar"/>
          <w:b w:val="0"/>
          <w:sz w:val="15"/>
        </w:rPr>
        <w:t xml:space="preserve">(a) </w:t>
      </w:r>
      <w:r w:rsidRPr="00657F04">
        <w:rPr>
          <w:rStyle w:val="TableheadingChar"/>
          <w:b w:val="0"/>
          <w:sz w:val="15"/>
        </w:rPr>
        <w:tab/>
        <w:t>The 2013-14 comparative figures and the 2014-15 budget figures have been restated to reflect a change in accounting policy associated with the calculation of the tax liability component of the unfunded superannuation liability.</w:t>
      </w:r>
    </w:p>
    <w:p w:rsidR="00B03921" w:rsidRPr="00657F04" w:rsidRDefault="00B03921" w:rsidP="00657F04">
      <w:pPr>
        <w:pStyle w:val="Notes"/>
        <w:rPr>
          <w:rStyle w:val="TableheadingChar"/>
          <w:b w:val="0"/>
          <w:sz w:val="15"/>
        </w:rPr>
      </w:pPr>
      <w:r w:rsidRPr="00657F04">
        <w:rPr>
          <w:rStyle w:val="TableheadingChar"/>
          <w:b w:val="0"/>
          <w:sz w:val="15"/>
        </w:rPr>
        <w:t>(b)</w:t>
      </w:r>
      <w:r w:rsidRPr="00657F04">
        <w:rPr>
          <w:rStyle w:val="TableheadingChar"/>
          <w:b w:val="0"/>
          <w:sz w:val="15"/>
        </w:rPr>
        <w:tab/>
        <w:t>The 2013-14 comparative figures and 2014-15 budget figures have been restated to reflect a change in accounting policy associated with the valuation of school building assets.</w:t>
      </w:r>
    </w:p>
    <w:p w:rsidR="00B03921" w:rsidRPr="00657F04" w:rsidRDefault="00B03921" w:rsidP="00657F04">
      <w:pPr>
        <w:pStyle w:val="Notes"/>
        <w:rPr>
          <w:rStyle w:val="TableheadingChar"/>
          <w:b w:val="0"/>
          <w:sz w:val="15"/>
        </w:rPr>
      </w:pPr>
      <w:r w:rsidRPr="00657F04">
        <w:rPr>
          <w:rStyle w:val="TableheadingChar"/>
          <w:b w:val="0"/>
          <w:sz w:val="15"/>
        </w:rPr>
        <w:t>(c)</w:t>
      </w:r>
      <w:r w:rsidRPr="00657F04">
        <w:rPr>
          <w:rStyle w:val="TableheadingChar"/>
          <w:b w:val="0"/>
          <w:sz w:val="15"/>
        </w:rPr>
        <w:tab/>
        <w:t>The 2013-14 comparative figures have been restated to more accurately reflect the balances.</w:t>
      </w:r>
    </w:p>
    <w:p w:rsidR="00B03921" w:rsidRPr="00657F04" w:rsidRDefault="00B03921" w:rsidP="00657F04">
      <w:pPr>
        <w:pStyle w:val="Notes"/>
        <w:rPr>
          <w:rStyle w:val="TableheadingChar"/>
          <w:b w:val="0"/>
          <w:sz w:val="15"/>
        </w:rPr>
      </w:pPr>
    </w:p>
    <w:p w:rsidR="00B03921" w:rsidRDefault="00B03921" w:rsidP="00016914">
      <w:pPr>
        <w:pStyle w:val="Notes"/>
        <w:rPr>
          <w:rStyle w:val="TableheadingChar"/>
          <w:b w:val="0"/>
          <w:sz w:val="15"/>
        </w:rPr>
      </w:pPr>
    </w:p>
    <w:p w:rsidR="00B03921" w:rsidRPr="00F92F4F" w:rsidRDefault="00B03921" w:rsidP="00016914">
      <w:pPr>
        <w:pStyle w:val="Notes"/>
      </w:pPr>
    </w:p>
    <w:p w:rsidR="00B03921" w:rsidRDefault="00B03921">
      <w:pPr>
        <w:spacing w:after="0"/>
        <w:rPr>
          <w:rFonts w:ascii="Calibri" w:hAnsi="Calibri"/>
          <w:i/>
          <w:sz w:val="18"/>
          <w:szCs w:val="18"/>
        </w:rPr>
      </w:pPr>
      <w:r>
        <w:br w:type="page"/>
      </w:r>
    </w:p>
    <w:p w:rsidR="00B03921" w:rsidRDefault="00B03921" w:rsidP="00016914">
      <w:pPr>
        <w:pStyle w:val="Tableheading"/>
      </w:pPr>
    </w:p>
    <w:p w:rsidR="00B03921" w:rsidRDefault="00B03921" w:rsidP="00016914">
      <w:pPr>
        <w:pStyle w:val="million"/>
        <w:rPr>
          <w:rFonts w:ascii="Times New Roman" w:hAnsi="Times New Roman"/>
          <w:b/>
          <w:sz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711"/>
        <w:gridCol w:w="2409"/>
        <w:gridCol w:w="1276"/>
        <w:gridCol w:w="1364"/>
      </w:tblGrid>
      <w:tr w:rsidR="00B03921" w:rsidRPr="00B52D5F" w:rsidTr="00016914">
        <w:trPr>
          <w:tblHeader/>
        </w:trPr>
        <w:tc>
          <w:tcPr>
            <w:tcW w:w="2711" w:type="dxa"/>
            <w:tcBorders>
              <w:top w:val="single" w:sz="6" w:space="0" w:color="auto"/>
              <w:left w:val="single" w:sz="6" w:space="0" w:color="auto"/>
              <w:bottom w:val="single" w:sz="6" w:space="0" w:color="auto"/>
              <w:right w:val="nil"/>
            </w:tcBorders>
            <w:shd w:val="clear" w:color="000000" w:fill="000000"/>
          </w:tcPr>
          <w:p w:rsidR="00B03921" w:rsidRPr="00B52D5F" w:rsidRDefault="00B03921" w:rsidP="00016914">
            <w:pPr>
              <w:pStyle w:val="Tabletext"/>
              <w:jc w:val="right"/>
              <w:rPr>
                <w:rFonts w:eastAsiaTheme="minorEastAsia"/>
                <w:i/>
                <w:lang w:eastAsia="en-AU"/>
              </w:rPr>
            </w:pPr>
            <w:r w:rsidRPr="00B52D5F">
              <w:rPr>
                <w:rFonts w:eastAsiaTheme="minorEastAsia"/>
                <w:i/>
                <w:lang w:eastAsia="en-AU"/>
              </w:rPr>
              <w:t>Land, buildings, infrastructure, plant and equipment  revaluation surplus</w:t>
            </w:r>
          </w:p>
        </w:tc>
        <w:tc>
          <w:tcPr>
            <w:tcW w:w="2409" w:type="dxa"/>
            <w:tcBorders>
              <w:top w:val="single" w:sz="6" w:space="0" w:color="auto"/>
              <w:left w:val="nil"/>
              <w:bottom w:val="single" w:sz="6" w:space="0" w:color="auto"/>
              <w:right w:val="nil"/>
            </w:tcBorders>
            <w:shd w:val="clear" w:color="000000" w:fill="000000"/>
          </w:tcPr>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 xml:space="preserve">Investment in other </w:t>
            </w: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 xml:space="preserve">sector entities </w:t>
            </w: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revaluation surplus</w:t>
            </w:r>
          </w:p>
        </w:tc>
        <w:tc>
          <w:tcPr>
            <w:tcW w:w="1276" w:type="dxa"/>
            <w:tcBorders>
              <w:top w:val="single" w:sz="6" w:space="0" w:color="auto"/>
              <w:left w:val="nil"/>
              <w:bottom w:val="single" w:sz="6" w:space="0" w:color="auto"/>
              <w:right w:val="nil"/>
            </w:tcBorders>
            <w:shd w:val="clear" w:color="000000" w:fill="000000"/>
          </w:tcPr>
          <w:p w:rsidR="00B03921" w:rsidRPr="00B52D5F" w:rsidRDefault="00B03921" w:rsidP="00016914">
            <w:pPr>
              <w:pStyle w:val="Tabletextheading"/>
              <w:rPr>
                <w:rFonts w:eastAsiaTheme="minorEastAsia"/>
                <w:color w:val="FFFFFF"/>
                <w:lang w:eastAsia="en-AU"/>
              </w:rPr>
            </w:pP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 xml:space="preserve">Other </w:t>
            </w: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reserves</w:t>
            </w:r>
          </w:p>
        </w:tc>
        <w:tc>
          <w:tcPr>
            <w:tcW w:w="1364" w:type="dxa"/>
            <w:tcBorders>
              <w:top w:val="single" w:sz="6" w:space="0" w:color="auto"/>
              <w:left w:val="nil"/>
              <w:bottom w:val="single" w:sz="6" w:space="0" w:color="auto"/>
              <w:right w:val="single" w:sz="6" w:space="0" w:color="auto"/>
            </w:tcBorders>
            <w:shd w:val="clear" w:color="000000" w:fill="000000"/>
          </w:tcPr>
          <w:p w:rsidR="00B03921" w:rsidRPr="00B52D5F" w:rsidRDefault="00B03921" w:rsidP="00016914">
            <w:pPr>
              <w:pStyle w:val="Tabletextheading"/>
              <w:rPr>
                <w:rFonts w:eastAsiaTheme="minorEastAsia"/>
                <w:color w:val="FFFFFF"/>
                <w:lang w:eastAsia="en-AU"/>
              </w:rPr>
            </w:pPr>
          </w:p>
          <w:p w:rsidR="00B03921" w:rsidRPr="00B52D5F" w:rsidRDefault="00B03921" w:rsidP="00016914">
            <w:pPr>
              <w:pStyle w:val="Tabletextheading"/>
              <w:rPr>
                <w:rFonts w:eastAsiaTheme="minorEastAsia"/>
                <w:color w:val="FFFFFF"/>
                <w:lang w:eastAsia="en-AU"/>
              </w:rPr>
            </w:pPr>
          </w:p>
          <w:p w:rsidR="00B03921" w:rsidRPr="00B52D5F" w:rsidRDefault="00B03921" w:rsidP="00016914">
            <w:pPr>
              <w:pStyle w:val="Tabletextheading"/>
              <w:rPr>
                <w:rFonts w:eastAsiaTheme="minorEastAsia"/>
                <w:color w:val="FFFFFF"/>
                <w:lang w:eastAsia="en-AU"/>
              </w:rPr>
            </w:pPr>
            <w:r w:rsidRPr="00B52D5F">
              <w:rPr>
                <w:rFonts w:eastAsiaTheme="minorEastAsia"/>
                <w:color w:val="FFFFFF"/>
                <w:lang w:eastAsia="en-AU"/>
              </w:rPr>
              <w:t>Total</w:t>
            </w:r>
          </w:p>
        </w:tc>
      </w:tr>
      <w:tr w:rsidR="00657F04" w:rsidRPr="00B52D5F" w:rsidTr="00423972">
        <w:tc>
          <w:tcPr>
            <w:tcW w:w="7760" w:type="dxa"/>
            <w:gridSpan w:val="4"/>
            <w:tcBorders>
              <w:top w:val="single" w:sz="6" w:space="0" w:color="auto"/>
              <w:left w:val="nil"/>
              <w:bottom w:val="nil"/>
              <w:right w:val="nil"/>
            </w:tcBorders>
          </w:tcPr>
          <w:p w:rsidR="00657F04" w:rsidRPr="00B52D5F" w:rsidRDefault="00657F04" w:rsidP="00016914">
            <w:pPr>
              <w:pStyle w:val="TableofFigures"/>
              <w:rPr>
                <w:rFonts w:eastAsiaTheme="minorEastAsia"/>
                <w:b/>
                <w:bCs/>
                <w:lang w:eastAsia="en-AU"/>
              </w:rPr>
            </w:pPr>
          </w:p>
        </w:tc>
      </w:tr>
      <w:tr w:rsidR="00B03921" w:rsidRPr="00B52D5F" w:rsidTr="00016914">
        <w:tc>
          <w:tcPr>
            <w:tcW w:w="2711" w:type="dxa"/>
            <w:tcBorders>
              <w:top w:val="nil"/>
              <w:left w:val="nil"/>
              <w:bottom w:val="nil"/>
              <w:right w:val="nil"/>
            </w:tcBorders>
          </w:tcPr>
          <w:p w:rsidR="00B03921" w:rsidRPr="00B52D5F" w:rsidRDefault="00B03921" w:rsidP="00016914">
            <w:pPr>
              <w:pStyle w:val="Tabletext"/>
              <w:jc w:val="right"/>
              <w:rPr>
                <w:rFonts w:eastAsiaTheme="minorEastAsia"/>
                <w:lang w:eastAsia="en-AU"/>
              </w:rPr>
            </w:pPr>
            <w:r w:rsidRPr="00B52D5F">
              <w:rPr>
                <w:rFonts w:eastAsiaTheme="minorEastAsia"/>
                <w:lang w:eastAsia="en-AU"/>
              </w:rPr>
              <w:t>40 365.7</w:t>
            </w:r>
          </w:p>
        </w:tc>
        <w:tc>
          <w:tcPr>
            <w:tcW w:w="2409"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38 373.5</w:t>
            </w:r>
          </w:p>
        </w:tc>
        <w:tc>
          <w:tcPr>
            <w:tcW w:w="1276"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613.9</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121 733.3</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(209.2)</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(680.7)</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1 110.9</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(5.2)</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3 097.6</w:t>
            </w:r>
          </w:p>
        </w:tc>
      </w:tr>
      <w:tr w:rsidR="00B03921" w:rsidRPr="00B52D5F" w:rsidTr="00016914">
        <w:tc>
          <w:tcPr>
            <w:tcW w:w="2711"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text"/>
              <w:jc w:val="right"/>
              <w:rPr>
                <w:rFonts w:eastAsiaTheme="minorEastAsia"/>
                <w:b/>
                <w:bCs/>
                <w:lang w:eastAsia="en-AU"/>
              </w:rPr>
            </w:pPr>
            <w:r w:rsidRPr="00B52D5F">
              <w:rPr>
                <w:rFonts w:eastAsiaTheme="minorEastAsia"/>
                <w:b/>
                <w:bCs/>
                <w:lang w:eastAsia="en-AU"/>
              </w:rPr>
              <w:t>39 685.0</w:t>
            </w:r>
          </w:p>
        </w:tc>
        <w:tc>
          <w:tcPr>
            <w:tcW w:w="2409"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39 484.4</w:t>
            </w:r>
          </w:p>
        </w:tc>
        <w:tc>
          <w:tcPr>
            <w:tcW w:w="1276"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608.7</w:t>
            </w:r>
          </w:p>
        </w:tc>
        <w:tc>
          <w:tcPr>
            <w:tcW w:w="136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124 621.7</w:t>
            </w:r>
          </w:p>
        </w:tc>
      </w:tr>
      <w:tr w:rsidR="00657F04" w:rsidRPr="00B52D5F" w:rsidTr="00423972">
        <w:tc>
          <w:tcPr>
            <w:tcW w:w="7760" w:type="dxa"/>
            <w:gridSpan w:val="4"/>
            <w:tcBorders>
              <w:top w:val="nil"/>
              <w:left w:val="nil"/>
              <w:bottom w:val="nil"/>
              <w:right w:val="nil"/>
            </w:tcBorders>
            <w:shd w:val="solid" w:color="FFFFFF" w:fill="auto"/>
          </w:tcPr>
          <w:p w:rsidR="00657F04" w:rsidRPr="00B52D5F" w:rsidRDefault="00657F04" w:rsidP="00016914">
            <w:pPr>
              <w:pStyle w:val="TableofFigures"/>
              <w:rPr>
                <w:rFonts w:eastAsiaTheme="minorEastAsia"/>
                <w:b/>
                <w:bCs/>
                <w:lang w:eastAsia="en-AU"/>
              </w:rPr>
            </w:pP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42 023.3</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42 187.3</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640.3</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128 432.2</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1 505.5</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(76.2)</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2.7</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(60.5)</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Pr>
                <w:rFonts w:eastAsiaTheme="minorEastAsia"/>
                <w:lang w:eastAsia="en-AU"/>
              </w:rPr>
              <w:t>(5 181.8)</w:t>
            </w:r>
          </w:p>
        </w:tc>
      </w:tr>
      <w:tr w:rsidR="00B03921" w:rsidRPr="00B52D5F" w:rsidTr="00016914">
        <w:tc>
          <w:tcPr>
            <w:tcW w:w="2711"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text"/>
              <w:jc w:val="right"/>
              <w:rPr>
                <w:rFonts w:eastAsiaTheme="minorEastAsia"/>
                <w:b/>
                <w:bCs/>
                <w:lang w:eastAsia="en-AU"/>
              </w:rPr>
            </w:pPr>
            <w:r w:rsidRPr="00B52D5F">
              <w:rPr>
                <w:rFonts w:eastAsiaTheme="minorEastAsia"/>
                <w:b/>
                <w:bCs/>
                <w:lang w:eastAsia="en-AU"/>
              </w:rPr>
              <w:t>41 947.1</w:t>
            </w:r>
          </w:p>
        </w:tc>
        <w:tc>
          <w:tcPr>
            <w:tcW w:w="2409"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42 190.0</w:t>
            </w:r>
          </w:p>
        </w:tc>
        <w:tc>
          <w:tcPr>
            <w:tcW w:w="1276"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579.8</w:t>
            </w:r>
          </w:p>
        </w:tc>
        <w:tc>
          <w:tcPr>
            <w:tcW w:w="136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124 755.9</w:t>
            </w:r>
          </w:p>
        </w:tc>
      </w:tr>
      <w:tr w:rsidR="00657F04" w:rsidRPr="00B52D5F" w:rsidTr="00423972">
        <w:tc>
          <w:tcPr>
            <w:tcW w:w="7760" w:type="dxa"/>
            <w:gridSpan w:val="4"/>
            <w:tcBorders>
              <w:top w:val="nil"/>
              <w:left w:val="nil"/>
              <w:bottom w:val="nil"/>
              <w:right w:val="nil"/>
            </w:tcBorders>
            <w:shd w:val="solid" w:color="FFFFFF" w:fill="auto"/>
          </w:tcPr>
          <w:p w:rsidR="00657F04" w:rsidRPr="00B52D5F" w:rsidRDefault="00657F04" w:rsidP="00016914">
            <w:pPr>
              <w:pStyle w:val="TableofFigures"/>
              <w:rPr>
                <w:rFonts w:eastAsiaTheme="minorEastAsia"/>
                <w:b/>
                <w:bCs/>
                <w:lang w:eastAsia="en-AU"/>
              </w:rPr>
            </w:pP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42 023.3</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42 187.3</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640.3</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128 432.1</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532.0</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4 820.2</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2 438.1</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1.0</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3 024.7</w:t>
            </w:r>
          </w:p>
        </w:tc>
      </w:tr>
      <w:tr w:rsidR="00B03921" w:rsidRPr="00B52D5F" w:rsidTr="00016914">
        <w:tc>
          <w:tcPr>
            <w:tcW w:w="2711"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text"/>
              <w:jc w:val="right"/>
              <w:rPr>
                <w:rFonts w:eastAsiaTheme="minorEastAsia"/>
                <w:b/>
                <w:bCs/>
                <w:lang w:eastAsia="en-AU"/>
              </w:rPr>
            </w:pPr>
            <w:r w:rsidRPr="00B52D5F">
              <w:rPr>
                <w:rFonts w:eastAsiaTheme="minorEastAsia"/>
                <w:b/>
                <w:bCs/>
                <w:lang w:eastAsia="en-AU"/>
              </w:rPr>
              <w:t>46 843.4</w:t>
            </w:r>
          </w:p>
        </w:tc>
        <w:tc>
          <w:tcPr>
            <w:tcW w:w="2409"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44 625.4</w:t>
            </w:r>
          </w:p>
        </w:tc>
        <w:tc>
          <w:tcPr>
            <w:tcW w:w="1276" w:type="dxa"/>
            <w:tcBorders>
              <w:top w:val="single" w:sz="6" w:space="0" w:color="auto"/>
              <w:left w:val="nil"/>
              <w:bottom w:val="single" w:sz="12"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641.3</w:t>
            </w:r>
          </w:p>
        </w:tc>
        <w:tc>
          <w:tcPr>
            <w:tcW w:w="136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131 988.7</w:t>
            </w:r>
          </w:p>
        </w:tc>
      </w:tr>
      <w:tr w:rsidR="00657F04" w:rsidRPr="00B52D5F" w:rsidTr="00423972">
        <w:tc>
          <w:tcPr>
            <w:tcW w:w="7760" w:type="dxa"/>
            <w:gridSpan w:val="4"/>
            <w:tcBorders>
              <w:top w:val="nil"/>
              <w:left w:val="nil"/>
              <w:bottom w:val="nil"/>
              <w:right w:val="nil"/>
            </w:tcBorders>
            <w:shd w:val="solid" w:color="FFFFFF" w:fill="auto"/>
          </w:tcPr>
          <w:p w:rsidR="00657F04" w:rsidRPr="00B52D5F" w:rsidRDefault="00657F04" w:rsidP="00016914">
            <w:pPr>
              <w:pStyle w:val="TableofFigures"/>
              <w:rPr>
                <w:rFonts w:eastAsiaTheme="minorEastAsia"/>
                <w:b/>
                <w:bCs/>
                <w:lang w:eastAsia="en-AU"/>
              </w:rPr>
            </w:pP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42 023.3</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42 187.3</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640.3</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128 432.1</w:t>
            </w:r>
          </w:p>
        </w:tc>
      </w:tr>
      <w:tr w:rsidR="00B03921" w:rsidRPr="00B52D5F" w:rsidTr="00016914">
        <w:tc>
          <w:tcPr>
            <w:tcW w:w="2711" w:type="dxa"/>
            <w:tcBorders>
              <w:top w:val="nil"/>
              <w:left w:val="nil"/>
              <w:bottom w:val="nil"/>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w:t>
            </w:r>
          </w:p>
        </w:tc>
        <w:tc>
          <w:tcPr>
            <w:tcW w:w="2409"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76"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36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1 152.2</w:t>
            </w:r>
          </w:p>
        </w:tc>
      </w:tr>
      <w:tr w:rsidR="00B03921" w:rsidRPr="00B52D5F" w:rsidTr="00016914">
        <w:tc>
          <w:tcPr>
            <w:tcW w:w="2711" w:type="dxa"/>
            <w:tcBorders>
              <w:top w:val="nil"/>
              <w:left w:val="nil"/>
              <w:bottom w:val="single" w:sz="6" w:space="0" w:color="auto"/>
              <w:right w:val="nil"/>
            </w:tcBorders>
            <w:shd w:val="solid" w:color="FFFFFF" w:fill="auto"/>
          </w:tcPr>
          <w:p w:rsidR="00B03921" w:rsidRPr="00B52D5F" w:rsidRDefault="00B03921" w:rsidP="00016914">
            <w:pPr>
              <w:pStyle w:val="Tabletext"/>
              <w:jc w:val="right"/>
              <w:rPr>
                <w:rFonts w:eastAsiaTheme="minorEastAsia"/>
                <w:lang w:eastAsia="en-AU"/>
              </w:rPr>
            </w:pPr>
            <w:r w:rsidRPr="00B52D5F">
              <w:rPr>
                <w:rFonts w:eastAsiaTheme="minorEastAsia"/>
                <w:lang w:eastAsia="en-AU"/>
              </w:rPr>
              <w:t>2 082.5</w:t>
            </w:r>
          </w:p>
        </w:tc>
        <w:tc>
          <w:tcPr>
            <w:tcW w:w="2409"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2 884.3</w:t>
            </w:r>
          </w:p>
        </w:tc>
        <w:tc>
          <w:tcPr>
            <w:tcW w:w="1276"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(3.9)</w:t>
            </w:r>
          </w:p>
        </w:tc>
        <w:tc>
          <w:tcPr>
            <w:tcW w:w="136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7 290.4</w:t>
            </w:r>
          </w:p>
        </w:tc>
      </w:tr>
      <w:tr w:rsidR="00B03921" w:rsidRPr="00B52D5F" w:rsidTr="00016914">
        <w:tc>
          <w:tcPr>
            <w:tcW w:w="2711"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jc w:val="right"/>
              <w:rPr>
                <w:rFonts w:eastAsiaTheme="minorEastAsia"/>
                <w:b/>
                <w:bCs/>
                <w:lang w:eastAsia="en-AU"/>
              </w:rPr>
            </w:pPr>
            <w:r w:rsidRPr="00B52D5F">
              <w:rPr>
                <w:rFonts w:eastAsiaTheme="minorEastAsia"/>
                <w:b/>
                <w:bCs/>
                <w:lang w:eastAsia="en-AU"/>
              </w:rPr>
              <w:t>44 105.8</w:t>
            </w:r>
          </w:p>
        </w:tc>
        <w:tc>
          <w:tcPr>
            <w:tcW w:w="2409"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45 071.6</w:t>
            </w:r>
          </w:p>
        </w:tc>
        <w:tc>
          <w:tcPr>
            <w:tcW w:w="1276"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636.4</w:t>
            </w:r>
          </w:p>
        </w:tc>
        <w:tc>
          <w:tcPr>
            <w:tcW w:w="1364"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135 930.2</w:t>
            </w:r>
          </w:p>
        </w:tc>
      </w:tr>
    </w:tbl>
    <w:p w:rsidR="00B03921" w:rsidRDefault="00B03921" w:rsidP="00016914">
      <w:pPr>
        <w:pStyle w:val="Tableheading"/>
      </w:pPr>
    </w:p>
    <w:p w:rsidR="00B03921" w:rsidRPr="00F10B6E" w:rsidRDefault="00B03921" w:rsidP="00016914">
      <w:pPr>
        <w:pStyle w:val="Tableheading"/>
      </w:pPr>
    </w:p>
    <w:p w:rsidR="00B03921" w:rsidRDefault="00B03921">
      <w:pPr>
        <w:spacing w:after="0"/>
        <w:rPr>
          <w:rFonts w:ascii="Calibri" w:hAnsi="Calibri"/>
          <w:b/>
          <w:sz w:val="26"/>
          <w:szCs w:val="22"/>
        </w:rPr>
      </w:pPr>
      <w:r>
        <w:br w:type="page"/>
      </w:r>
    </w:p>
    <w:p w:rsidR="00B03921" w:rsidRDefault="00B03921" w:rsidP="00016914">
      <w:pPr>
        <w:pStyle w:val="Heading1"/>
      </w:pPr>
      <w:bookmarkStart w:id="209" w:name="_Toc418274784"/>
      <w:r>
        <w:t>Notes to the financial statements</w:t>
      </w:r>
      <w:bookmarkEnd w:id="209"/>
    </w:p>
    <w:p w:rsidR="0079170F" w:rsidRDefault="00B03921">
      <w:pPr>
        <w:pStyle w:val="TOC4"/>
        <w:rPr>
          <w:rFonts w:asciiTheme="minorHAnsi" w:eastAsiaTheme="minorEastAsia" w:hAnsiTheme="minorHAnsi" w:cstheme="minorBidi"/>
          <w:sz w:val="22"/>
          <w:szCs w:val="22"/>
          <w:lang w:eastAsia="en-AU"/>
        </w:rPr>
      </w:pPr>
      <w:r w:rsidRPr="0040125C">
        <w:fldChar w:fldCharType="begin"/>
      </w:r>
      <w:r w:rsidRPr="0040125C">
        <w:instrText xml:space="preserve"> TOC \h \z \t "Heading 2 Notes,4" </w:instrText>
      </w:r>
      <w:r w:rsidRPr="0040125C">
        <w:fldChar w:fldCharType="separate"/>
      </w:r>
      <w:hyperlink w:anchor="_Toc418274885" w:history="1">
        <w:r w:rsidR="0079170F" w:rsidRPr="00D10C09">
          <w:rPr>
            <w:rStyle w:val="Hyperlink"/>
          </w:rPr>
          <w:t>Note 1:</w:t>
        </w:r>
        <w:r w:rsidR="0079170F">
          <w:rPr>
            <w:rFonts w:asciiTheme="minorHAnsi" w:eastAsiaTheme="minorEastAsia" w:hAnsiTheme="minorHAnsi" w:cstheme="minorBidi"/>
            <w:sz w:val="22"/>
            <w:szCs w:val="22"/>
            <w:lang w:eastAsia="en-AU"/>
          </w:rPr>
          <w:tab/>
        </w:r>
        <w:r w:rsidR="0079170F" w:rsidRPr="00D10C09">
          <w:rPr>
            <w:rStyle w:val="Hyperlink"/>
          </w:rPr>
          <w:t>Statement of significant accounting policies</w:t>
        </w:r>
        <w:r w:rsidR="0079170F">
          <w:rPr>
            <w:webHidden/>
          </w:rPr>
          <w:tab/>
        </w:r>
        <w:r w:rsidR="0079170F">
          <w:rPr>
            <w:webHidden/>
          </w:rPr>
          <w:fldChar w:fldCharType="begin"/>
        </w:r>
        <w:r w:rsidR="0079170F">
          <w:rPr>
            <w:webHidden/>
          </w:rPr>
          <w:instrText xml:space="preserve"> PAGEREF _Toc418274885 \h </w:instrText>
        </w:r>
        <w:r w:rsidR="0079170F">
          <w:rPr>
            <w:webHidden/>
          </w:rPr>
        </w:r>
        <w:r w:rsidR="0079170F">
          <w:rPr>
            <w:webHidden/>
          </w:rPr>
          <w:fldChar w:fldCharType="separate"/>
        </w:r>
        <w:r w:rsidR="001C18AD">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86" w:history="1">
        <w:r w:rsidR="0079170F" w:rsidRPr="00D10C09">
          <w:rPr>
            <w:rStyle w:val="Hyperlink"/>
          </w:rPr>
          <w:t>Note 2:</w:t>
        </w:r>
        <w:r w:rsidR="0079170F">
          <w:rPr>
            <w:rFonts w:asciiTheme="minorHAnsi" w:eastAsiaTheme="minorEastAsia" w:hAnsiTheme="minorHAnsi" w:cstheme="minorBidi"/>
            <w:sz w:val="22"/>
            <w:szCs w:val="22"/>
            <w:lang w:eastAsia="en-AU"/>
          </w:rPr>
          <w:tab/>
        </w:r>
        <w:r w:rsidR="0079170F" w:rsidRPr="00D10C09">
          <w:rPr>
            <w:rStyle w:val="Hyperlink"/>
          </w:rPr>
          <w:t>Taxation</w:t>
        </w:r>
        <w:r w:rsidR="0079170F">
          <w:rPr>
            <w:webHidden/>
          </w:rPr>
          <w:tab/>
        </w:r>
        <w:r w:rsidR="0079170F">
          <w:rPr>
            <w:webHidden/>
          </w:rPr>
          <w:fldChar w:fldCharType="begin"/>
        </w:r>
        <w:r w:rsidR="0079170F">
          <w:rPr>
            <w:webHidden/>
          </w:rPr>
          <w:instrText xml:space="preserve"> PAGEREF _Toc418274886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87" w:history="1">
        <w:r w:rsidR="0079170F" w:rsidRPr="00D10C09">
          <w:rPr>
            <w:rStyle w:val="Hyperlink"/>
          </w:rPr>
          <w:t>Note 3:</w:t>
        </w:r>
        <w:r w:rsidR="0079170F">
          <w:rPr>
            <w:rFonts w:asciiTheme="minorHAnsi" w:eastAsiaTheme="minorEastAsia" w:hAnsiTheme="minorHAnsi" w:cstheme="minorBidi"/>
            <w:sz w:val="22"/>
            <w:szCs w:val="22"/>
            <w:lang w:eastAsia="en-AU"/>
          </w:rPr>
          <w:tab/>
        </w:r>
        <w:r w:rsidR="0079170F" w:rsidRPr="00D10C09">
          <w:rPr>
            <w:rStyle w:val="Hyperlink"/>
          </w:rPr>
          <w:t>Dividends and income tax equivalent and rate equivalent revenue</w:t>
        </w:r>
        <w:r w:rsidR="0079170F">
          <w:rPr>
            <w:webHidden/>
          </w:rPr>
          <w:tab/>
        </w:r>
        <w:r w:rsidR="0079170F">
          <w:rPr>
            <w:webHidden/>
          </w:rPr>
          <w:fldChar w:fldCharType="begin"/>
        </w:r>
        <w:r w:rsidR="0079170F">
          <w:rPr>
            <w:webHidden/>
          </w:rPr>
          <w:instrText xml:space="preserve"> PAGEREF _Toc418274887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88" w:history="1">
        <w:r w:rsidR="0079170F" w:rsidRPr="00D10C09">
          <w:rPr>
            <w:rStyle w:val="Hyperlink"/>
          </w:rPr>
          <w:t>Note 4:</w:t>
        </w:r>
        <w:r w:rsidR="0079170F">
          <w:rPr>
            <w:rFonts w:asciiTheme="minorHAnsi" w:eastAsiaTheme="minorEastAsia" w:hAnsiTheme="minorHAnsi" w:cstheme="minorBidi"/>
            <w:sz w:val="22"/>
            <w:szCs w:val="22"/>
            <w:lang w:eastAsia="en-AU"/>
          </w:rPr>
          <w:tab/>
        </w:r>
        <w:r w:rsidR="0079170F" w:rsidRPr="00D10C09">
          <w:rPr>
            <w:rStyle w:val="Hyperlink"/>
          </w:rPr>
          <w:t>Sales of goods and services</w:t>
        </w:r>
        <w:r w:rsidR="0079170F">
          <w:rPr>
            <w:webHidden/>
          </w:rPr>
          <w:tab/>
        </w:r>
        <w:r w:rsidR="0079170F">
          <w:rPr>
            <w:webHidden/>
          </w:rPr>
          <w:fldChar w:fldCharType="begin"/>
        </w:r>
        <w:r w:rsidR="0079170F">
          <w:rPr>
            <w:webHidden/>
          </w:rPr>
          <w:instrText xml:space="preserve"> PAGEREF _Toc418274888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89" w:history="1">
        <w:r w:rsidR="0079170F" w:rsidRPr="00D10C09">
          <w:rPr>
            <w:rStyle w:val="Hyperlink"/>
          </w:rPr>
          <w:t>Note 5:</w:t>
        </w:r>
        <w:r w:rsidR="0079170F">
          <w:rPr>
            <w:rFonts w:asciiTheme="minorHAnsi" w:eastAsiaTheme="minorEastAsia" w:hAnsiTheme="minorHAnsi" w:cstheme="minorBidi"/>
            <w:sz w:val="22"/>
            <w:szCs w:val="22"/>
            <w:lang w:eastAsia="en-AU"/>
          </w:rPr>
          <w:tab/>
        </w:r>
        <w:r w:rsidR="0079170F" w:rsidRPr="00D10C09">
          <w:rPr>
            <w:rStyle w:val="Hyperlink"/>
          </w:rPr>
          <w:t>Grants</w:t>
        </w:r>
        <w:r w:rsidR="0079170F">
          <w:rPr>
            <w:webHidden/>
          </w:rPr>
          <w:tab/>
        </w:r>
        <w:r w:rsidR="0079170F">
          <w:rPr>
            <w:webHidden/>
          </w:rPr>
          <w:fldChar w:fldCharType="begin"/>
        </w:r>
        <w:r w:rsidR="0079170F">
          <w:rPr>
            <w:webHidden/>
          </w:rPr>
          <w:instrText xml:space="preserve"> PAGEREF _Toc418274889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0" w:history="1">
        <w:r w:rsidR="0079170F" w:rsidRPr="00D10C09">
          <w:rPr>
            <w:rStyle w:val="Hyperlink"/>
          </w:rPr>
          <w:t>Note 6:</w:t>
        </w:r>
        <w:r w:rsidR="0079170F">
          <w:rPr>
            <w:rFonts w:asciiTheme="minorHAnsi" w:eastAsiaTheme="minorEastAsia" w:hAnsiTheme="minorHAnsi" w:cstheme="minorBidi"/>
            <w:sz w:val="22"/>
            <w:szCs w:val="22"/>
            <w:lang w:eastAsia="en-AU"/>
          </w:rPr>
          <w:tab/>
        </w:r>
        <w:r w:rsidR="0079170F" w:rsidRPr="00D10C09">
          <w:rPr>
            <w:rStyle w:val="Hyperlink"/>
          </w:rPr>
          <w:t>Other revenue</w:t>
        </w:r>
        <w:r w:rsidR="0079170F">
          <w:rPr>
            <w:webHidden/>
          </w:rPr>
          <w:tab/>
        </w:r>
        <w:r w:rsidR="0079170F">
          <w:rPr>
            <w:webHidden/>
          </w:rPr>
          <w:fldChar w:fldCharType="begin"/>
        </w:r>
        <w:r w:rsidR="0079170F">
          <w:rPr>
            <w:webHidden/>
          </w:rPr>
          <w:instrText xml:space="preserve"> PAGEREF _Toc418274890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1" w:history="1">
        <w:r w:rsidR="0079170F" w:rsidRPr="00D10C09">
          <w:rPr>
            <w:rStyle w:val="Hyperlink"/>
          </w:rPr>
          <w:t>Note 7:</w:t>
        </w:r>
        <w:r w:rsidR="0079170F">
          <w:rPr>
            <w:rFonts w:asciiTheme="minorHAnsi" w:eastAsiaTheme="minorEastAsia" w:hAnsiTheme="minorHAnsi" w:cstheme="minorBidi"/>
            <w:sz w:val="22"/>
            <w:szCs w:val="22"/>
            <w:lang w:eastAsia="en-AU"/>
          </w:rPr>
          <w:tab/>
        </w:r>
        <w:r w:rsidR="0079170F" w:rsidRPr="00D10C09">
          <w:rPr>
            <w:rStyle w:val="Hyperlink"/>
          </w:rPr>
          <w:t>Superannuation</w:t>
        </w:r>
        <w:r w:rsidR="0079170F">
          <w:rPr>
            <w:webHidden/>
          </w:rPr>
          <w:tab/>
        </w:r>
        <w:r w:rsidR="0079170F">
          <w:rPr>
            <w:webHidden/>
          </w:rPr>
          <w:fldChar w:fldCharType="begin"/>
        </w:r>
        <w:r w:rsidR="0079170F">
          <w:rPr>
            <w:webHidden/>
          </w:rPr>
          <w:instrText xml:space="preserve"> PAGEREF _Toc418274891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2" w:history="1">
        <w:r w:rsidR="0079170F" w:rsidRPr="00D10C09">
          <w:rPr>
            <w:rStyle w:val="Hyperlink"/>
          </w:rPr>
          <w:t>Note 8:</w:t>
        </w:r>
        <w:r w:rsidR="0079170F">
          <w:rPr>
            <w:rFonts w:asciiTheme="minorHAnsi" w:eastAsiaTheme="minorEastAsia" w:hAnsiTheme="minorHAnsi" w:cstheme="minorBidi"/>
            <w:sz w:val="22"/>
            <w:szCs w:val="22"/>
            <w:lang w:eastAsia="en-AU"/>
          </w:rPr>
          <w:tab/>
        </w:r>
        <w:r w:rsidR="0079170F" w:rsidRPr="00D10C09">
          <w:rPr>
            <w:rStyle w:val="Hyperlink"/>
          </w:rPr>
          <w:t>Depreciation</w:t>
        </w:r>
        <w:r w:rsidR="0079170F">
          <w:rPr>
            <w:webHidden/>
          </w:rPr>
          <w:tab/>
        </w:r>
        <w:r w:rsidR="0079170F">
          <w:rPr>
            <w:webHidden/>
          </w:rPr>
          <w:fldChar w:fldCharType="begin"/>
        </w:r>
        <w:r w:rsidR="0079170F">
          <w:rPr>
            <w:webHidden/>
          </w:rPr>
          <w:instrText xml:space="preserve"> PAGEREF _Toc418274892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3" w:history="1">
        <w:r w:rsidR="0079170F" w:rsidRPr="00D10C09">
          <w:rPr>
            <w:rStyle w:val="Hyperlink"/>
          </w:rPr>
          <w:t>Note 9:</w:t>
        </w:r>
        <w:r w:rsidR="0079170F">
          <w:rPr>
            <w:rFonts w:asciiTheme="minorHAnsi" w:eastAsiaTheme="minorEastAsia" w:hAnsiTheme="minorHAnsi" w:cstheme="minorBidi"/>
            <w:sz w:val="22"/>
            <w:szCs w:val="22"/>
            <w:lang w:eastAsia="en-AU"/>
          </w:rPr>
          <w:tab/>
        </w:r>
        <w:r w:rsidR="0079170F" w:rsidRPr="00D10C09">
          <w:rPr>
            <w:rStyle w:val="Hyperlink"/>
          </w:rPr>
          <w:t>Total expenses from transactions by department</w:t>
        </w:r>
        <w:r w:rsidR="0079170F">
          <w:rPr>
            <w:webHidden/>
          </w:rPr>
          <w:tab/>
        </w:r>
        <w:r w:rsidR="0079170F">
          <w:rPr>
            <w:webHidden/>
          </w:rPr>
          <w:fldChar w:fldCharType="begin"/>
        </w:r>
        <w:r w:rsidR="0079170F">
          <w:rPr>
            <w:webHidden/>
          </w:rPr>
          <w:instrText xml:space="preserve"> PAGEREF _Toc418274893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4" w:history="1">
        <w:r w:rsidR="0079170F" w:rsidRPr="00D10C09">
          <w:rPr>
            <w:rStyle w:val="Hyperlink"/>
          </w:rPr>
          <w:t>Note 10:</w:t>
        </w:r>
        <w:r w:rsidR="0079170F">
          <w:rPr>
            <w:rFonts w:asciiTheme="minorHAnsi" w:eastAsiaTheme="minorEastAsia" w:hAnsiTheme="minorHAnsi" w:cstheme="minorBidi"/>
            <w:sz w:val="22"/>
            <w:szCs w:val="22"/>
            <w:lang w:eastAsia="en-AU"/>
          </w:rPr>
          <w:tab/>
        </w:r>
        <w:r w:rsidR="0079170F" w:rsidRPr="00D10C09">
          <w:rPr>
            <w:rStyle w:val="Hyperlink"/>
          </w:rPr>
          <w:t>Other gains/(losses) from other economic flows</w:t>
        </w:r>
        <w:r w:rsidR="0079170F">
          <w:rPr>
            <w:webHidden/>
          </w:rPr>
          <w:tab/>
        </w:r>
        <w:r w:rsidR="0079170F">
          <w:rPr>
            <w:webHidden/>
          </w:rPr>
          <w:fldChar w:fldCharType="begin"/>
        </w:r>
        <w:r w:rsidR="0079170F">
          <w:rPr>
            <w:webHidden/>
          </w:rPr>
          <w:instrText xml:space="preserve"> PAGEREF _Toc418274894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5" w:history="1">
        <w:r w:rsidR="0079170F" w:rsidRPr="00D10C09">
          <w:rPr>
            <w:rStyle w:val="Hyperlink"/>
          </w:rPr>
          <w:t>Note 11:</w:t>
        </w:r>
        <w:r w:rsidR="0079170F">
          <w:rPr>
            <w:rFonts w:asciiTheme="minorHAnsi" w:eastAsiaTheme="minorEastAsia" w:hAnsiTheme="minorHAnsi" w:cstheme="minorBidi"/>
            <w:sz w:val="22"/>
            <w:szCs w:val="22"/>
            <w:lang w:eastAsia="en-AU"/>
          </w:rPr>
          <w:tab/>
        </w:r>
        <w:r w:rsidR="0079170F" w:rsidRPr="00D10C09">
          <w:rPr>
            <w:rStyle w:val="Hyperlink"/>
          </w:rPr>
          <w:t>Net acquisition of non</w:t>
        </w:r>
        <w:r w:rsidR="0079170F" w:rsidRPr="00D10C09">
          <w:rPr>
            <w:rStyle w:val="Hyperlink"/>
          </w:rPr>
          <w:noBreakHyphen/>
          <w:t>financial assets</w:t>
        </w:r>
        <w:r w:rsidR="0079170F">
          <w:rPr>
            <w:webHidden/>
          </w:rPr>
          <w:tab/>
        </w:r>
        <w:r w:rsidR="0079170F">
          <w:rPr>
            <w:webHidden/>
          </w:rPr>
          <w:fldChar w:fldCharType="begin"/>
        </w:r>
        <w:r w:rsidR="0079170F">
          <w:rPr>
            <w:webHidden/>
          </w:rPr>
          <w:instrText xml:space="preserve"> PAGEREF _Toc418274895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6" w:history="1">
        <w:r w:rsidR="0079170F" w:rsidRPr="00D10C09">
          <w:rPr>
            <w:rStyle w:val="Hyperlink"/>
          </w:rPr>
          <w:t>Note 12:</w:t>
        </w:r>
        <w:r w:rsidR="0079170F">
          <w:rPr>
            <w:rFonts w:asciiTheme="minorHAnsi" w:eastAsiaTheme="minorEastAsia" w:hAnsiTheme="minorHAnsi" w:cstheme="minorBidi"/>
            <w:sz w:val="22"/>
            <w:szCs w:val="22"/>
            <w:lang w:eastAsia="en-AU"/>
          </w:rPr>
          <w:tab/>
        </w:r>
        <w:r w:rsidR="0079170F" w:rsidRPr="00D10C09">
          <w:rPr>
            <w:rStyle w:val="Hyperlink"/>
          </w:rPr>
          <w:t>Receivables</w:t>
        </w:r>
        <w:r w:rsidR="0079170F">
          <w:rPr>
            <w:webHidden/>
          </w:rPr>
          <w:tab/>
        </w:r>
        <w:r w:rsidR="0079170F">
          <w:rPr>
            <w:webHidden/>
          </w:rPr>
          <w:fldChar w:fldCharType="begin"/>
        </w:r>
        <w:r w:rsidR="0079170F">
          <w:rPr>
            <w:webHidden/>
          </w:rPr>
          <w:instrText xml:space="preserve"> PAGEREF _Toc418274896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7" w:history="1">
        <w:r w:rsidR="0079170F" w:rsidRPr="00D10C09">
          <w:rPr>
            <w:rStyle w:val="Hyperlink"/>
          </w:rPr>
          <w:t>Note 13:</w:t>
        </w:r>
        <w:r w:rsidR="0079170F">
          <w:rPr>
            <w:rFonts w:asciiTheme="minorHAnsi" w:eastAsiaTheme="minorEastAsia" w:hAnsiTheme="minorHAnsi" w:cstheme="minorBidi"/>
            <w:sz w:val="22"/>
            <w:szCs w:val="22"/>
            <w:lang w:eastAsia="en-AU"/>
          </w:rPr>
          <w:tab/>
        </w:r>
        <w:r w:rsidR="0079170F" w:rsidRPr="00D10C09">
          <w:rPr>
            <w:rStyle w:val="Hyperlink"/>
          </w:rPr>
          <w:t>Property, plant and equipment</w:t>
        </w:r>
        <w:r w:rsidR="0079170F">
          <w:rPr>
            <w:webHidden/>
          </w:rPr>
          <w:tab/>
        </w:r>
        <w:r w:rsidR="0079170F">
          <w:rPr>
            <w:webHidden/>
          </w:rPr>
          <w:fldChar w:fldCharType="begin"/>
        </w:r>
        <w:r w:rsidR="0079170F">
          <w:rPr>
            <w:webHidden/>
          </w:rPr>
          <w:instrText xml:space="preserve"> PAGEREF _Toc418274897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8" w:history="1">
        <w:r w:rsidR="0079170F" w:rsidRPr="00D10C09">
          <w:rPr>
            <w:rStyle w:val="Hyperlink"/>
          </w:rPr>
          <w:t>Note 14:</w:t>
        </w:r>
        <w:r w:rsidR="0079170F">
          <w:rPr>
            <w:rFonts w:asciiTheme="minorHAnsi" w:eastAsiaTheme="minorEastAsia" w:hAnsiTheme="minorHAnsi" w:cstheme="minorBidi"/>
            <w:sz w:val="22"/>
            <w:szCs w:val="22"/>
            <w:lang w:eastAsia="en-AU"/>
          </w:rPr>
          <w:tab/>
        </w:r>
        <w:r w:rsidR="0079170F" w:rsidRPr="00D10C09">
          <w:rPr>
            <w:rStyle w:val="Hyperlink"/>
          </w:rPr>
          <w:t>Other non</w:t>
        </w:r>
        <w:r w:rsidR="0079170F" w:rsidRPr="00D10C09">
          <w:rPr>
            <w:rStyle w:val="Hyperlink"/>
          </w:rPr>
          <w:noBreakHyphen/>
          <w:t>financial assets</w:t>
        </w:r>
        <w:r w:rsidR="0079170F">
          <w:rPr>
            <w:webHidden/>
          </w:rPr>
          <w:tab/>
        </w:r>
        <w:r w:rsidR="0079170F">
          <w:rPr>
            <w:webHidden/>
          </w:rPr>
          <w:fldChar w:fldCharType="begin"/>
        </w:r>
        <w:r w:rsidR="0079170F">
          <w:rPr>
            <w:webHidden/>
          </w:rPr>
          <w:instrText xml:space="preserve"> PAGEREF _Toc418274898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899" w:history="1">
        <w:r w:rsidR="0079170F" w:rsidRPr="00D10C09">
          <w:rPr>
            <w:rStyle w:val="Hyperlink"/>
          </w:rPr>
          <w:t>Note 15:</w:t>
        </w:r>
        <w:r w:rsidR="0079170F">
          <w:rPr>
            <w:rFonts w:asciiTheme="minorHAnsi" w:eastAsiaTheme="minorEastAsia" w:hAnsiTheme="minorHAnsi" w:cstheme="minorBidi"/>
            <w:sz w:val="22"/>
            <w:szCs w:val="22"/>
            <w:lang w:eastAsia="en-AU"/>
          </w:rPr>
          <w:tab/>
        </w:r>
        <w:r w:rsidR="0079170F" w:rsidRPr="00D10C09">
          <w:rPr>
            <w:rStyle w:val="Hyperlink"/>
          </w:rPr>
          <w:t>Payables</w:t>
        </w:r>
        <w:r w:rsidR="0079170F">
          <w:rPr>
            <w:webHidden/>
          </w:rPr>
          <w:tab/>
        </w:r>
        <w:r w:rsidR="0079170F">
          <w:rPr>
            <w:webHidden/>
          </w:rPr>
          <w:fldChar w:fldCharType="begin"/>
        </w:r>
        <w:r w:rsidR="0079170F">
          <w:rPr>
            <w:webHidden/>
          </w:rPr>
          <w:instrText xml:space="preserve"> PAGEREF _Toc418274899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900" w:history="1">
        <w:r w:rsidR="0079170F" w:rsidRPr="00D10C09">
          <w:rPr>
            <w:rStyle w:val="Hyperlink"/>
          </w:rPr>
          <w:t>Note 16:</w:t>
        </w:r>
        <w:r w:rsidR="0079170F">
          <w:rPr>
            <w:rFonts w:asciiTheme="minorHAnsi" w:eastAsiaTheme="minorEastAsia" w:hAnsiTheme="minorHAnsi" w:cstheme="minorBidi"/>
            <w:sz w:val="22"/>
            <w:szCs w:val="22"/>
            <w:lang w:eastAsia="en-AU"/>
          </w:rPr>
          <w:tab/>
        </w:r>
        <w:r w:rsidR="0079170F" w:rsidRPr="00D10C09">
          <w:rPr>
            <w:rStyle w:val="Hyperlink"/>
          </w:rPr>
          <w:t>Employee benefits</w:t>
        </w:r>
        <w:r w:rsidR="0079170F">
          <w:rPr>
            <w:webHidden/>
          </w:rPr>
          <w:tab/>
        </w:r>
        <w:r w:rsidR="0079170F">
          <w:rPr>
            <w:webHidden/>
          </w:rPr>
          <w:fldChar w:fldCharType="begin"/>
        </w:r>
        <w:r w:rsidR="0079170F">
          <w:rPr>
            <w:webHidden/>
          </w:rPr>
          <w:instrText xml:space="preserve"> PAGEREF _Toc418274900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901" w:history="1">
        <w:r w:rsidR="0079170F" w:rsidRPr="00D10C09">
          <w:rPr>
            <w:rStyle w:val="Hyperlink"/>
          </w:rPr>
          <w:t>Note 17:</w:t>
        </w:r>
        <w:r w:rsidR="0079170F">
          <w:rPr>
            <w:rFonts w:asciiTheme="minorHAnsi" w:eastAsiaTheme="minorEastAsia" w:hAnsiTheme="minorHAnsi" w:cstheme="minorBidi"/>
            <w:sz w:val="22"/>
            <w:szCs w:val="22"/>
            <w:lang w:eastAsia="en-AU"/>
          </w:rPr>
          <w:tab/>
        </w:r>
        <w:r w:rsidR="0079170F" w:rsidRPr="00D10C09">
          <w:rPr>
            <w:rStyle w:val="Hyperlink"/>
          </w:rPr>
          <w:t>Application of cash resources</w:t>
        </w:r>
        <w:r w:rsidR="0079170F">
          <w:rPr>
            <w:webHidden/>
          </w:rPr>
          <w:tab/>
        </w:r>
        <w:r w:rsidR="0079170F">
          <w:rPr>
            <w:webHidden/>
          </w:rPr>
          <w:fldChar w:fldCharType="begin"/>
        </w:r>
        <w:r w:rsidR="0079170F">
          <w:rPr>
            <w:webHidden/>
          </w:rPr>
          <w:instrText xml:space="preserve"> PAGEREF _Toc418274901 \h </w:instrText>
        </w:r>
        <w:r w:rsidR="0079170F">
          <w:rPr>
            <w:webHidden/>
          </w:rPr>
        </w:r>
        <w:r w:rsidR="0079170F">
          <w:rPr>
            <w:webHidden/>
          </w:rPr>
          <w:fldChar w:fldCharType="separate"/>
        </w:r>
        <w:r>
          <w:rPr>
            <w:webHidden/>
          </w:rPr>
          <w:t>12</w:t>
        </w:r>
        <w:r w:rsidR="0079170F">
          <w:rPr>
            <w:webHidden/>
          </w:rPr>
          <w:fldChar w:fldCharType="end"/>
        </w:r>
      </w:hyperlink>
    </w:p>
    <w:p w:rsidR="0079170F" w:rsidRDefault="001C18AD">
      <w:pPr>
        <w:pStyle w:val="TOC4"/>
        <w:rPr>
          <w:rFonts w:asciiTheme="minorHAnsi" w:eastAsiaTheme="minorEastAsia" w:hAnsiTheme="minorHAnsi" w:cstheme="minorBidi"/>
          <w:sz w:val="22"/>
          <w:szCs w:val="22"/>
          <w:lang w:eastAsia="en-AU"/>
        </w:rPr>
      </w:pPr>
      <w:hyperlink w:anchor="_Toc418274902" w:history="1">
        <w:r w:rsidR="0079170F" w:rsidRPr="00D10C09">
          <w:rPr>
            <w:rStyle w:val="Hyperlink"/>
          </w:rPr>
          <w:t xml:space="preserve">Note 18: </w:t>
        </w:r>
        <w:r w:rsidR="0079170F">
          <w:rPr>
            <w:rFonts w:asciiTheme="minorHAnsi" w:eastAsiaTheme="minorEastAsia" w:hAnsiTheme="minorHAnsi" w:cstheme="minorBidi"/>
            <w:sz w:val="22"/>
            <w:szCs w:val="22"/>
            <w:lang w:eastAsia="en-AU"/>
          </w:rPr>
          <w:tab/>
        </w:r>
        <w:r w:rsidR="0079170F" w:rsidRPr="00D10C09">
          <w:rPr>
            <w:rStyle w:val="Hyperlink"/>
          </w:rPr>
          <w:t>Public account</w:t>
        </w:r>
        <w:r w:rsidR="0079170F">
          <w:rPr>
            <w:webHidden/>
          </w:rPr>
          <w:tab/>
        </w:r>
        <w:r w:rsidR="0079170F">
          <w:rPr>
            <w:webHidden/>
          </w:rPr>
          <w:fldChar w:fldCharType="begin"/>
        </w:r>
        <w:r w:rsidR="0079170F">
          <w:rPr>
            <w:webHidden/>
          </w:rPr>
          <w:instrText xml:space="preserve"> PAGEREF _Toc418274902 \h </w:instrText>
        </w:r>
        <w:r w:rsidR="0079170F">
          <w:rPr>
            <w:webHidden/>
          </w:rPr>
        </w:r>
        <w:r w:rsidR="0079170F">
          <w:rPr>
            <w:webHidden/>
          </w:rPr>
          <w:fldChar w:fldCharType="separate"/>
        </w:r>
        <w:r>
          <w:rPr>
            <w:webHidden/>
          </w:rPr>
          <w:t>12</w:t>
        </w:r>
        <w:r w:rsidR="0079170F">
          <w:rPr>
            <w:webHidden/>
          </w:rPr>
          <w:fldChar w:fldCharType="end"/>
        </w:r>
      </w:hyperlink>
    </w:p>
    <w:p w:rsidR="00B03921" w:rsidRDefault="00B03921" w:rsidP="00016914">
      <w:pPr>
        <w:pStyle w:val="BodyText"/>
      </w:pPr>
      <w:r w:rsidRPr="0040125C">
        <w:fldChar w:fldCharType="end"/>
      </w:r>
    </w:p>
    <w:p w:rsidR="00B03921" w:rsidRDefault="00B03921" w:rsidP="00016914">
      <w:pPr>
        <w:spacing w:after="0"/>
        <w:rPr>
          <w:rFonts w:ascii="Calibri" w:hAnsi="Calibri"/>
          <w:b/>
          <w:sz w:val="26"/>
          <w:szCs w:val="22"/>
        </w:rPr>
      </w:pPr>
      <w:r>
        <w:br w:type="page"/>
      </w:r>
    </w:p>
    <w:p w:rsidR="00B03921" w:rsidRDefault="00B03921" w:rsidP="00016914">
      <w:pPr>
        <w:pStyle w:val="Heading2Notes"/>
      </w:pPr>
      <w:bookmarkStart w:id="210" w:name="_Toc418102747"/>
      <w:bookmarkStart w:id="211" w:name="_Toc418191913"/>
      <w:bookmarkStart w:id="212" w:name="_Toc418274840"/>
      <w:bookmarkStart w:id="213" w:name="_Toc418274885"/>
      <w:bookmarkStart w:id="214" w:name="_Toc418276631"/>
      <w:r>
        <w:t>Note 1:</w:t>
      </w:r>
      <w:r>
        <w:tab/>
        <w:t>Statement of significant accounting policies</w:t>
      </w:r>
      <w:bookmarkEnd w:id="210"/>
      <w:bookmarkEnd w:id="211"/>
      <w:bookmarkEnd w:id="212"/>
      <w:bookmarkEnd w:id="213"/>
      <w:bookmarkEnd w:id="214"/>
    </w:p>
    <w:bookmarkEnd w:id="149"/>
    <w:bookmarkEnd w:id="150"/>
    <w:bookmarkEnd w:id="151"/>
    <w:bookmarkEnd w:id="152"/>
    <w:bookmarkEnd w:id="153"/>
    <w:bookmarkEnd w:id="154"/>
    <w:bookmarkEnd w:id="155"/>
    <w:bookmarkEnd w:id="156"/>
    <w:p w:rsidR="00B03921" w:rsidRPr="00F10B6E" w:rsidRDefault="00B03921" w:rsidP="00016914">
      <w:r w:rsidRPr="00F10B6E">
        <w:t>This March Quarter Financial Report presents the unaudited consolidated financial statements of the Victorian general government sector for the</w:t>
      </w:r>
      <w:r>
        <w:t xml:space="preserve"> nine months ended 31 March 2015,</w:t>
      </w:r>
      <w:r w:rsidRPr="00F10B6E">
        <w:t xml:space="preserve"> as required by </w:t>
      </w:r>
      <w:r>
        <w:t>S</w:t>
      </w:r>
      <w:r w:rsidRPr="00F10B6E">
        <w:t xml:space="preserve">ection 26 of the </w:t>
      </w:r>
      <w:r w:rsidRPr="00F10B6E">
        <w:rPr>
          <w:i/>
        </w:rPr>
        <w:t>Financial Management Act 1994</w:t>
      </w:r>
      <w:r w:rsidRPr="00F10B6E">
        <w:t>.</w:t>
      </w:r>
    </w:p>
    <w:p w:rsidR="00B03921" w:rsidRPr="00F10B6E" w:rsidRDefault="00B03921" w:rsidP="00016914">
      <w:r w:rsidRPr="00F10B6E">
        <w:t>Because this quarterly financial report does not include all the notes normally included with the annual financial report (AFR), this report should be r</w:t>
      </w:r>
      <w:r>
        <w:t>ead in conjunction with the 2013-14</w:t>
      </w:r>
      <w:r w:rsidRPr="00F10B6E">
        <w:t xml:space="preserve"> AFR published in the </w:t>
      </w:r>
      <w:r>
        <w:rPr>
          <w:i/>
          <w:iCs/>
        </w:rPr>
        <w:t>2013</w:t>
      </w:r>
      <w:r>
        <w:rPr>
          <w:i/>
          <w:iCs/>
        </w:rPr>
        <w:noBreakHyphen/>
        <w:t>14</w:t>
      </w:r>
      <w:r w:rsidRPr="00F10B6E">
        <w:rPr>
          <w:i/>
          <w:iCs/>
        </w:rPr>
        <w:t xml:space="preserve"> Financial Report, </w:t>
      </w:r>
      <w:r w:rsidRPr="00F10B6E">
        <w:rPr>
          <w:iCs/>
        </w:rPr>
        <w:t xml:space="preserve">and the </w:t>
      </w:r>
      <w:r>
        <w:rPr>
          <w:i/>
          <w:iCs/>
        </w:rPr>
        <w:t>2014-15</w:t>
      </w:r>
      <w:r w:rsidRPr="00F10B6E">
        <w:rPr>
          <w:iCs/>
        </w:rPr>
        <w:t xml:space="preserve"> </w:t>
      </w:r>
      <w:r w:rsidRPr="00F10B6E">
        <w:rPr>
          <w:i/>
          <w:iCs/>
        </w:rPr>
        <w:t>Mid</w:t>
      </w:r>
      <w:r w:rsidRPr="00F10B6E">
        <w:rPr>
          <w:i/>
          <w:iCs/>
        </w:rPr>
        <w:noBreakHyphen/>
        <w:t>Year Financial Report.</w:t>
      </w:r>
    </w:p>
    <w:p w:rsidR="00B03921" w:rsidRPr="00F10B6E" w:rsidRDefault="00B03921" w:rsidP="00016914">
      <w:pPr>
        <w:pStyle w:val="Heading3Numbering"/>
        <w:numPr>
          <w:ilvl w:val="0"/>
          <w:numId w:val="45"/>
        </w:numPr>
      </w:pPr>
      <w:r w:rsidRPr="00F10B6E">
        <w:t xml:space="preserve">Compliance </w:t>
      </w:r>
      <w:r w:rsidRPr="00D50277">
        <w:rPr>
          <w:szCs w:val="24"/>
        </w:rPr>
        <w:t>framework</w:t>
      </w:r>
    </w:p>
    <w:p w:rsidR="00B03921" w:rsidRPr="00F10B6E" w:rsidRDefault="00B03921" w:rsidP="00016914">
      <w:r w:rsidRPr="00F10B6E">
        <w:t xml:space="preserve">These financial statements have been prepared in accordance with the </w:t>
      </w:r>
      <w:r w:rsidRPr="00F10B6E">
        <w:rPr>
          <w:i/>
          <w:iCs/>
        </w:rPr>
        <w:t xml:space="preserve">Financial Management Act 1994, </w:t>
      </w:r>
      <w:r w:rsidRPr="00F10B6E">
        <w:t xml:space="preserve">having regard to the recognition and measurement principles of the applicable Australian Accounting Standards (AASs), which include Interpretations issued by the Australian Accounting Standards Board (AASB). The financial statements are also presented in a manner consistent with the requirements of AASB 1049 </w:t>
      </w:r>
      <w:r w:rsidRPr="00F10B6E">
        <w:rPr>
          <w:i/>
          <w:iCs/>
        </w:rPr>
        <w:t>Whole of Government and General Government Sector Financial Reporting</w:t>
      </w:r>
      <w:r w:rsidRPr="00F10B6E">
        <w:t>.</w:t>
      </w:r>
    </w:p>
    <w:p w:rsidR="00B03921" w:rsidRPr="00F10B6E" w:rsidRDefault="00B03921" w:rsidP="00016914">
      <w:r w:rsidRPr="00F10B6E">
        <w:t>Where applicable, those paragraphs of AASs applicable to not</w:t>
      </w:r>
      <w:r w:rsidRPr="00F10B6E">
        <w:noBreakHyphen/>
        <w:t>for</w:t>
      </w:r>
      <w:r w:rsidRPr="00F10B6E">
        <w:noBreakHyphen/>
        <w:t>profit entities have been applied.</w:t>
      </w:r>
    </w:p>
    <w:p w:rsidR="00B03921" w:rsidRPr="00F10B6E" w:rsidRDefault="00B03921" w:rsidP="00016914">
      <w:pPr>
        <w:pStyle w:val="Heading3Numbering"/>
      </w:pPr>
      <w:r w:rsidRPr="00F10B6E">
        <w:t>Basis of accounting and measurement</w:t>
      </w:r>
    </w:p>
    <w:p w:rsidR="00B03921" w:rsidRPr="00F10B6E" w:rsidRDefault="00B03921" w:rsidP="00016914">
      <w:r w:rsidRPr="00F10B6E">
        <w:t>The accrual basis of accounting has been used in the preparation of this financial report whereby assets, liabilities, equity, revenues and expenses are recognised in the reporting period to which they relate, regardless of when cash will be received or paid.</w:t>
      </w:r>
    </w:p>
    <w:p w:rsidR="00B03921" w:rsidRPr="00F10B6E" w:rsidRDefault="00B03921" w:rsidP="00016914">
      <w:pPr>
        <w:pStyle w:val="Heading3Numbering"/>
      </w:pPr>
      <w:r w:rsidRPr="00F10B6E">
        <w:t>General government sector economic entity</w:t>
      </w:r>
    </w:p>
    <w:p w:rsidR="00B03921" w:rsidRPr="00F10B6E" w:rsidRDefault="00B03921" w:rsidP="00016914">
      <w:r w:rsidRPr="00F10B6E">
        <w:t>The general government sector includes all government departments, offices and other government bodies engaged in providing services free of charge or at prices significantly below their cost of production. The services provided by these entities are financed mainly through taxes, other compulsory levies and user charges. The general government sector is not a separate entity but represents a sector within the State of Victoria reporting entity.</w:t>
      </w:r>
    </w:p>
    <w:p w:rsidR="00B03921" w:rsidRPr="00F10B6E" w:rsidRDefault="00B03921" w:rsidP="00016914">
      <w:pPr>
        <w:pStyle w:val="Heading3Numbering"/>
      </w:pPr>
      <w:r w:rsidRPr="00F10B6E">
        <w:t>Basis of consolidation</w:t>
      </w:r>
    </w:p>
    <w:p w:rsidR="00B03921" w:rsidRPr="00F10B6E" w:rsidRDefault="00B03921" w:rsidP="00016914">
      <w:r w:rsidRPr="00F10B6E">
        <w:t xml:space="preserve">The March Quarter Financial Report includes all reporting entities in the general government sector that are controlled by the State. Details of entities consolidated for the general government sector are included </w:t>
      </w:r>
      <w:r w:rsidRPr="0081222C">
        <w:t xml:space="preserve">in </w:t>
      </w:r>
      <w:r w:rsidRPr="004002E5">
        <w:t>Note 27</w:t>
      </w:r>
      <w:r w:rsidRPr="0081222C">
        <w:t xml:space="preserve"> of Chapter 1, which should be read in conjunction with </w:t>
      </w:r>
      <w:r w:rsidRPr="004D7F61">
        <w:t>Note 42</w:t>
      </w:r>
      <w:r w:rsidRPr="0081222C">
        <w:t xml:space="preserve"> </w:t>
      </w:r>
      <w:r w:rsidRPr="0081222C">
        <w:rPr>
          <w:i/>
        </w:rPr>
        <w:t>Controlled entities</w:t>
      </w:r>
      <w:r>
        <w:t xml:space="preserve"> of the 2013</w:t>
      </w:r>
      <w:r>
        <w:noBreakHyphen/>
        <w:t>14</w:t>
      </w:r>
      <w:r w:rsidRPr="0081222C">
        <w:t xml:space="preserve"> AFR</w:t>
      </w:r>
      <w:r w:rsidRPr="00F10B6E">
        <w:t>. In the process of reporting the general government sector as a single economic entity, all material transactions and balances within the sector are eliminated.</w:t>
      </w:r>
    </w:p>
    <w:p w:rsidR="00B03921" w:rsidRDefault="00B03921">
      <w:pPr>
        <w:spacing w:after="0"/>
      </w:pPr>
      <w:r>
        <w:br w:type="page"/>
      </w:r>
    </w:p>
    <w:p w:rsidR="00423972" w:rsidRDefault="00423972" w:rsidP="00A45275">
      <w:pPr>
        <w:pStyle w:val="Heading2NotesContd"/>
      </w:pPr>
      <w:r>
        <w:t>Note 1:</w:t>
      </w:r>
      <w:r>
        <w:tab/>
        <w:t xml:space="preserve">Statement of significant accounting policies </w:t>
      </w:r>
      <w:r w:rsidRPr="00423972">
        <w:rPr>
          <w:i/>
        </w:rPr>
        <w:t>(continued)</w:t>
      </w:r>
    </w:p>
    <w:p w:rsidR="00B03921" w:rsidRDefault="00B03921" w:rsidP="00016914">
      <w:r w:rsidRPr="00F10B6E">
        <w:t>Entities in the public non</w:t>
      </w:r>
      <w:r w:rsidRPr="00F10B6E">
        <w:noBreakHyphen/>
        <w:t>financial corporations (PNFC) and public financial corporations (PFC) sectors are not consolidated into the financial statements of the Victorian general government sector, but are accounted for as equity investments measured at the Government</w:t>
      </w:r>
      <w:r w:rsidR="00BA5A16">
        <w:t>’</w:t>
      </w:r>
      <w:r w:rsidRPr="00F10B6E">
        <w:t>s proportional share of the carrying amount of net assets of the PNFC and PFC sector entities before consolidation eliminations. Where the carrying amount of the entity</w:t>
      </w:r>
      <w:r w:rsidR="00BA5A16">
        <w:t>’</w:t>
      </w:r>
      <w:r w:rsidRPr="00F10B6E">
        <w:t>s net assets before consolidation eliminations is less than zero, the amount is not included</w:t>
      </w:r>
      <w:r w:rsidRPr="00D26163">
        <w:t xml:space="preserve"> at the general government sector, but the net liabilities will be consolidated at the State level</w:t>
      </w:r>
      <w:r>
        <w:t xml:space="preserve">. </w:t>
      </w:r>
      <w:r w:rsidRPr="00F10B6E">
        <w:t xml:space="preserve">Any change in the carrying amount of the investment from period to period is accounted for as if the change in the carrying amount is a change in fair value and accounted for in a manner consistent with AASB 139 </w:t>
      </w:r>
      <w:r w:rsidRPr="00F10B6E">
        <w:rPr>
          <w:i/>
        </w:rPr>
        <w:t>Financial Instruments: Recognition and Measurement</w:t>
      </w:r>
      <w:r>
        <w:t>.</w:t>
      </w:r>
    </w:p>
    <w:p w:rsidR="00B03921" w:rsidRDefault="00B03921" w:rsidP="00016914">
      <w:pPr>
        <w:pStyle w:val="Heading3Numbering"/>
      </w:pPr>
      <w:r>
        <w:t>Change in accounting policy</w:t>
      </w:r>
    </w:p>
    <w:p w:rsidR="00B03921" w:rsidRPr="00606098" w:rsidRDefault="00B03921" w:rsidP="00016914">
      <w:pPr>
        <w:pStyle w:val="Heading3Numbering"/>
        <w:numPr>
          <w:ilvl w:val="0"/>
          <w:numId w:val="0"/>
        </w:numPr>
        <w:rPr>
          <w:b w:val="0"/>
        </w:rPr>
      </w:pPr>
      <w:r w:rsidRPr="00606098">
        <w:rPr>
          <w:b w:val="0"/>
        </w:rPr>
        <w:t>Superannuation</w:t>
      </w:r>
    </w:p>
    <w:p w:rsidR="00B03921" w:rsidRDefault="00B03921" w:rsidP="00016914">
      <w:r>
        <w:t xml:space="preserve">Revised AASB 119 </w:t>
      </w:r>
      <w:r w:rsidRPr="00526587">
        <w:rPr>
          <w:i/>
        </w:rPr>
        <w:t>Employee Benefits</w:t>
      </w:r>
      <w:r>
        <w:t xml:space="preserve"> was applicable for the first time in the 2013-14 financial year. This revised standard requires an entity to make a reliable estimate of the ultimate cost to the entity of the defined benefit schemes in estimating the net defined benefit superannuation liability. </w:t>
      </w:r>
    </w:p>
    <w:p w:rsidR="00B03921" w:rsidRDefault="00B03921" w:rsidP="00016914">
      <w:r>
        <w:t>The State previously used a net tax approach in estimating the net defined benefit superannuation liability with the expected tax payable on contributions being offset by the tax credits expected to be generated from superannuation plan assets. This approach was adopted due to the fact that the investment income on these assets is largely tax exempt and franking credits received on the investment income are expected to be available to offset the taxes payable on contributions, which in turn reduces the ultimate cost of funding the State</w:t>
      </w:r>
      <w:r w:rsidR="00BA5A16">
        <w:t>’</w:t>
      </w:r>
      <w:r>
        <w:t>s defined benefit schemes.</w:t>
      </w:r>
    </w:p>
    <w:p w:rsidR="00B03921" w:rsidRDefault="00B03921" w:rsidP="00016914">
      <w:r>
        <w:t>However, under the revised standard, the State notes that there are differing views regarding the treatment of expected franking credits from superannuation plan assets. Following a review of broader industry practice, including that of other jurisdictions, the State has changed its accounting policy such that the calculation of the tax liability no longer allows for the fact that taxes payable will ultimately be offset by franking credits</w:t>
      </w:r>
      <w:r w:rsidRPr="00FE072A">
        <w:t xml:space="preserve">. </w:t>
      </w:r>
      <w:r>
        <w:t xml:space="preserve">This change in policy will provide more relevant information to users of the financial statements as it will better facilitate inter-jurisdictional </w:t>
      </w:r>
      <w:r w:rsidRPr="00FE072A">
        <w:t>compar</w:t>
      </w:r>
      <w:r>
        <w:t>isons. Future franking credits and other tax offsets will be incorporated as part of the return on assets each year and recognised accordingly as they arise.</w:t>
      </w:r>
    </w:p>
    <w:p w:rsidR="00B03921" w:rsidRDefault="00B03921" w:rsidP="00016914">
      <w:pPr>
        <w:pStyle w:val="BodyText"/>
      </w:pPr>
      <w:r>
        <w:t xml:space="preserve">This change in accounting policy has been applied retrospectively. For the 2013-14 comparative period, the change has increased the net defined benefit superannuation liability by </w:t>
      </w:r>
      <w:r w:rsidRPr="006153BD">
        <w:t>$</w:t>
      </w:r>
      <w:r>
        <w:t xml:space="preserve">573.9 million as at 31 March 2014, with net superannuation interest expense having increased by </w:t>
      </w:r>
      <w:r w:rsidRPr="00765F75">
        <w:t>$</w:t>
      </w:r>
      <w:r>
        <w:t xml:space="preserve">17 million and associated superannuation service cost having reduced by $25 million. </w:t>
      </w:r>
    </w:p>
    <w:p w:rsidR="00B03921" w:rsidRDefault="00B03921">
      <w:pPr>
        <w:spacing w:after="0"/>
        <w:rPr>
          <w:rFonts w:ascii="Calibri" w:hAnsi="Calibri"/>
          <w:i/>
          <w:sz w:val="24"/>
          <w:szCs w:val="22"/>
        </w:rPr>
      </w:pPr>
      <w:r>
        <w:br w:type="page"/>
      </w:r>
    </w:p>
    <w:p w:rsidR="00423972" w:rsidRDefault="00423972" w:rsidP="00A45275">
      <w:pPr>
        <w:pStyle w:val="Heading2NotesContd"/>
      </w:pPr>
      <w:r>
        <w:t>Note 1:</w:t>
      </w:r>
      <w:r>
        <w:tab/>
        <w:t xml:space="preserve">Statement of significant accounting policies </w:t>
      </w:r>
      <w:r w:rsidRPr="00423972">
        <w:rPr>
          <w:i/>
        </w:rPr>
        <w:t>(continued)</w:t>
      </w:r>
    </w:p>
    <w:p w:rsidR="00B03921" w:rsidRDefault="00B03921" w:rsidP="00016914">
      <w:pPr>
        <w:pStyle w:val="Heading4"/>
      </w:pPr>
      <w:r>
        <w:t>Valuation of school buildings assets</w:t>
      </w:r>
    </w:p>
    <w:p w:rsidR="00B03921" w:rsidRDefault="00B03921" w:rsidP="00016914">
      <w:pPr>
        <w:pStyle w:val="BodyText"/>
      </w:pPr>
      <w:r>
        <w:t>For the reporting period ended 31 March 2015</w:t>
      </w:r>
      <w:r w:rsidRPr="0035134A">
        <w:t>, the State made a change in its accounting policy for the valuation of school building assets. The State previously adjusted for economic obsolescence in the valuation of its school building assets where floor space was assessed to be permanently in excess of teaching requirements by referenc</w:t>
      </w:r>
      <w:r>
        <w:t xml:space="preserve">e to long-term enrolment data. </w:t>
      </w:r>
      <w:r w:rsidRPr="0035134A">
        <w:t>Noting the lack of specific and definitive guidance in the application of the concept of economic obsolescence required by the Accounting Standard</w:t>
      </w:r>
      <w:r w:rsidRPr="00FE0653">
        <w:t xml:space="preserve"> </w:t>
      </w:r>
      <w:r w:rsidRPr="00914000">
        <w:t>AASB</w:t>
      </w:r>
      <w:r>
        <w:t> </w:t>
      </w:r>
      <w:r w:rsidRPr="00914000">
        <w:t>13</w:t>
      </w:r>
      <w:r>
        <w:t> </w:t>
      </w:r>
      <w:r w:rsidRPr="005079E3">
        <w:rPr>
          <w:i/>
        </w:rPr>
        <w:t>Fair Value Measurement</w:t>
      </w:r>
      <w:r w:rsidRPr="00914000">
        <w:t>,</w:t>
      </w:r>
      <w:r w:rsidRPr="0035134A">
        <w:t xml:space="preserve"> the State no longer includes an adjustment for economic obsolescence in measuring the fair value of its school</w:t>
      </w:r>
      <w:r>
        <w:t xml:space="preserve"> assets that are still in use. </w:t>
      </w:r>
      <w:r w:rsidRPr="0035134A">
        <w:t>This records school building assets at current replacement cost.</w:t>
      </w:r>
      <w:r>
        <w:t xml:space="preserve"> </w:t>
      </w:r>
    </w:p>
    <w:p w:rsidR="00B03921" w:rsidRPr="00412BA6" w:rsidRDefault="00B03921" w:rsidP="00016914">
      <w:pPr>
        <w:pStyle w:val="BodyText"/>
        <w:rPr>
          <w:b/>
        </w:rPr>
      </w:pPr>
      <w:r>
        <w:t xml:space="preserve">This change in accounting policy </w:t>
      </w:r>
      <w:r w:rsidRPr="0035134A">
        <w:t xml:space="preserve">has </w:t>
      </w:r>
      <w:r>
        <w:t xml:space="preserve">been applied retrospectively. For the 2013-14 comparative period, the change has </w:t>
      </w:r>
      <w:r w:rsidRPr="0035134A">
        <w:t xml:space="preserve">increased depreciation expense for the general government sector by </w:t>
      </w:r>
      <w:r w:rsidRPr="000B1DAD">
        <w:t>$</w:t>
      </w:r>
      <w:r>
        <w:t>34</w:t>
      </w:r>
      <w:r w:rsidRPr="000B1DAD">
        <w:t xml:space="preserve"> million</w:t>
      </w:r>
      <w:r w:rsidRPr="0035134A">
        <w:t xml:space="preserve"> as a result of the increase to the valuation of school building assets of </w:t>
      </w:r>
      <w:r w:rsidRPr="000B1DAD">
        <w:t>$</w:t>
      </w:r>
      <w:r>
        <w:t>2.1 billion</w:t>
      </w:r>
      <w:r w:rsidRPr="0035134A">
        <w:t>.</w:t>
      </w:r>
      <w:r>
        <w:t xml:space="preserve"> </w:t>
      </w:r>
    </w:p>
    <w:p w:rsidR="00B03921" w:rsidRDefault="00B03921" w:rsidP="00016914">
      <w:pPr>
        <w:pStyle w:val="Heading3Numbering"/>
        <w:tabs>
          <w:tab w:val="num" w:pos="720"/>
        </w:tabs>
        <w:ind w:left="720" w:hanging="720"/>
      </w:pPr>
      <w:r>
        <w:t>Recent machinery of government changes</w:t>
      </w:r>
    </w:p>
    <w:p w:rsidR="00B03921" w:rsidRPr="00A73E5B" w:rsidRDefault="00B03921" w:rsidP="00016914">
      <w:pPr>
        <w:pStyle w:val="BodyText"/>
      </w:pPr>
      <w:r w:rsidRPr="009D0DD7">
        <w:t xml:space="preserve">On 4 December 2014, the Premier announced new administrative arrangements for government entities effective </w:t>
      </w:r>
      <w:r>
        <w:t xml:space="preserve">from </w:t>
      </w:r>
      <w:r w:rsidRPr="009D0DD7">
        <w:t xml:space="preserve">1 January 2015. </w:t>
      </w:r>
      <w:r w:rsidRPr="00075A7C">
        <w:t>Information disclosed in the notes to the financial statements in the 2014-15 March Quarter Financial Report reflects these</w:t>
      </w:r>
      <w:r>
        <w:t xml:space="preserve"> new administrative structures.</w:t>
      </w:r>
    </w:p>
    <w:p w:rsidR="00B03921" w:rsidRPr="007E5672" w:rsidRDefault="00B03921" w:rsidP="00016914"/>
    <w:p w:rsidR="00B03921" w:rsidRDefault="00B03921" w:rsidP="00016914">
      <w:pPr>
        <w:pStyle w:val="Heading2Notes"/>
      </w:pPr>
    </w:p>
    <w:p w:rsidR="00B03921" w:rsidRDefault="00B03921" w:rsidP="00016914">
      <w:pPr>
        <w:pStyle w:val="Heading1"/>
      </w:pPr>
      <w:r>
        <w:br w:type="page"/>
      </w:r>
    </w:p>
    <w:p w:rsidR="00B03921" w:rsidRDefault="00B03921" w:rsidP="00016914">
      <w:pPr>
        <w:pStyle w:val="Heading2Notes"/>
      </w:pPr>
      <w:bookmarkStart w:id="215" w:name="_Toc418102748"/>
      <w:bookmarkStart w:id="216" w:name="_Toc418191914"/>
      <w:bookmarkStart w:id="217" w:name="_Toc418274841"/>
      <w:bookmarkStart w:id="218" w:name="_Toc418274886"/>
      <w:bookmarkStart w:id="219" w:name="_Toc418276632"/>
      <w:r w:rsidRPr="00F10B6E">
        <w:t>Note 2:</w:t>
      </w:r>
      <w:r w:rsidRPr="00F10B6E">
        <w:tab/>
        <w:t>Taxation</w:t>
      </w:r>
      <w:bookmarkEnd w:id="157"/>
      <w:bookmarkEnd w:id="158"/>
      <w:bookmarkEnd w:id="159"/>
      <w:bookmarkEnd w:id="215"/>
      <w:bookmarkEnd w:id="216"/>
      <w:bookmarkEnd w:id="217"/>
      <w:bookmarkEnd w:id="218"/>
      <w:bookmarkEnd w:id="21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423972" w:rsidRPr="005101B3" w:rsidTr="00423972">
        <w:trPr>
          <w:cantSplit/>
          <w:trHeight w:val="747"/>
          <w:tblHeader/>
        </w:trPr>
        <w:tc>
          <w:tcPr>
            <w:tcW w:w="920" w:type="dxa"/>
            <w:tcBorders>
              <w:top w:val="single" w:sz="6" w:space="0" w:color="auto"/>
              <w:left w:val="single" w:sz="6" w:space="0" w:color="auto"/>
              <w:right w:val="nil"/>
            </w:tcBorders>
            <w:shd w:val="clear" w:color="000000" w:fill="000000"/>
          </w:tcPr>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2013-14</w:t>
            </w: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Actual</w:t>
            </w: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423972" w:rsidRPr="005101B3" w:rsidRDefault="00423972"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423972" w:rsidRPr="005101B3" w:rsidRDefault="00423972"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2014-15</w:t>
            </w: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Actual</w:t>
            </w: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423972" w:rsidRDefault="00423972" w:rsidP="00016914">
            <w:pPr>
              <w:pStyle w:val="Tabletextheading"/>
              <w:rPr>
                <w:rFonts w:eastAsiaTheme="minorEastAsia"/>
                <w:color w:val="FFFFFF"/>
                <w:lang w:eastAsia="en-AU"/>
              </w:rPr>
            </w:pP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Revised</w:t>
            </w:r>
          </w:p>
          <w:p w:rsidR="00423972" w:rsidRPr="005101B3" w:rsidRDefault="00423972" w:rsidP="00016914">
            <w:pPr>
              <w:pStyle w:val="Tabletextheading"/>
              <w:rPr>
                <w:rFonts w:eastAsiaTheme="minorEastAsia"/>
                <w:color w:val="FFFFFF"/>
                <w:lang w:eastAsia="en-AU"/>
              </w:rPr>
            </w:pPr>
            <w:r w:rsidRPr="005101B3">
              <w:rPr>
                <w:rFonts w:eastAsiaTheme="minorEastAsia"/>
                <w:color w:val="FFFFFF"/>
                <w:lang w:eastAsia="en-AU"/>
              </w:rPr>
              <w:t>budget</w:t>
            </w:r>
          </w:p>
        </w:tc>
      </w:tr>
      <w:tr w:rsidR="00B03921" w:rsidRPr="005101B3" w:rsidTr="00016914">
        <w:trPr>
          <w:cantSplit/>
        </w:trPr>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3 730.2</w:t>
            </w:r>
          </w:p>
        </w:tc>
        <w:tc>
          <w:tcPr>
            <w:tcW w:w="1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single" w:sz="6" w:space="0" w:color="auto"/>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Taxes on employers</w:t>
            </w:r>
            <w:r w:rsidR="00BA5A16">
              <w:rPr>
                <w:rFonts w:eastAsiaTheme="minorEastAsia"/>
                <w:b/>
                <w:bCs/>
                <w:lang w:eastAsia="en-AU"/>
              </w:rPr>
              <w:t>’</w:t>
            </w:r>
            <w:r w:rsidRPr="005101B3">
              <w:rPr>
                <w:rFonts w:eastAsiaTheme="minorEastAsia"/>
                <w:b/>
                <w:bCs/>
                <w:lang w:eastAsia="en-AU"/>
              </w:rPr>
              <w:t xml:space="preserve"> payroll and labour force</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3 828.8</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5 091.7</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lang w:eastAsia="en-AU"/>
              </w:rPr>
            </w:pPr>
            <w:r w:rsidRPr="005101B3">
              <w:rPr>
                <w:rFonts w:eastAsiaTheme="minorEastAsia"/>
                <w:b/>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Taxes on property</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lang w:eastAsia="en-AU"/>
              </w:rPr>
            </w:pPr>
            <w:r w:rsidRPr="005101B3">
              <w:rPr>
                <w:rFonts w:eastAsiaTheme="minorEastAsia"/>
                <w:b/>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Taxes on immovable property</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1 564.1</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Land tax</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1 660.0</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1 795.7</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75.0</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Congestion levy</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96.0</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121.6</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149.5</w:t>
            </w:r>
          </w:p>
        </w:tc>
        <w:tc>
          <w:tcPr>
            <w:tcW w:w="1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Metropolitan improvement levy</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145.7</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145.7</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631.2</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Fire services property levy</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585.8</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585.8</w:t>
            </w:r>
          </w:p>
        </w:tc>
      </w:tr>
      <w:tr w:rsidR="00B03921" w:rsidRPr="005101B3" w:rsidTr="00016914">
        <w:trPr>
          <w:cantSplit/>
        </w:trPr>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2 419.8</w:t>
            </w:r>
          </w:p>
        </w:tc>
        <w:tc>
          <w:tcPr>
            <w:tcW w:w="120" w:type="dxa"/>
            <w:tcBorders>
              <w:top w:val="single" w:sz="6" w:space="0" w:color="auto"/>
              <w:left w:val="nil"/>
              <w:bottom w:val="nil"/>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single" w:sz="6" w:space="0" w:color="auto"/>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taxes on immovable property</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2 487.6</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2 648.9</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Financial and capital transactions</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3 100.5</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Land transfer duty</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3 700.6</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4 886.2</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78.4</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Growth Areas Infrastructure Contribution</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91.6</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102.6</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7.4</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Other property duties</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1.8</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1.7</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85.5</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5101B3" w:rsidRDefault="00B03921" w:rsidP="00016914">
            <w:pPr>
              <w:pStyle w:val="Tabletext"/>
              <w:rPr>
                <w:rFonts w:eastAsiaTheme="minorEastAsia"/>
                <w:lang w:eastAsia="en-AU"/>
              </w:rPr>
            </w:pPr>
            <w:r w:rsidRPr="005101B3">
              <w:rPr>
                <w:rFonts w:eastAsiaTheme="minorEastAsia"/>
                <w:lang w:eastAsia="en-AU"/>
              </w:rPr>
              <w:t>Financial accommodation levy</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62.7</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129.4</w:t>
            </w:r>
          </w:p>
        </w:tc>
      </w:tr>
      <w:tr w:rsidR="00B03921" w:rsidRPr="005101B3" w:rsidTr="00016914">
        <w:trPr>
          <w:cantSplit/>
        </w:trPr>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3 271.9</w:t>
            </w:r>
          </w:p>
        </w:tc>
        <w:tc>
          <w:tcPr>
            <w:tcW w:w="1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single" w:sz="6" w:space="0" w:color="auto"/>
              <w:left w:val="nil"/>
              <w:bottom w:val="single" w:sz="6" w:space="0" w:color="auto"/>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financial and capital transactions</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3 856.7</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5 120.0</w:t>
            </w:r>
          </w:p>
        </w:tc>
      </w:tr>
      <w:tr w:rsidR="00B03921" w:rsidRPr="005101B3" w:rsidTr="00016914">
        <w:trPr>
          <w:cantSplit/>
        </w:trPr>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5 691.7</w:t>
            </w:r>
          </w:p>
        </w:tc>
        <w:tc>
          <w:tcPr>
            <w:tcW w:w="1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single" w:sz="6" w:space="0" w:color="auto"/>
              <w:left w:val="nil"/>
              <w:bottom w:val="single" w:sz="6" w:space="0" w:color="auto"/>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taxes on property</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6 344.3</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7 768.8</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Taxes on the provision of goods and services</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Gambling taxes</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299.0</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Public lotteries</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299.2</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407.9</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726.2</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Electronic gaming machines</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797.2</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1 067.2</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139.7</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Casino</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157.3</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210.6</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63.1</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Racing</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62.4</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82.3</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14.6</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Other</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16.7</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23.1</w:t>
            </w:r>
          </w:p>
        </w:tc>
      </w:tr>
      <w:tr w:rsidR="00B03921" w:rsidRPr="005101B3" w:rsidTr="00016914">
        <w:trPr>
          <w:cantSplit/>
        </w:trPr>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1 242.6</w:t>
            </w:r>
          </w:p>
        </w:tc>
        <w:tc>
          <w:tcPr>
            <w:tcW w:w="1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single" w:sz="6" w:space="0" w:color="auto"/>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gambling taxes</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1 332.8</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1 791.1</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82.2</w:t>
            </w:r>
          </w:p>
        </w:tc>
        <w:tc>
          <w:tcPr>
            <w:tcW w:w="1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Levies on statutory corporations</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82.2</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112.0</w:t>
            </w:r>
          </w:p>
        </w:tc>
      </w:tr>
      <w:tr w:rsidR="00B03921" w:rsidRPr="005101B3" w:rsidTr="00016914">
        <w:trPr>
          <w:cantSplit/>
        </w:trPr>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816.2</w:t>
            </w:r>
          </w:p>
        </w:tc>
        <w:tc>
          <w:tcPr>
            <w:tcW w:w="1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Taxes on insurance</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832.9</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1 096.9</w:t>
            </w:r>
          </w:p>
        </w:tc>
      </w:tr>
      <w:tr w:rsidR="00B03921" w:rsidRPr="005101B3" w:rsidTr="00016914">
        <w:trPr>
          <w:cantSplit/>
        </w:trPr>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2 141.0</w:t>
            </w:r>
          </w:p>
        </w:tc>
        <w:tc>
          <w:tcPr>
            <w:tcW w:w="1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single" w:sz="6" w:space="0" w:color="auto"/>
              <w:left w:val="nil"/>
              <w:bottom w:val="single" w:sz="6" w:space="0" w:color="auto"/>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taxes on the provision of goods and services</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2 247.9</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2 999.9</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lang w:eastAsia="en-AU"/>
              </w:rPr>
            </w:pPr>
            <w:r w:rsidRPr="005101B3">
              <w:rPr>
                <w:rFonts w:eastAsiaTheme="minorEastAsia"/>
                <w:b/>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Taxes on the use of goods and performance of activities</w:t>
            </w:r>
          </w:p>
        </w:tc>
      </w:tr>
      <w:tr w:rsidR="00423972" w:rsidRPr="005101B3" w:rsidTr="00423972">
        <w:trPr>
          <w:cantSplit/>
        </w:trPr>
        <w:tc>
          <w:tcPr>
            <w:tcW w:w="9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120" w:type="dxa"/>
            <w:tcBorders>
              <w:top w:val="nil"/>
              <w:left w:val="nil"/>
              <w:bottom w:val="nil"/>
              <w:right w:val="nil"/>
            </w:tcBorders>
          </w:tcPr>
          <w:p w:rsidR="00423972" w:rsidRPr="005101B3" w:rsidRDefault="00423972" w:rsidP="00016914">
            <w:pPr>
              <w:pStyle w:val="TableofFigures"/>
              <w:rPr>
                <w:rFonts w:eastAsiaTheme="minorEastAsia"/>
                <w:b/>
                <w:bCs/>
                <w:lang w:eastAsia="en-AU"/>
              </w:rPr>
            </w:pPr>
            <w:r w:rsidRPr="005101B3">
              <w:rPr>
                <w:rFonts w:eastAsiaTheme="minorEastAsia"/>
                <w:b/>
                <w:bCs/>
                <w:lang w:eastAsia="en-AU"/>
              </w:rPr>
              <w:t xml:space="preserve">  </w:t>
            </w:r>
          </w:p>
        </w:tc>
        <w:tc>
          <w:tcPr>
            <w:tcW w:w="6720" w:type="dxa"/>
            <w:gridSpan w:val="3"/>
            <w:tcBorders>
              <w:top w:val="nil"/>
              <w:left w:val="nil"/>
              <w:bottom w:val="nil"/>
              <w:right w:val="nil"/>
            </w:tcBorders>
          </w:tcPr>
          <w:p w:rsidR="00423972" w:rsidRPr="005101B3" w:rsidRDefault="00423972" w:rsidP="00423972">
            <w:pPr>
              <w:pStyle w:val="Tabletext"/>
              <w:rPr>
                <w:rFonts w:eastAsiaTheme="minorEastAsia"/>
                <w:b/>
                <w:bCs/>
                <w:lang w:eastAsia="en-AU"/>
              </w:rPr>
            </w:pPr>
            <w:r w:rsidRPr="005101B3">
              <w:rPr>
                <w:rFonts w:eastAsiaTheme="minorEastAsia"/>
                <w:b/>
                <w:bCs/>
                <w:lang w:eastAsia="en-AU"/>
              </w:rPr>
              <w:t>Motor vehicle taxes</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914.5</w:t>
            </w:r>
          </w:p>
        </w:tc>
        <w:tc>
          <w:tcPr>
            <w:tcW w:w="1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Vehicle registration fees</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1 034.1</w:t>
            </w:r>
          </w:p>
        </w:tc>
        <w:tc>
          <w:tcPr>
            <w:tcW w:w="920" w:type="dxa"/>
            <w:tcBorders>
              <w:top w:val="nil"/>
              <w:left w:val="nil"/>
              <w:bottom w:val="nil"/>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1 393.3</w:t>
            </w:r>
          </w:p>
        </w:tc>
      </w:tr>
      <w:tr w:rsidR="00B03921" w:rsidRPr="005101B3" w:rsidTr="00016914">
        <w:trPr>
          <w:cantSplit/>
        </w:trPr>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496.5</w:t>
            </w:r>
          </w:p>
        </w:tc>
        <w:tc>
          <w:tcPr>
            <w:tcW w:w="1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single" w:sz="6" w:space="0" w:color="auto"/>
              <w:right w:val="nil"/>
            </w:tcBorders>
          </w:tcPr>
          <w:p w:rsidR="00B03921" w:rsidRPr="005101B3" w:rsidRDefault="00B03921" w:rsidP="00016914">
            <w:pPr>
              <w:pStyle w:val="Tabletext"/>
              <w:rPr>
                <w:rFonts w:eastAsiaTheme="minorEastAsia"/>
                <w:lang w:eastAsia="en-AU"/>
              </w:rPr>
            </w:pPr>
            <w:r w:rsidRPr="005101B3">
              <w:rPr>
                <w:rFonts w:eastAsiaTheme="minorEastAsia"/>
                <w:lang w:eastAsia="en-AU"/>
              </w:rPr>
              <w:t>Duty on vehicle registrations and transfers</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534.9</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lang w:eastAsia="en-AU"/>
              </w:rPr>
            </w:pPr>
            <w:r w:rsidRPr="005101B3">
              <w:rPr>
                <w:rFonts w:eastAsiaTheme="minorEastAsia"/>
                <w:lang w:eastAsia="en-AU"/>
              </w:rPr>
              <w:t xml:space="preserve"> 714.9</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1 411.0</w:t>
            </w:r>
          </w:p>
        </w:tc>
        <w:tc>
          <w:tcPr>
            <w:tcW w:w="120" w:type="dxa"/>
            <w:tcBorders>
              <w:top w:val="nil"/>
              <w:left w:val="nil"/>
              <w:bottom w:val="nil"/>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motor vehicle taxes</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1 569.0</w:t>
            </w:r>
          </w:p>
        </w:tc>
        <w:tc>
          <w:tcPr>
            <w:tcW w:w="920" w:type="dxa"/>
            <w:tcBorders>
              <w:top w:val="single" w:sz="6" w:space="0" w:color="auto"/>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2 108.2</w:t>
            </w:r>
          </w:p>
        </w:tc>
      </w:tr>
      <w:tr w:rsidR="00B03921" w:rsidRPr="005101B3" w:rsidTr="00016914">
        <w:trPr>
          <w:cantSplit/>
        </w:trPr>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22.0</w:t>
            </w:r>
          </w:p>
        </w:tc>
        <w:tc>
          <w:tcPr>
            <w:tcW w:w="1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Liquor licence fees</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21.6</w:t>
            </w:r>
          </w:p>
        </w:tc>
        <w:tc>
          <w:tcPr>
            <w:tcW w:w="9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22.6</w:t>
            </w:r>
          </w:p>
        </w:tc>
      </w:tr>
      <w:tr w:rsidR="00B03921" w:rsidRPr="005101B3" w:rsidTr="00016914">
        <w:trPr>
          <w:cantSplit/>
        </w:trPr>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200.9</w:t>
            </w:r>
          </w:p>
        </w:tc>
        <w:tc>
          <w:tcPr>
            <w:tcW w:w="120" w:type="dxa"/>
            <w:tcBorders>
              <w:top w:val="nil"/>
              <w:left w:val="nil"/>
              <w:bottom w:val="nil"/>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w:t>
            </w:r>
          </w:p>
        </w:tc>
        <w:tc>
          <w:tcPr>
            <w:tcW w:w="4880" w:type="dxa"/>
            <w:tcBorders>
              <w:top w:val="nil"/>
              <w:left w:val="nil"/>
              <w:bottom w:val="nil"/>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Other</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228.8</w:t>
            </w:r>
          </w:p>
        </w:tc>
        <w:tc>
          <w:tcPr>
            <w:tcW w:w="920" w:type="dxa"/>
            <w:tcBorders>
              <w:top w:val="nil"/>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 xml:space="preserve"> 282.6</w:t>
            </w:r>
          </w:p>
        </w:tc>
      </w:tr>
      <w:tr w:rsidR="00B03921" w:rsidRPr="005101B3" w:rsidTr="00016914">
        <w:trPr>
          <w:cantSplit/>
        </w:trPr>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1 633.9</w:t>
            </w:r>
          </w:p>
        </w:tc>
        <w:tc>
          <w:tcPr>
            <w:tcW w:w="1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single" w:sz="6" w:space="0" w:color="auto"/>
              <w:left w:val="nil"/>
              <w:bottom w:val="single" w:sz="6" w:space="0" w:color="auto"/>
              <w:right w:val="nil"/>
            </w:tcBorders>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taxes on the use of goods and performance of activities</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1 819.4</w:t>
            </w:r>
          </w:p>
        </w:tc>
        <w:tc>
          <w:tcPr>
            <w:tcW w:w="920" w:type="dxa"/>
            <w:tcBorders>
              <w:top w:val="single" w:sz="6" w:space="0" w:color="auto"/>
              <w:left w:val="nil"/>
              <w:bottom w:val="single" w:sz="6" w:space="0" w:color="auto"/>
              <w:right w:val="nil"/>
            </w:tcBorders>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2 413.4</w:t>
            </w:r>
          </w:p>
        </w:tc>
      </w:tr>
      <w:tr w:rsidR="00B03921" w:rsidRPr="005101B3" w:rsidTr="00016914">
        <w:trPr>
          <w:cantSplit/>
        </w:trPr>
        <w:tc>
          <w:tcPr>
            <w:tcW w:w="920" w:type="dxa"/>
            <w:tcBorders>
              <w:top w:val="single" w:sz="6" w:space="0" w:color="auto"/>
              <w:left w:val="nil"/>
              <w:bottom w:val="single" w:sz="12" w:space="0" w:color="000000"/>
              <w:right w:val="nil"/>
            </w:tcBorders>
            <w:shd w:val="clear" w:color="auto" w:fill="auto"/>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13 196.8</w:t>
            </w:r>
          </w:p>
        </w:tc>
        <w:tc>
          <w:tcPr>
            <w:tcW w:w="120" w:type="dxa"/>
            <w:tcBorders>
              <w:top w:val="single" w:sz="6" w:space="0" w:color="auto"/>
              <w:left w:val="nil"/>
              <w:bottom w:val="single" w:sz="12" w:space="0" w:color="000000"/>
              <w:right w:val="nil"/>
            </w:tcBorders>
            <w:shd w:val="clear" w:color="auto" w:fill="auto"/>
          </w:tcPr>
          <w:p w:rsidR="00B03921" w:rsidRPr="005101B3" w:rsidRDefault="00B03921" w:rsidP="00016914">
            <w:pPr>
              <w:pStyle w:val="TableofFigures"/>
              <w:rPr>
                <w:rFonts w:eastAsiaTheme="minorEastAsia"/>
                <w:b/>
                <w:lang w:eastAsia="en-AU"/>
              </w:rPr>
            </w:pPr>
            <w:r w:rsidRPr="005101B3">
              <w:rPr>
                <w:rFonts w:eastAsiaTheme="minorEastAsia"/>
                <w:b/>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5101B3" w:rsidRDefault="00B03921" w:rsidP="00016914">
            <w:pPr>
              <w:pStyle w:val="Tabletext"/>
              <w:rPr>
                <w:rFonts w:eastAsiaTheme="minorEastAsia"/>
                <w:b/>
                <w:bCs/>
                <w:lang w:eastAsia="en-AU"/>
              </w:rPr>
            </w:pPr>
            <w:r w:rsidRPr="005101B3">
              <w:rPr>
                <w:rFonts w:eastAsiaTheme="minorEastAsia"/>
                <w:b/>
                <w:bCs/>
                <w:lang w:eastAsia="en-AU"/>
              </w:rPr>
              <w:t>Total taxation revenue</w:t>
            </w:r>
          </w:p>
        </w:tc>
        <w:tc>
          <w:tcPr>
            <w:tcW w:w="920" w:type="dxa"/>
            <w:tcBorders>
              <w:top w:val="single" w:sz="6" w:space="0" w:color="auto"/>
              <w:left w:val="nil"/>
              <w:bottom w:val="single" w:sz="12" w:space="0" w:color="000000"/>
              <w:right w:val="nil"/>
            </w:tcBorders>
            <w:shd w:val="clear" w:color="auto" w:fill="auto"/>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14 240.4</w:t>
            </w:r>
          </w:p>
        </w:tc>
        <w:tc>
          <w:tcPr>
            <w:tcW w:w="920" w:type="dxa"/>
            <w:tcBorders>
              <w:top w:val="single" w:sz="6" w:space="0" w:color="auto"/>
              <w:left w:val="nil"/>
              <w:bottom w:val="single" w:sz="12" w:space="0" w:color="000000"/>
              <w:right w:val="nil"/>
            </w:tcBorders>
            <w:shd w:val="clear" w:color="auto" w:fill="auto"/>
          </w:tcPr>
          <w:p w:rsidR="00B03921" w:rsidRPr="005101B3" w:rsidRDefault="00B03921" w:rsidP="00016914">
            <w:pPr>
              <w:pStyle w:val="TableofFigures"/>
              <w:rPr>
                <w:rFonts w:eastAsiaTheme="minorEastAsia"/>
                <w:b/>
                <w:bCs/>
                <w:lang w:eastAsia="en-AU"/>
              </w:rPr>
            </w:pPr>
            <w:r w:rsidRPr="005101B3">
              <w:rPr>
                <w:rFonts w:eastAsiaTheme="minorEastAsia"/>
                <w:b/>
                <w:bCs/>
                <w:lang w:eastAsia="en-AU"/>
              </w:rPr>
              <w:t>18 273.9</w:t>
            </w:r>
          </w:p>
        </w:tc>
      </w:tr>
    </w:tbl>
    <w:p w:rsidR="00B03921" w:rsidRPr="00F10B6E" w:rsidRDefault="00B03921" w:rsidP="00016914">
      <w:pPr>
        <w:pStyle w:val="million"/>
      </w:pPr>
      <w:r w:rsidRPr="00F10B6E">
        <w:t xml:space="preserve"> </w:t>
      </w:r>
    </w:p>
    <w:p w:rsidR="00B03921" w:rsidRPr="00F10B6E" w:rsidRDefault="00B03921" w:rsidP="00016914">
      <w:pPr>
        <w:pStyle w:val="Notes"/>
      </w:pPr>
    </w:p>
    <w:p w:rsidR="00B03921" w:rsidRDefault="00B03921" w:rsidP="00016914">
      <w:pPr>
        <w:pStyle w:val="Heading2Notes"/>
      </w:pPr>
      <w:bookmarkStart w:id="220" w:name="_Toc418102749"/>
      <w:bookmarkStart w:id="221" w:name="_Toc418191915"/>
      <w:bookmarkStart w:id="222" w:name="_Toc418274842"/>
      <w:bookmarkStart w:id="223" w:name="_Toc418274887"/>
      <w:bookmarkStart w:id="224" w:name="_Toc418276633"/>
      <w:r w:rsidRPr="00F10B6E">
        <w:t>Note 3:</w:t>
      </w:r>
      <w:r w:rsidRPr="00F10B6E">
        <w:tab/>
        <w:t>Dividends and income tax equivalent and rate equivalent revenue</w:t>
      </w:r>
      <w:bookmarkEnd w:id="160"/>
      <w:bookmarkEnd w:id="161"/>
      <w:bookmarkEnd w:id="162"/>
      <w:bookmarkEnd w:id="220"/>
      <w:bookmarkEnd w:id="221"/>
      <w:bookmarkEnd w:id="222"/>
      <w:bookmarkEnd w:id="223"/>
      <w:bookmarkEnd w:id="224"/>
    </w:p>
    <w:p w:rsidR="00B03921" w:rsidRDefault="00B03921" w:rsidP="00016914">
      <w:pPr>
        <w:pStyle w:val="Heading5"/>
      </w:pPr>
      <w:r w:rsidRPr="007717E7">
        <w:t>(a)</w:t>
      </w:r>
      <w:r w:rsidRPr="007717E7">
        <w:tab/>
        <w:t>Dividends and income tax equivalent and rate equivalent revenue</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423972" w:rsidRPr="00B52D5F" w:rsidTr="00423972">
        <w:trPr>
          <w:trHeight w:val="747"/>
          <w:tblHeader/>
        </w:trPr>
        <w:tc>
          <w:tcPr>
            <w:tcW w:w="920" w:type="dxa"/>
            <w:tcBorders>
              <w:top w:val="single" w:sz="6" w:space="0" w:color="auto"/>
              <w:left w:val="single" w:sz="6" w:space="0" w:color="auto"/>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2013-14</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 xml:space="preserve"> </w:t>
            </w:r>
          </w:p>
        </w:tc>
        <w:tc>
          <w:tcPr>
            <w:tcW w:w="4880" w:type="dxa"/>
            <w:tcBorders>
              <w:top w:val="single" w:sz="6" w:space="0" w:color="auto"/>
              <w:left w:val="nil"/>
              <w:right w:val="nil"/>
            </w:tcBorders>
            <w:shd w:val="clear" w:color="000000" w:fill="000000"/>
          </w:tcPr>
          <w:p w:rsidR="00423972" w:rsidRPr="00B52D5F" w:rsidRDefault="00423972" w:rsidP="00423972">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2014-15</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Revised</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136.0</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Dividends from PFC sector</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471.8</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562.5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63.7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Dividends from PNFC sector</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130.5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266.1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Dividends from non-public sector</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14.3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15.5</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205.8</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Dividends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616.6</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844.0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Income tax equivalent revenue from PFC sector</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58.1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104.2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Income tax equivalent revenue from PNFC sector</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97.0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117.0</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120.3</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Income tax equivalent revenue</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111.9</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175.1</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4.7</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Local government rate equivalent revenue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1.2</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6.3</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330.7</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dividends and income tax equivalent and rate equivalent revenue</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729.8</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1 025.5</w:t>
            </w:r>
          </w:p>
        </w:tc>
      </w:tr>
    </w:tbl>
    <w:p w:rsidR="00B03921" w:rsidRDefault="00B03921" w:rsidP="00016914">
      <w:pPr>
        <w:pStyle w:val="million"/>
      </w:pPr>
      <w:r>
        <w:t xml:space="preserve"> </w:t>
      </w:r>
    </w:p>
    <w:p w:rsidR="00B03921" w:rsidRDefault="00B03921" w:rsidP="00016914">
      <w:pPr>
        <w:pStyle w:val="BodyText"/>
      </w:pPr>
    </w:p>
    <w:p w:rsidR="00B03921" w:rsidRDefault="00B03921" w:rsidP="00016914">
      <w:pPr>
        <w:pStyle w:val="BodyText"/>
      </w:pPr>
    </w:p>
    <w:p w:rsidR="00B03921" w:rsidRDefault="00B03921" w:rsidP="00016914">
      <w:pPr>
        <w:pStyle w:val="Heading5"/>
      </w:pPr>
      <w:r>
        <w:t>(</w:t>
      </w:r>
      <w:r w:rsidRPr="002E741E">
        <w:t xml:space="preserve">b) </w:t>
      </w:r>
      <w:r>
        <w:tab/>
      </w:r>
      <w:r w:rsidRPr="002E741E">
        <w:t>Dividends by entity</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423972" w:rsidRPr="00B52D5F" w:rsidTr="00423972">
        <w:trPr>
          <w:trHeight w:val="747"/>
          <w:tblHeader/>
        </w:trPr>
        <w:tc>
          <w:tcPr>
            <w:tcW w:w="920" w:type="dxa"/>
            <w:tcBorders>
              <w:top w:val="single" w:sz="6" w:space="0" w:color="auto"/>
              <w:left w:val="single" w:sz="6" w:space="0" w:color="auto"/>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2013-14</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szCs w:val="22"/>
                <w:lang w:eastAsia="en-AU"/>
              </w:rPr>
            </w:pPr>
          </w:p>
        </w:tc>
        <w:tc>
          <w:tcPr>
            <w:tcW w:w="4880" w:type="dxa"/>
            <w:tcBorders>
              <w:top w:val="single" w:sz="6" w:space="0" w:color="auto"/>
              <w:left w:val="nil"/>
              <w:right w:val="nil"/>
            </w:tcBorders>
            <w:shd w:val="clear" w:color="000000" w:fill="000000"/>
          </w:tcPr>
          <w:p w:rsidR="00423972" w:rsidRPr="00B52D5F" w:rsidRDefault="00423972" w:rsidP="00016914">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2014-15</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Revised</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423972" w:rsidRPr="00B52D5F" w:rsidTr="00423972">
        <w:tc>
          <w:tcPr>
            <w:tcW w:w="920" w:type="dxa"/>
            <w:tcBorders>
              <w:top w:val="single" w:sz="6" w:space="0" w:color="auto"/>
              <w:left w:val="nil"/>
              <w:bottom w:val="nil"/>
              <w:right w:val="nil"/>
            </w:tcBorders>
          </w:tcPr>
          <w:p w:rsidR="00423972" w:rsidRPr="00B52D5F" w:rsidRDefault="00423972" w:rsidP="00016914">
            <w:pPr>
              <w:pStyle w:val="TableofFigures"/>
              <w:rPr>
                <w:rFonts w:eastAsiaTheme="minorEastAsia"/>
                <w:lang w:eastAsia="en-AU"/>
              </w:rPr>
            </w:pPr>
            <w:r w:rsidRPr="00B52D5F">
              <w:rPr>
                <w:rFonts w:eastAsiaTheme="minorEastAsia"/>
                <w:lang w:eastAsia="en-AU"/>
              </w:rPr>
              <w:t xml:space="preserve">  </w:t>
            </w:r>
          </w:p>
        </w:tc>
        <w:tc>
          <w:tcPr>
            <w:tcW w:w="120" w:type="dxa"/>
            <w:tcBorders>
              <w:top w:val="single" w:sz="6" w:space="0" w:color="auto"/>
              <w:left w:val="nil"/>
              <w:bottom w:val="nil"/>
              <w:right w:val="nil"/>
            </w:tcBorders>
          </w:tcPr>
          <w:p w:rsidR="00423972" w:rsidRPr="00B52D5F" w:rsidRDefault="00423972" w:rsidP="00016914">
            <w:pPr>
              <w:pStyle w:val="TableofFigures"/>
              <w:rPr>
                <w:rFonts w:eastAsiaTheme="minorEastAsia"/>
                <w:lang w:eastAsia="en-AU"/>
              </w:rPr>
            </w:pPr>
            <w:r w:rsidRPr="00B52D5F">
              <w:rPr>
                <w:rFonts w:eastAsiaTheme="minorEastAsia"/>
                <w:lang w:eastAsia="en-AU"/>
              </w:rPr>
              <w:t xml:space="preserve">  </w:t>
            </w:r>
          </w:p>
        </w:tc>
        <w:tc>
          <w:tcPr>
            <w:tcW w:w="6720" w:type="dxa"/>
            <w:gridSpan w:val="3"/>
            <w:tcBorders>
              <w:top w:val="single" w:sz="6" w:space="0" w:color="auto"/>
              <w:left w:val="nil"/>
              <w:bottom w:val="nil"/>
              <w:right w:val="nil"/>
            </w:tcBorders>
          </w:tcPr>
          <w:p w:rsidR="00423972" w:rsidRPr="00B52D5F" w:rsidRDefault="00423972" w:rsidP="00423972">
            <w:pPr>
              <w:pStyle w:val="Tabletext"/>
              <w:rPr>
                <w:rFonts w:eastAsiaTheme="minorEastAsia"/>
                <w:b/>
                <w:bCs/>
                <w:lang w:eastAsia="en-AU"/>
              </w:rPr>
            </w:pPr>
            <w:r w:rsidRPr="00B52D5F">
              <w:rPr>
                <w:rFonts w:eastAsiaTheme="minorEastAsia"/>
                <w:b/>
                <w:bCs/>
                <w:lang w:eastAsia="en-AU"/>
              </w:rPr>
              <w:t>Public financial corporations</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59.3</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Pr>
                <w:rFonts w:eastAsiaTheme="minorEastAsia"/>
                <w:lang w:eastAsia="en-AU"/>
              </w:rPr>
              <w:t>WorkS</w:t>
            </w:r>
            <w:r w:rsidRPr="00B52D5F">
              <w:rPr>
                <w:rFonts w:eastAsiaTheme="minorEastAsia"/>
                <w:lang w:eastAsia="en-AU"/>
              </w:rPr>
              <w:t>afe Victoria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238.7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238.7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Transport Accident Commission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162.5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253.2</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56.3</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Treasury Corporation of Victoria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Rural Finance Corporation of Victoria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State Trustees Ltd</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Victorian Funds Management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w:t>
            </w:r>
          </w:p>
        </w:tc>
      </w:tr>
      <w:tr w:rsidR="00B03921" w:rsidRPr="00B52D5F" w:rsidTr="00016914">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136.0</w:t>
            </w:r>
          </w:p>
        </w:tc>
        <w:tc>
          <w:tcPr>
            <w:tcW w:w="1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auto"/>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Dividends from PFC sector</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471.8</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562.5</w:t>
            </w:r>
          </w:p>
        </w:tc>
      </w:tr>
      <w:tr w:rsidR="00423972" w:rsidRPr="00B52D5F" w:rsidTr="00423972">
        <w:tc>
          <w:tcPr>
            <w:tcW w:w="920" w:type="dxa"/>
            <w:tcBorders>
              <w:top w:val="nil"/>
              <w:left w:val="nil"/>
              <w:bottom w:val="nil"/>
              <w:right w:val="nil"/>
            </w:tcBorders>
          </w:tcPr>
          <w:p w:rsidR="00423972" w:rsidRPr="00B52D5F" w:rsidRDefault="00423972" w:rsidP="00016914">
            <w:pPr>
              <w:pStyle w:val="TableofFigures"/>
              <w:rPr>
                <w:rFonts w:eastAsiaTheme="minorEastAsia"/>
                <w:lang w:eastAsia="en-AU"/>
              </w:rPr>
            </w:pPr>
            <w:r w:rsidRPr="00B52D5F">
              <w:rPr>
                <w:rFonts w:eastAsiaTheme="minorEastAsia"/>
                <w:lang w:eastAsia="en-AU"/>
              </w:rPr>
              <w:t xml:space="preserve">  </w:t>
            </w:r>
          </w:p>
        </w:tc>
        <w:tc>
          <w:tcPr>
            <w:tcW w:w="120" w:type="dxa"/>
            <w:tcBorders>
              <w:top w:val="nil"/>
              <w:left w:val="nil"/>
              <w:bottom w:val="nil"/>
              <w:right w:val="nil"/>
            </w:tcBorders>
          </w:tcPr>
          <w:p w:rsidR="00423972" w:rsidRPr="00B52D5F" w:rsidRDefault="00423972" w:rsidP="00016914">
            <w:pPr>
              <w:pStyle w:val="TableofFigures"/>
              <w:rPr>
                <w:rFonts w:eastAsiaTheme="minorEastAsia"/>
                <w:lang w:eastAsia="en-AU"/>
              </w:rPr>
            </w:pPr>
            <w:r w:rsidRPr="00B52D5F">
              <w:rPr>
                <w:rFonts w:eastAsiaTheme="minorEastAsia"/>
                <w:lang w:eastAsia="en-AU"/>
              </w:rPr>
              <w:t xml:space="preserve">  </w:t>
            </w:r>
          </w:p>
        </w:tc>
        <w:tc>
          <w:tcPr>
            <w:tcW w:w="6720" w:type="dxa"/>
            <w:gridSpan w:val="3"/>
            <w:tcBorders>
              <w:top w:val="nil"/>
              <w:left w:val="nil"/>
              <w:bottom w:val="nil"/>
              <w:right w:val="nil"/>
            </w:tcBorders>
            <w:shd w:val="clear" w:color="auto" w:fill="auto"/>
          </w:tcPr>
          <w:p w:rsidR="00423972" w:rsidRPr="00B52D5F" w:rsidRDefault="00423972" w:rsidP="00423972">
            <w:pPr>
              <w:pStyle w:val="Tabletext"/>
              <w:rPr>
                <w:rFonts w:eastAsiaTheme="minorEastAsia"/>
                <w:lang w:eastAsia="en-AU"/>
              </w:rPr>
            </w:pPr>
            <w:r w:rsidRPr="00B52D5F">
              <w:rPr>
                <w:rFonts w:eastAsiaTheme="minorEastAsia"/>
                <w:b/>
                <w:bCs/>
                <w:lang w:eastAsia="en-AU"/>
              </w:rPr>
              <w:t>Public non-financial corporations</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Melbourne Water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21.5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28.4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City West Water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11.4</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South East Water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49.3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52.0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Yarra Valley Water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21.8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31.7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24.4</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Port of Melbourne Corporation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28.9</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Urban Renewal Authority Victoria (Places Victoria)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0.9</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Victoria Regional Channels Authority</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cs="Calibri"/>
                <w:color w:val="000000"/>
                <w:lang w:eastAsia="en-AU"/>
              </w:rPr>
            </w:pPr>
            <w:r w:rsidRPr="00B52D5F">
              <w:rPr>
                <w:rFonts w:eastAsiaTheme="minorEastAsia"/>
                <w:lang w:eastAsia="en-AU"/>
              </w:rPr>
              <w:t xml:space="preserve">State </w:t>
            </w:r>
            <w:r w:rsidRPr="00B52D5F">
              <w:rPr>
                <w:rFonts w:eastAsiaTheme="minorEastAsia" w:cs="Calibri"/>
                <w:color w:val="000000"/>
                <w:lang w:eastAsia="en-AU"/>
              </w:rPr>
              <w:t>Electricity Commission of Victoria (Shell)</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sidRPr="00B52D5F">
              <w:rPr>
                <w:rFonts w:eastAsiaTheme="minorEastAsia"/>
                <w:lang w:eastAsia="en-AU"/>
              </w:rPr>
              <w:t xml:space="preserve">   100.0</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p>
        </w:tc>
        <w:tc>
          <w:tcPr>
            <w:tcW w:w="4880" w:type="dxa"/>
            <w:tcBorders>
              <w:top w:val="nil"/>
              <w:left w:val="nil"/>
              <w:bottom w:val="single" w:sz="6" w:space="0" w:color="auto"/>
              <w:right w:val="nil"/>
            </w:tcBorders>
            <w:shd w:val="clear" w:color="auto" w:fill="auto"/>
          </w:tcPr>
          <w:p w:rsidR="00B03921" w:rsidRPr="00B52D5F" w:rsidRDefault="00B03921" w:rsidP="00016914">
            <w:pPr>
              <w:pStyle w:val="Tabletext"/>
              <w:rPr>
                <w:rFonts w:eastAsiaTheme="minorEastAsia" w:cs="Calibri"/>
                <w:color w:val="000000"/>
                <w:lang w:eastAsia="en-AU"/>
              </w:rPr>
            </w:pPr>
            <w:r w:rsidRPr="00B52D5F">
              <w:rPr>
                <w:rFonts w:eastAsiaTheme="minorEastAsia"/>
                <w:lang w:eastAsia="en-AU"/>
              </w:rPr>
              <w:t>Other</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0.8</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0.5</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63.7</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Dividends from PNFC sector</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130.5</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266.1</w:t>
            </w:r>
          </w:p>
        </w:tc>
      </w:tr>
    </w:tbl>
    <w:p w:rsidR="00B03921" w:rsidRPr="00F10B6E" w:rsidRDefault="00B03921" w:rsidP="00016914">
      <w:pPr>
        <w:pStyle w:val="million"/>
      </w:pPr>
    </w:p>
    <w:p w:rsidR="00B03921" w:rsidRDefault="00B03921" w:rsidP="00016914">
      <w:pPr>
        <w:pStyle w:val="Heading2Notes"/>
      </w:pPr>
      <w:bookmarkStart w:id="225" w:name="_Toc418102750"/>
      <w:bookmarkStart w:id="226" w:name="_Toc418191916"/>
      <w:bookmarkStart w:id="227" w:name="_Toc418274843"/>
      <w:bookmarkStart w:id="228" w:name="_Toc418274888"/>
      <w:bookmarkStart w:id="229" w:name="_Toc418276634"/>
      <w:r w:rsidRPr="00F10B6E">
        <w:t>Note 4:</w:t>
      </w:r>
      <w:r w:rsidRPr="00F10B6E">
        <w:tab/>
        <w:t>Sales of goods and services</w:t>
      </w:r>
      <w:bookmarkEnd w:id="163"/>
      <w:bookmarkEnd w:id="164"/>
      <w:bookmarkEnd w:id="165"/>
      <w:bookmarkEnd w:id="166"/>
      <w:bookmarkEnd w:id="167"/>
      <w:bookmarkEnd w:id="225"/>
      <w:bookmarkEnd w:id="226"/>
      <w:bookmarkEnd w:id="227"/>
      <w:bookmarkEnd w:id="228"/>
      <w:bookmarkEnd w:id="229"/>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423972" w:rsidRPr="00B52D5F" w:rsidTr="00423972">
        <w:trPr>
          <w:trHeight w:val="747"/>
          <w:tblHeader/>
        </w:trPr>
        <w:tc>
          <w:tcPr>
            <w:tcW w:w="920" w:type="dxa"/>
            <w:tcBorders>
              <w:top w:val="single" w:sz="6" w:space="0" w:color="auto"/>
              <w:left w:val="single" w:sz="6" w:space="0" w:color="auto"/>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2013-14</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423972" w:rsidRPr="00B52D5F" w:rsidRDefault="00423972" w:rsidP="00423972">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2014-15</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Actual</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Revised</w:t>
            </w:r>
          </w:p>
          <w:p w:rsidR="00423972" w:rsidRPr="00B52D5F" w:rsidRDefault="00423972"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167.8</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Motor vehicle regulatory fees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179.2</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232.6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382.9</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regulatory fees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362.5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473.5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62.1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Sale of goods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57.0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73.6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2 968.6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Provision of services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3 159.4</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4 029.3</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42.4</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Rental</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48.4</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Refunds and reimbursements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69.7</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1 143.3</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Inter-sector capital asset charge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sidRPr="00B52D5F">
              <w:rPr>
                <w:rFonts w:eastAsiaTheme="minorEastAsia"/>
                <w:lang w:eastAsia="en-AU"/>
              </w:rPr>
              <w:t>1 186.7</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1 587.2</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4 773.0</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sales of goods and services</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5 043.6</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6 525.5</w:t>
            </w:r>
          </w:p>
        </w:tc>
      </w:tr>
    </w:tbl>
    <w:p w:rsidR="00B03921" w:rsidRDefault="00B03921" w:rsidP="00016914">
      <w:pPr>
        <w:pStyle w:val="BodyText"/>
      </w:pPr>
    </w:p>
    <w:p w:rsidR="00B03921" w:rsidRPr="00F10B6E" w:rsidRDefault="00B03921" w:rsidP="00016914">
      <w:pPr>
        <w:pStyle w:val="BodyText"/>
      </w:pPr>
    </w:p>
    <w:p w:rsidR="00B03921" w:rsidRDefault="00B03921" w:rsidP="00016914">
      <w:pPr>
        <w:pStyle w:val="Heading2Notes"/>
      </w:pPr>
      <w:bookmarkStart w:id="230" w:name="_Toc418102751"/>
      <w:bookmarkStart w:id="231" w:name="_Toc418191917"/>
      <w:bookmarkStart w:id="232" w:name="_Toc418274844"/>
      <w:bookmarkStart w:id="233" w:name="_Toc418274889"/>
      <w:bookmarkStart w:id="234" w:name="_Toc418276635"/>
      <w:r w:rsidRPr="00F10B6E">
        <w:t>Note 5:</w:t>
      </w:r>
      <w:r w:rsidRPr="00F10B6E">
        <w:tab/>
        <w:t>Grants</w:t>
      </w:r>
      <w:bookmarkEnd w:id="168"/>
      <w:bookmarkEnd w:id="169"/>
      <w:bookmarkEnd w:id="230"/>
      <w:bookmarkEnd w:id="231"/>
      <w:bookmarkEnd w:id="232"/>
      <w:bookmarkEnd w:id="233"/>
      <w:bookmarkEnd w:id="234"/>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DB1C38">
        <w:trPr>
          <w:trHeight w:val="747"/>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2013-14</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EA0759" w:rsidRPr="00B52D5F" w:rsidRDefault="00EA0759" w:rsidP="00016914">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2014-15</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Revised</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8 542.6</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General purpose grants - goods and services tax</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8 953.1</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12 012.9</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2 619.7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Specific purpose grants for on-passing</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3 063.6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3 216.1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6 342.1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Other grants for specific purposes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6 355.2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9 232.2</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17 504.4</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nil"/>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18 371.9</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24 461.2</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82.3</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contributions and grants</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92.0</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123.0</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17 586.7</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lang w:eastAsia="en-AU"/>
              </w:rPr>
            </w:pPr>
            <w:r w:rsidRPr="00B52D5F">
              <w:rPr>
                <w:rFonts w:eastAsiaTheme="minorEastAsia"/>
                <w:b/>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grants</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18 463.8</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24 584.3</w:t>
            </w:r>
          </w:p>
        </w:tc>
      </w:tr>
    </w:tbl>
    <w:p w:rsidR="00B03921" w:rsidRDefault="00B03921" w:rsidP="00016914">
      <w:pPr>
        <w:pStyle w:val="BodyText"/>
      </w:pPr>
    </w:p>
    <w:p w:rsidR="00B03921" w:rsidRPr="00F10B6E" w:rsidRDefault="00B03921" w:rsidP="00016914">
      <w:pPr>
        <w:pStyle w:val="BodyText"/>
      </w:pPr>
    </w:p>
    <w:p w:rsidR="00B03921" w:rsidRDefault="00B03921" w:rsidP="00016914">
      <w:pPr>
        <w:pStyle w:val="Heading2Notes"/>
      </w:pPr>
      <w:bookmarkStart w:id="235" w:name="_Toc418102752"/>
      <w:bookmarkStart w:id="236" w:name="_Toc418191918"/>
      <w:bookmarkStart w:id="237" w:name="_Toc418274845"/>
      <w:bookmarkStart w:id="238" w:name="_Toc418274890"/>
      <w:bookmarkStart w:id="239" w:name="_Toc418276636"/>
      <w:r w:rsidRPr="00F10B6E">
        <w:t>Note 6:</w:t>
      </w:r>
      <w:r w:rsidRPr="00F10B6E">
        <w:tab/>
        <w:t>Other revenue</w:t>
      </w:r>
      <w:bookmarkEnd w:id="170"/>
      <w:bookmarkEnd w:id="171"/>
      <w:bookmarkEnd w:id="172"/>
      <w:bookmarkEnd w:id="235"/>
      <w:bookmarkEnd w:id="236"/>
      <w:bookmarkEnd w:id="237"/>
      <w:bookmarkEnd w:id="238"/>
      <w:bookmarkEnd w:id="23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8C018A">
        <w:trPr>
          <w:trHeight w:val="747"/>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2013-14</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EA0759" w:rsidRPr="00B52D5F" w:rsidRDefault="00EA0759" w:rsidP="00EA0759">
            <w:pPr>
              <w:pStyle w:val="Tabletext"/>
              <w:rPr>
                <w:rFonts w:eastAsiaTheme="minorEastAsia"/>
                <w:lang w:eastAsia="en-AU"/>
              </w:rPr>
            </w:pPr>
            <w:r w:rsidRPr="00B52D5F">
              <w:rPr>
                <w:rFonts w:eastAsiaTheme="minorEastAsia"/>
                <w:lang w:eastAsia="en-AU"/>
              </w:rPr>
              <w:t xml:space="preserve"> </w:t>
            </w:r>
          </w:p>
          <w:p w:rsidR="00EA0759" w:rsidRPr="00B52D5F" w:rsidRDefault="00EA0759" w:rsidP="00016914">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2014-15</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Revised</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9.2</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Fair value of assets received free of charge or for nominal consideration</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38.1</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95.4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484.2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Fines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548.8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755.7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40.0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Royalties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35.6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51.3</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208.2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Donations and gifts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182.5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305.5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Other non-property rental income</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20.1</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759.9</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single" w:sz="6" w:space="0" w:color="auto"/>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Other miscellaneous income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826.0</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1 080.7</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1 521.6</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other revenue</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1 651.1</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2 308.7</w:t>
            </w:r>
          </w:p>
        </w:tc>
      </w:tr>
    </w:tbl>
    <w:p w:rsidR="00B03921" w:rsidRPr="00F10B6E" w:rsidRDefault="00B03921" w:rsidP="00016914">
      <w:pPr>
        <w:pStyle w:val="million"/>
      </w:pPr>
    </w:p>
    <w:p w:rsidR="00B03921" w:rsidRPr="00F10B6E" w:rsidRDefault="00B03921" w:rsidP="00016914">
      <w:pPr>
        <w:pStyle w:val="Heading2Notes"/>
      </w:pPr>
      <w:bookmarkStart w:id="240" w:name="_Toc418102753"/>
      <w:bookmarkStart w:id="241" w:name="_Toc418191919"/>
      <w:bookmarkStart w:id="242" w:name="_Toc418274846"/>
      <w:bookmarkStart w:id="243" w:name="_Toc418274891"/>
      <w:bookmarkStart w:id="244" w:name="_Toc418276637"/>
      <w:r w:rsidRPr="00F10B6E">
        <w:t>Note 7:</w:t>
      </w:r>
      <w:r w:rsidRPr="00F10B6E">
        <w:tab/>
        <w:t>Superannuation</w:t>
      </w:r>
      <w:bookmarkEnd w:id="173"/>
      <w:bookmarkEnd w:id="174"/>
      <w:bookmarkEnd w:id="240"/>
      <w:bookmarkEnd w:id="241"/>
      <w:bookmarkEnd w:id="242"/>
      <w:bookmarkEnd w:id="243"/>
      <w:bookmarkEnd w:id="244"/>
    </w:p>
    <w:p w:rsidR="00B03921" w:rsidRDefault="00B03921" w:rsidP="00016914">
      <w:pPr>
        <w:pStyle w:val="Heading5"/>
      </w:pPr>
      <w:r w:rsidRPr="00F10B6E">
        <w:t>(a)</w:t>
      </w:r>
      <w:r w:rsidRPr="00F10B6E">
        <w:tab/>
        <w:t>Superannuation expense recognised in the operating statement</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B657F9">
        <w:trPr>
          <w:trHeight w:val="711"/>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2013-14</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Actual</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to Mar</w:t>
            </w:r>
            <w:r w:rsidRPr="00902FEA">
              <w:rPr>
                <w:rFonts w:eastAsiaTheme="minorEastAsia"/>
                <w:i w:val="0"/>
                <w:color w:val="FFFFFF"/>
                <w:sz w:val="19"/>
                <w:vertAlign w:val="superscript"/>
                <w:lang w:eastAsia="en-AU"/>
              </w:rPr>
              <w:t>(a)</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 xml:space="preserve"> </w:t>
            </w:r>
          </w:p>
        </w:tc>
        <w:tc>
          <w:tcPr>
            <w:tcW w:w="4880" w:type="dxa"/>
            <w:tcBorders>
              <w:top w:val="single" w:sz="6" w:space="0" w:color="auto"/>
              <w:left w:val="nil"/>
              <w:right w:val="nil"/>
            </w:tcBorders>
            <w:shd w:val="clear" w:color="000000" w:fill="000000"/>
          </w:tcPr>
          <w:p w:rsidR="00EA0759" w:rsidRPr="00B52D5F" w:rsidRDefault="00EA0759" w:rsidP="00EA0759">
            <w:pPr>
              <w:pStyle w:val="Tabletext"/>
              <w:rPr>
                <w:rFonts w:eastAsiaTheme="minorEastAsia"/>
                <w:i/>
                <w:sz w:val="19"/>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2014-15</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Actual</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 xml:space="preserve"> </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Revised</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budget</w:t>
            </w:r>
          </w:p>
        </w:tc>
      </w:tr>
      <w:tr w:rsidR="00EA0759" w:rsidRPr="00B52D5F" w:rsidTr="00E74A0C">
        <w:tc>
          <w:tcPr>
            <w:tcW w:w="920" w:type="dxa"/>
            <w:tcBorders>
              <w:top w:val="single" w:sz="6" w:space="0" w:color="auto"/>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120" w:type="dxa"/>
            <w:tcBorders>
              <w:top w:val="single" w:sz="6" w:space="0" w:color="auto"/>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6720" w:type="dxa"/>
            <w:gridSpan w:val="3"/>
            <w:tcBorders>
              <w:top w:val="single" w:sz="6" w:space="0" w:color="auto"/>
              <w:left w:val="nil"/>
              <w:bottom w:val="nil"/>
              <w:right w:val="nil"/>
            </w:tcBorders>
          </w:tcPr>
          <w:p w:rsidR="00EA0759" w:rsidRPr="00B52D5F" w:rsidRDefault="00EA0759" w:rsidP="00EA0759">
            <w:pPr>
              <w:pStyle w:val="Tabletext"/>
              <w:rPr>
                <w:rFonts w:eastAsiaTheme="minorEastAsia"/>
                <w:b/>
                <w:bCs/>
                <w:sz w:val="19"/>
                <w:lang w:eastAsia="en-AU"/>
              </w:rPr>
            </w:pPr>
            <w:r w:rsidRPr="00B52D5F">
              <w:rPr>
                <w:rFonts w:eastAsiaTheme="minorEastAsia"/>
                <w:b/>
                <w:bCs/>
                <w:sz w:val="19"/>
                <w:lang w:eastAsia="en-AU"/>
              </w:rPr>
              <w:t>Defined benefit plans</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806.7</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Net superannuation interest expense</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761.8</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1 038.0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516.1</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Current service cost</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554.4</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725.4</w:t>
            </w:r>
          </w:p>
        </w:tc>
      </w:tr>
      <w:tr w:rsidR="00EA0759" w:rsidRPr="00B52D5F" w:rsidTr="001151B1">
        <w:tc>
          <w:tcPr>
            <w:tcW w:w="9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p>
        </w:tc>
        <w:tc>
          <w:tcPr>
            <w:tcW w:w="1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p>
        </w:tc>
        <w:tc>
          <w:tcPr>
            <w:tcW w:w="6720" w:type="dxa"/>
            <w:gridSpan w:val="3"/>
            <w:tcBorders>
              <w:top w:val="nil"/>
              <w:left w:val="nil"/>
              <w:bottom w:val="nil"/>
              <w:right w:val="nil"/>
            </w:tcBorders>
          </w:tcPr>
          <w:p w:rsidR="00EA0759" w:rsidRPr="00B52D5F" w:rsidRDefault="00EA0759" w:rsidP="00EA0759">
            <w:pPr>
              <w:pStyle w:val="TableofFigures"/>
              <w:jc w:val="left"/>
              <w:rPr>
                <w:rFonts w:eastAsiaTheme="minorEastAsia"/>
                <w:sz w:val="19"/>
                <w:lang w:eastAsia="en-AU"/>
              </w:rPr>
            </w:pPr>
            <w:r w:rsidRPr="00B52D5F">
              <w:rPr>
                <w:rFonts w:eastAsiaTheme="minorEastAsia"/>
                <w:sz w:val="19"/>
                <w:lang w:eastAsia="en-AU"/>
              </w:rPr>
              <w:t>Remeasurements:</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sz w:val="19"/>
                <w:lang w:eastAsia="en-AU"/>
              </w:rPr>
              <w:t>(406.2)</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 xml:space="preserve"> Expected return on superannuation assets excluding interest income</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sz w:val="19"/>
                <w:lang w:eastAsia="en-AU"/>
              </w:rPr>
              <w:t>(473.6)</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sz w:val="19"/>
                <w:lang w:eastAsia="en-AU"/>
              </w:rPr>
              <w:t>(630.4)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sz w:val="19"/>
                <w:lang w:eastAsia="en-AU"/>
              </w:rPr>
              <w:t>(527.4)</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 xml:space="preserve"> Other actuarial (gain)/loss on superannuation assets</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(1 042.0)</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(1 042.0)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(1 070.6)</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 xml:space="preserve"> Actuarial and other adjustments to unfunded superannuation liability </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5 951.2</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5 951.2</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sz w:val="19"/>
                <w:lang w:eastAsia="en-AU"/>
              </w:rPr>
              <w:t>(681.4)</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b/>
                <w:sz w:val="19"/>
                <w:lang w:eastAsia="en-AU"/>
              </w:rPr>
            </w:pPr>
            <w:r w:rsidRPr="00B52D5F">
              <w:rPr>
                <w:rFonts w:eastAsiaTheme="minorEastAsia"/>
                <w:b/>
                <w:sz w:val="19"/>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Total (gain)/expenses recognised in respect of defined benefit plans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5 751.8</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6 042.3</w:t>
            </w:r>
          </w:p>
        </w:tc>
      </w:tr>
      <w:tr w:rsidR="00EA0759" w:rsidRPr="00B52D5F" w:rsidTr="00FE5598">
        <w:tc>
          <w:tcPr>
            <w:tcW w:w="9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1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6720" w:type="dxa"/>
            <w:gridSpan w:val="3"/>
            <w:tcBorders>
              <w:top w:val="nil"/>
              <w:left w:val="nil"/>
              <w:bottom w:val="nil"/>
              <w:right w:val="nil"/>
            </w:tcBorders>
          </w:tcPr>
          <w:p w:rsidR="00EA0759" w:rsidRPr="00B52D5F" w:rsidRDefault="00EA0759" w:rsidP="00EA0759">
            <w:pPr>
              <w:pStyle w:val="Tabletext"/>
              <w:rPr>
                <w:rFonts w:eastAsiaTheme="minorEastAsia"/>
                <w:sz w:val="19"/>
                <w:lang w:eastAsia="en-AU"/>
              </w:rPr>
            </w:pPr>
            <w:r w:rsidRPr="00B52D5F">
              <w:rPr>
                <w:rFonts w:eastAsiaTheme="minorEastAsia"/>
                <w:b/>
                <w:bCs/>
                <w:sz w:val="19"/>
                <w:lang w:eastAsia="en-AU"/>
              </w:rPr>
              <w:t>Defined contribution plans</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822.3</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 xml:space="preserve">Employer contributions to defined contribution plans </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903.9</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1 077.7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58.1</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 xml:space="preserve">Other (including pensions) </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59.1</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61.0</w:t>
            </w:r>
          </w:p>
        </w:tc>
      </w:tr>
      <w:tr w:rsidR="00B03921" w:rsidRPr="00B52D5F" w:rsidTr="00016914">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880.4</w:t>
            </w:r>
          </w:p>
        </w:tc>
        <w:tc>
          <w:tcPr>
            <w:tcW w:w="1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Total expense recognised in respect of defined contribution plans</w:t>
            </w:r>
          </w:p>
        </w:tc>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963.0</w:t>
            </w:r>
          </w:p>
        </w:tc>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1 138.7</w:t>
            </w:r>
          </w:p>
        </w:tc>
      </w:tr>
      <w:tr w:rsidR="00B03921" w:rsidRPr="00B52D5F" w:rsidTr="00016914">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199.0</w:t>
            </w:r>
          </w:p>
        </w:tc>
        <w:tc>
          <w:tcPr>
            <w:tcW w:w="1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Total superannuation (gain)/expense recognised in operating statement</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6 714.8</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7 181.0</w:t>
            </w:r>
          </w:p>
        </w:tc>
      </w:tr>
      <w:tr w:rsidR="00EA0759" w:rsidRPr="00B52D5F" w:rsidTr="00342564">
        <w:tc>
          <w:tcPr>
            <w:tcW w:w="9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1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6720" w:type="dxa"/>
            <w:gridSpan w:val="3"/>
            <w:tcBorders>
              <w:top w:val="nil"/>
              <w:left w:val="nil"/>
              <w:bottom w:val="nil"/>
              <w:right w:val="nil"/>
            </w:tcBorders>
          </w:tcPr>
          <w:p w:rsidR="00EA0759" w:rsidRPr="00B52D5F" w:rsidRDefault="00EA0759" w:rsidP="00EA0759">
            <w:pPr>
              <w:pStyle w:val="Tabletext"/>
              <w:rPr>
                <w:rFonts w:eastAsiaTheme="minorEastAsia"/>
                <w:sz w:val="19"/>
                <w:lang w:eastAsia="en-AU"/>
              </w:rPr>
            </w:pPr>
            <w:r>
              <w:rPr>
                <w:rFonts w:eastAsiaTheme="minorEastAsia"/>
                <w:b/>
                <w:bCs/>
                <w:sz w:val="19"/>
                <w:lang w:eastAsia="en-AU"/>
              </w:rPr>
              <w:t>Represented by:</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806.7</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Net superannuation interest expense</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761.8</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1 038.0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1 396.5</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Other superannuation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1 517.4</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1 864.1</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2 203.2</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Superannuation expense from transactions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2 279.2</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2 902.1</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(2 004.2)</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Remeasurement recognised in other comprehensive income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4 435.6</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4 278.8</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199.0</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Total superannuation expense recognised in operating statement</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6 714.8</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7 181.0</w:t>
            </w:r>
          </w:p>
        </w:tc>
      </w:tr>
    </w:tbl>
    <w:p w:rsidR="00B03921" w:rsidRPr="00EA0759" w:rsidRDefault="00B03921" w:rsidP="00EA0759">
      <w:pPr>
        <w:pStyle w:val="Notes"/>
      </w:pPr>
      <w:r w:rsidRPr="00EA0759">
        <w:t>Note:</w:t>
      </w:r>
    </w:p>
    <w:p w:rsidR="00B03921" w:rsidRPr="00EA0759" w:rsidRDefault="00B03921" w:rsidP="00EA0759">
      <w:pPr>
        <w:pStyle w:val="Notes"/>
        <w:rPr>
          <w:rStyle w:val="TableheadingChar"/>
          <w:b w:val="0"/>
          <w:sz w:val="15"/>
        </w:rPr>
      </w:pPr>
      <w:r w:rsidRPr="00EA0759">
        <w:t xml:space="preserve">(a) </w:t>
      </w:r>
      <w:r w:rsidRPr="00EA0759">
        <w:tab/>
      </w:r>
      <w:r w:rsidRPr="00EA0759">
        <w:rPr>
          <w:rStyle w:val="TableheadingChar"/>
          <w:b w:val="0"/>
          <w:sz w:val="15"/>
        </w:rPr>
        <w:t>March 2014 comparative figures have been restated to reflect a change in accounting policy associated with the calculation of the tax liability component of the unfunded superannuation liability.</w:t>
      </w:r>
    </w:p>
    <w:p w:rsidR="00EA0759" w:rsidRPr="001671B7" w:rsidRDefault="00EA0759" w:rsidP="00016914">
      <w:pPr>
        <w:pStyle w:val="BodyText"/>
      </w:pPr>
    </w:p>
    <w:p w:rsidR="00B03921" w:rsidRPr="00122862" w:rsidRDefault="00B03921" w:rsidP="00016914">
      <w:pPr>
        <w:pStyle w:val="Heading5"/>
      </w:pPr>
      <w:r w:rsidRPr="00122862">
        <w:t>(b)</w:t>
      </w:r>
      <w:r w:rsidRPr="00122862">
        <w:tab/>
        <w:t>Superannuation liabilities</w:t>
      </w:r>
    </w:p>
    <w:p w:rsidR="00B03921" w:rsidRPr="00B52D5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203D7E">
        <w:trPr>
          <w:trHeight w:val="723"/>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2013-14</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Actual</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to Mar</w:t>
            </w:r>
            <w:r w:rsidRPr="003359B7">
              <w:rPr>
                <w:rFonts w:eastAsiaTheme="minorEastAsia"/>
                <w:color w:val="FFFFFF"/>
                <w:sz w:val="19"/>
                <w:vertAlign w:val="superscript"/>
                <w:lang w:eastAsia="en-AU"/>
              </w:rPr>
              <w:t>(</w:t>
            </w:r>
            <w:r w:rsidRPr="00B52D5F">
              <w:rPr>
                <w:rFonts w:eastAsiaTheme="minorEastAsia" w:cs="Calibri"/>
                <w:iCs/>
                <w:color w:val="FFFFFF"/>
                <w:vertAlign w:val="superscript"/>
                <w:lang w:eastAsia="en-AU"/>
              </w:rPr>
              <w:t>a)</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p>
        </w:tc>
        <w:tc>
          <w:tcPr>
            <w:tcW w:w="4880" w:type="dxa"/>
            <w:tcBorders>
              <w:top w:val="single" w:sz="6" w:space="0" w:color="auto"/>
              <w:left w:val="nil"/>
              <w:right w:val="nil"/>
            </w:tcBorders>
            <w:shd w:val="clear" w:color="000000" w:fill="000000"/>
          </w:tcPr>
          <w:p w:rsidR="00EA0759" w:rsidRPr="00B52D5F" w:rsidRDefault="00EA0759" w:rsidP="00016914">
            <w:pPr>
              <w:pStyle w:val="Tabletext"/>
              <w:rPr>
                <w:rFonts w:eastAsiaTheme="minorEastAsia"/>
                <w:sz w:val="19"/>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2014-15</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Actual</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 xml:space="preserve"> </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Revised</w:t>
            </w:r>
          </w:p>
          <w:p w:rsidR="00EA0759" w:rsidRPr="00B52D5F" w:rsidRDefault="00EA0759" w:rsidP="00016914">
            <w:pPr>
              <w:pStyle w:val="Tabletextheading"/>
              <w:rPr>
                <w:rFonts w:eastAsiaTheme="minorEastAsia"/>
                <w:color w:val="FFFFFF"/>
                <w:sz w:val="19"/>
                <w:lang w:eastAsia="en-AU"/>
              </w:rPr>
            </w:pPr>
            <w:r w:rsidRPr="00B52D5F">
              <w:rPr>
                <w:rFonts w:eastAsiaTheme="minorEastAsia"/>
                <w:color w:val="FFFFFF"/>
                <w:sz w:val="19"/>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1 000.0</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Current liability</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999.6</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1 200.0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22 903.9</w:t>
            </w:r>
          </w:p>
        </w:tc>
        <w:tc>
          <w:tcPr>
            <w:tcW w:w="1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Non-current liability</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29 881.4</w:t>
            </w:r>
          </w:p>
        </w:tc>
        <w:tc>
          <w:tcPr>
            <w:tcW w:w="920" w:type="dxa"/>
            <w:tcBorders>
              <w:top w:val="nil"/>
              <w:left w:val="nil"/>
              <w:bottom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29 552.2</w:t>
            </w:r>
          </w:p>
        </w:tc>
      </w:tr>
      <w:tr w:rsidR="00B03921" w:rsidRPr="00B52D5F" w:rsidTr="00016914">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23 903.9</w:t>
            </w:r>
          </w:p>
        </w:tc>
        <w:tc>
          <w:tcPr>
            <w:tcW w:w="1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 xml:space="preserve"> </w:t>
            </w:r>
          </w:p>
        </w:tc>
        <w:tc>
          <w:tcPr>
            <w:tcW w:w="488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sz w:val="19"/>
                <w:lang w:eastAsia="en-AU"/>
              </w:rPr>
            </w:pPr>
            <w:r w:rsidRPr="00B52D5F">
              <w:rPr>
                <w:rFonts w:eastAsiaTheme="minorEastAsia"/>
                <w:b/>
                <w:bCs/>
                <w:sz w:val="19"/>
                <w:lang w:eastAsia="en-AU"/>
              </w:rPr>
              <w:t>Total superannuation liability</w:t>
            </w:r>
          </w:p>
        </w:tc>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30 881.1</w:t>
            </w:r>
          </w:p>
        </w:tc>
        <w:tc>
          <w:tcPr>
            <w:tcW w:w="920"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sz w:val="19"/>
                <w:lang w:eastAsia="en-AU"/>
              </w:rPr>
            </w:pPr>
            <w:r w:rsidRPr="00B52D5F">
              <w:rPr>
                <w:rFonts w:eastAsiaTheme="minorEastAsia"/>
                <w:b/>
                <w:bCs/>
                <w:sz w:val="19"/>
                <w:lang w:eastAsia="en-AU"/>
              </w:rPr>
              <w:t>30 752.2</w:t>
            </w:r>
          </w:p>
        </w:tc>
      </w:tr>
      <w:tr w:rsidR="00EA0759" w:rsidRPr="00B52D5F" w:rsidTr="00FA4A59">
        <w:tc>
          <w:tcPr>
            <w:tcW w:w="9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120" w:type="dxa"/>
            <w:tcBorders>
              <w:top w:val="nil"/>
              <w:left w:val="nil"/>
              <w:bottom w:val="nil"/>
              <w:right w:val="nil"/>
            </w:tcBorders>
          </w:tcPr>
          <w:p w:rsidR="00EA0759" w:rsidRPr="00B52D5F" w:rsidRDefault="00EA0759" w:rsidP="00016914">
            <w:pPr>
              <w:pStyle w:val="TableofFigures"/>
              <w:rPr>
                <w:rFonts w:eastAsiaTheme="minorEastAsia"/>
                <w:sz w:val="19"/>
                <w:lang w:eastAsia="en-AU"/>
              </w:rPr>
            </w:pPr>
            <w:r w:rsidRPr="00B52D5F">
              <w:rPr>
                <w:rFonts w:eastAsiaTheme="minorEastAsia"/>
                <w:sz w:val="19"/>
                <w:lang w:eastAsia="en-AU"/>
              </w:rPr>
              <w:t xml:space="preserve"> </w:t>
            </w:r>
          </w:p>
        </w:tc>
        <w:tc>
          <w:tcPr>
            <w:tcW w:w="6720" w:type="dxa"/>
            <w:gridSpan w:val="3"/>
            <w:tcBorders>
              <w:top w:val="nil"/>
              <w:left w:val="nil"/>
              <w:bottom w:val="nil"/>
              <w:right w:val="nil"/>
            </w:tcBorders>
          </w:tcPr>
          <w:p w:rsidR="00EA0759" w:rsidRPr="00B52D5F" w:rsidRDefault="00EA0759" w:rsidP="00EA0759">
            <w:pPr>
              <w:pStyle w:val="Tabletext"/>
              <w:rPr>
                <w:rFonts w:eastAsiaTheme="minorEastAsia"/>
                <w:sz w:val="19"/>
                <w:lang w:eastAsia="en-AU"/>
              </w:rPr>
            </w:pPr>
            <w:r>
              <w:rPr>
                <w:rFonts w:eastAsiaTheme="minorEastAsia"/>
                <w:b/>
                <w:bCs/>
                <w:sz w:val="19"/>
                <w:lang w:eastAsia="en-AU"/>
              </w:rPr>
              <w:t>Represented by:</w:t>
            </w:r>
          </w:p>
        </w:tc>
      </w:tr>
      <w:tr w:rsidR="00B03921" w:rsidRPr="00B52D5F" w:rsidTr="00016914">
        <w:tc>
          <w:tcPr>
            <w:tcW w:w="920" w:type="dxa"/>
            <w:tcBorders>
              <w:top w:val="nil"/>
              <w:left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22 911.0</w:t>
            </w:r>
          </w:p>
        </w:tc>
        <w:tc>
          <w:tcPr>
            <w:tcW w:w="120" w:type="dxa"/>
            <w:tcBorders>
              <w:top w:val="nil"/>
              <w:left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right w:val="nil"/>
            </w:tcBorders>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Emergency Services and State Super</w:t>
            </w:r>
          </w:p>
        </w:tc>
        <w:tc>
          <w:tcPr>
            <w:tcW w:w="920" w:type="dxa"/>
            <w:tcBorders>
              <w:top w:val="nil"/>
              <w:left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29 863.8</w:t>
            </w:r>
          </w:p>
        </w:tc>
        <w:tc>
          <w:tcPr>
            <w:tcW w:w="920" w:type="dxa"/>
            <w:tcBorders>
              <w:top w:val="nil"/>
              <w:left w:val="nil"/>
              <w:right w:val="nil"/>
            </w:tcBorders>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29 739.2</w:t>
            </w:r>
          </w:p>
        </w:tc>
      </w:tr>
      <w:tr w:rsidR="00B03921" w:rsidRPr="00B52D5F" w:rsidTr="00016914">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992.9</w:t>
            </w:r>
          </w:p>
        </w:tc>
        <w:tc>
          <w:tcPr>
            <w:tcW w:w="1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sz w:val="19"/>
                <w:lang w:eastAsia="en-AU"/>
              </w:rPr>
            </w:pPr>
            <w:r w:rsidRPr="00B52D5F">
              <w:rPr>
                <w:rFonts w:eastAsiaTheme="minorEastAsia"/>
                <w:sz w:val="19"/>
                <w:lang w:eastAsia="en-AU"/>
              </w:rPr>
              <w:t xml:space="preserve">  </w:t>
            </w:r>
          </w:p>
        </w:tc>
        <w:tc>
          <w:tcPr>
            <w:tcW w:w="4880" w:type="dxa"/>
            <w:tcBorders>
              <w:top w:val="nil"/>
              <w:left w:val="nil"/>
              <w:bottom w:val="single" w:sz="12" w:space="0" w:color="000000"/>
              <w:right w:val="nil"/>
            </w:tcBorders>
            <w:shd w:val="clear" w:color="auto" w:fill="auto"/>
          </w:tcPr>
          <w:p w:rsidR="00B03921" w:rsidRPr="00B52D5F" w:rsidRDefault="00B03921" w:rsidP="00016914">
            <w:pPr>
              <w:pStyle w:val="Tabletext"/>
              <w:rPr>
                <w:rFonts w:eastAsiaTheme="minorEastAsia"/>
                <w:sz w:val="19"/>
                <w:lang w:eastAsia="en-AU"/>
              </w:rPr>
            </w:pPr>
            <w:r w:rsidRPr="00B52D5F">
              <w:rPr>
                <w:rFonts w:eastAsiaTheme="minorEastAsia"/>
                <w:sz w:val="19"/>
                <w:lang w:eastAsia="en-AU"/>
              </w:rPr>
              <w:t>Other funds</w:t>
            </w:r>
          </w:p>
        </w:tc>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sz w:val="19"/>
                <w:lang w:eastAsia="en-AU"/>
              </w:rPr>
            </w:pPr>
            <w:r>
              <w:rPr>
                <w:rFonts w:eastAsiaTheme="minorEastAsia"/>
                <w:sz w:val="19"/>
                <w:lang w:eastAsia="en-AU"/>
              </w:rPr>
              <w:t>1 017.3</w:t>
            </w:r>
          </w:p>
        </w:tc>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sz w:val="19"/>
                <w:lang w:eastAsia="en-AU"/>
              </w:rPr>
            </w:pPr>
            <w:r>
              <w:rPr>
                <w:rFonts w:eastAsiaTheme="minorEastAsia"/>
                <w:sz w:val="19"/>
                <w:lang w:eastAsia="en-AU"/>
              </w:rPr>
              <w:t>1 013.0</w:t>
            </w:r>
          </w:p>
        </w:tc>
      </w:tr>
    </w:tbl>
    <w:p w:rsidR="00B03921" w:rsidRPr="00EA0759" w:rsidRDefault="00B03921" w:rsidP="00EA0759">
      <w:pPr>
        <w:pStyle w:val="Notes"/>
      </w:pPr>
      <w:r w:rsidRPr="00EA0759">
        <w:t>Note:</w:t>
      </w:r>
    </w:p>
    <w:p w:rsidR="00B03921" w:rsidRPr="00EA0759" w:rsidRDefault="00B03921" w:rsidP="00EA0759">
      <w:pPr>
        <w:pStyle w:val="Notes"/>
        <w:rPr>
          <w:rStyle w:val="TableheadingChar"/>
          <w:b w:val="0"/>
          <w:sz w:val="15"/>
        </w:rPr>
      </w:pPr>
      <w:r w:rsidRPr="00EA0759">
        <w:t xml:space="preserve">(a) </w:t>
      </w:r>
      <w:r w:rsidRPr="00EA0759">
        <w:tab/>
      </w:r>
      <w:r w:rsidRPr="00EA0759">
        <w:rPr>
          <w:rStyle w:val="TableheadingChar"/>
          <w:b w:val="0"/>
          <w:sz w:val="15"/>
        </w:rPr>
        <w:t>March 2014 comparative figures have been restated to reflect a change in accounting policy associated with the calculation of the tax liability component of the unfunded superannuation liability.</w:t>
      </w:r>
    </w:p>
    <w:p w:rsidR="00B03921" w:rsidRDefault="00B03921" w:rsidP="00016914">
      <w:pPr>
        <w:pStyle w:val="Heading2Notes"/>
      </w:pPr>
      <w:bookmarkStart w:id="245" w:name="_Toc418102754"/>
      <w:bookmarkStart w:id="246" w:name="_Toc418191920"/>
      <w:bookmarkStart w:id="247" w:name="_Toc418274847"/>
      <w:bookmarkStart w:id="248" w:name="_Toc418274892"/>
      <w:bookmarkStart w:id="249" w:name="_Toc418276638"/>
      <w:r w:rsidRPr="00F10B6E">
        <w:t>Note 8:</w:t>
      </w:r>
      <w:r w:rsidRPr="00F10B6E">
        <w:tab/>
        <w:t>Depreciation</w:t>
      </w:r>
      <w:bookmarkEnd w:id="175"/>
      <w:bookmarkEnd w:id="176"/>
      <w:bookmarkEnd w:id="177"/>
      <w:bookmarkEnd w:id="178"/>
      <w:bookmarkEnd w:id="179"/>
      <w:bookmarkEnd w:id="245"/>
      <w:bookmarkEnd w:id="246"/>
      <w:bookmarkEnd w:id="247"/>
      <w:bookmarkEnd w:id="248"/>
      <w:bookmarkEnd w:id="24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2D6F14" w:rsidTr="00CF6D92">
        <w:trPr>
          <w:cantSplit/>
          <w:trHeight w:val="747"/>
          <w:tblHeader/>
        </w:trPr>
        <w:tc>
          <w:tcPr>
            <w:tcW w:w="920" w:type="dxa"/>
            <w:tcBorders>
              <w:top w:val="single" w:sz="6" w:space="0" w:color="auto"/>
              <w:left w:val="single" w:sz="6" w:space="0" w:color="auto"/>
              <w:right w:val="nil"/>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2013-14</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Actual</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EA0759" w:rsidRPr="002D6F14" w:rsidRDefault="00EA0759"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EA0759" w:rsidRPr="002D6F14" w:rsidRDefault="00EA0759" w:rsidP="00EA0759">
            <w:pPr>
              <w:pStyle w:val="Tabletextheading"/>
              <w:jc w:val="left"/>
              <w:rPr>
                <w:rFonts w:eastAsiaTheme="minorEastAsia"/>
                <w:color w:val="FFFFFF"/>
                <w:lang w:eastAsia="en-AU"/>
              </w:rPr>
            </w:pPr>
          </w:p>
        </w:tc>
        <w:tc>
          <w:tcPr>
            <w:tcW w:w="920" w:type="dxa"/>
            <w:tcBorders>
              <w:top w:val="single" w:sz="6" w:space="0" w:color="auto"/>
              <w:left w:val="nil"/>
              <w:right w:val="nil"/>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2014-15</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Actual</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Revised</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budget</w:t>
            </w:r>
          </w:p>
        </w:tc>
      </w:tr>
      <w:tr w:rsidR="00B03921" w:rsidRPr="002D6F14" w:rsidTr="00016914">
        <w:trPr>
          <w:cantSplit/>
        </w:trPr>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68.7</w:t>
            </w:r>
          </w:p>
        </w:tc>
        <w:tc>
          <w:tcPr>
            <w:tcW w:w="1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Leasehold Buildings</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67.4</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97.8</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774.6</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Buildings</w:t>
            </w:r>
            <w:r w:rsidRPr="002D6F14">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768.8</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1 013.8</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26.9</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Infrastructure systems </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19.5</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27.8</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402.8</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Plant, equipment and vehicles</w:t>
            </w:r>
            <w:r w:rsidRPr="002D6F14">
              <w:rPr>
                <w:rFonts w:ascii="Calibri" w:eastAsiaTheme="minorEastAsia" w:hAnsi="Calibri" w:cs="Calibri"/>
                <w:sz w:val="20"/>
                <w:vertAlign w:val="superscript"/>
                <w:lang w:eastAsia="en-AU"/>
              </w:rPr>
              <w:t xml:space="preserve"> </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417.1</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656.6</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421.8</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Road and road networks</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439.8</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588.4</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15.8</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Cultural assets </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14.6</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28.9</w:t>
            </w:r>
          </w:p>
        </w:tc>
      </w:tr>
      <w:tr w:rsidR="00B03921" w:rsidRPr="002D6F14" w:rsidTr="00016914">
        <w:trPr>
          <w:cantSplit/>
        </w:trPr>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78.2</w:t>
            </w:r>
          </w:p>
        </w:tc>
        <w:tc>
          <w:tcPr>
            <w:tcW w:w="1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Intangible produced assets</w:t>
            </w:r>
            <w:r w:rsidRPr="002D6F14">
              <w:rPr>
                <w:rFonts w:ascii="Calibri" w:eastAsiaTheme="minorEastAsia" w:hAnsi="Calibri" w:cs="Calibri"/>
                <w:sz w:val="20"/>
                <w:vertAlign w:val="superscript"/>
                <w:lang w:eastAsia="en-AU"/>
              </w:rPr>
              <w:t>(b)</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81.9</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84.2</w:t>
            </w:r>
          </w:p>
        </w:tc>
      </w:tr>
      <w:tr w:rsidR="00B03921" w:rsidRPr="002D6F14" w:rsidTr="00016914">
        <w:trPr>
          <w:cantSplit/>
        </w:trPr>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1 788.7</w:t>
            </w:r>
          </w:p>
        </w:tc>
        <w:tc>
          <w:tcPr>
            <w:tcW w:w="1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rPr>
                <w:rFonts w:ascii="Calibri" w:eastAsiaTheme="minorEastAsia" w:hAnsi="Calibri" w:cs="Calibri"/>
                <w:b/>
                <w:sz w:val="20"/>
                <w:vertAlign w:val="superscript"/>
                <w:lang w:eastAsia="en-AU"/>
              </w:rPr>
            </w:pPr>
            <w:r w:rsidRPr="002D6F14">
              <w:rPr>
                <w:rFonts w:ascii="Calibri" w:eastAsiaTheme="minorEastAsia" w:hAnsi="Calibri" w:cs="Calibri"/>
                <w:b/>
                <w:bCs/>
                <w:sz w:val="20"/>
                <w:lang w:eastAsia="en-AU"/>
              </w:rPr>
              <w:t>Total depreciation</w:t>
            </w:r>
            <w:r w:rsidRPr="00764655">
              <w:rPr>
                <w:rFonts w:ascii="Calibri" w:eastAsiaTheme="minorEastAsia" w:hAnsi="Calibri" w:cs="Calibri"/>
                <w:sz w:val="20"/>
                <w:vertAlign w:val="superscript"/>
                <w:lang w:eastAsia="en-AU"/>
              </w:rPr>
              <w:t>(a)</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1 809.1</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2 497.5</w:t>
            </w:r>
          </w:p>
        </w:tc>
      </w:tr>
    </w:tbl>
    <w:p w:rsidR="00B03921" w:rsidRDefault="00B03921" w:rsidP="00016914">
      <w:pPr>
        <w:pStyle w:val="Notes"/>
      </w:pPr>
      <w:r>
        <w:t>Notes:</w:t>
      </w:r>
    </w:p>
    <w:p w:rsidR="00B03921" w:rsidRDefault="00B03921" w:rsidP="00016914">
      <w:pPr>
        <w:pStyle w:val="Notes"/>
      </w:pPr>
      <w:r>
        <w:t xml:space="preserve">(a) </w:t>
      </w:r>
      <w:r>
        <w:tab/>
        <w:t>The 2013-14 comparative figures have been restated to reflect a change in accounting policy associated with the valuation of school building assets.</w:t>
      </w:r>
    </w:p>
    <w:p w:rsidR="00B03921" w:rsidRDefault="00B03921" w:rsidP="00016914">
      <w:pPr>
        <w:pStyle w:val="Notes"/>
      </w:pPr>
      <w:r>
        <w:t>(b)</w:t>
      </w:r>
      <w:r>
        <w:tab/>
        <w:t>Amortisation of intangible non-produced assets is included under other economic flows.</w:t>
      </w: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rPr>
          <w:vertAlign w:val="superscript"/>
        </w:rPr>
      </w:pPr>
      <w:bookmarkStart w:id="250" w:name="_Toc418102755"/>
      <w:bookmarkStart w:id="251" w:name="_Toc418191921"/>
      <w:bookmarkStart w:id="252" w:name="_Toc418274848"/>
      <w:bookmarkStart w:id="253" w:name="_Toc418274893"/>
      <w:bookmarkStart w:id="254" w:name="_Toc418276639"/>
      <w:r w:rsidRPr="00F10B6E">
        <w:t>Note 9:</w:t>
      </w:r>
      <w:r w:rsidRPr="00F10B6E">
        <w:tab/>
        <w:t>Total expenses from transactions by department</w:t>
      </w:r>
      <w:r w:rsidRPr="00F10B6E">
        <w:rPr>
          <w:vertAlign w:val="superscript"/>
        </w:rPr>
        <w:t>(a)</w:t>
      </w:r>
      <w:bookmarkEnd w:id="180"/>
      <w:bookmarkEnd w:id="181"/>
      <w:bookmarkEnd w:id="250"/>
      <w:bookmarkEnd w:id="251"/>
      <w:bookmarkEnd w:id="252"/>
      <w:bookmarkEnd w:id="253"/>
      <w:bookmarkEnd w:id="254"/>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2D6F14" w:rsidTr="00D464DA">
        <w:trPr>
          <w:cantSplit/>
          <w:trHeight w:val="747"/>
          <w:tblHeader/>
        </w:trPr>
        <w:tc>
          <w:tcPr>
            <w:tcW w:w="920" w:type="dxa"/>
            <w:tcBorders>
              <w:top w:val="single" w:sz="6" w:space="0" w:color="auto"/>
              <w:left w:val="single" w:sz="6" w:space="0" w:color="auto"/>
              <w:right w:val="nil"/>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2013-14</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Actual </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to Mar</w:t>
            </w:r>
            <w:r w:rsidRPr="002D6F14">
              <w:rPr>
                <w:rFonts w:eastAsiaTheme="minorEastAsia"/>
                <w:color w:val="FFFFFF"/>
                <w:vertAlign w:val="superscript"/>
                <w:lang w:eastAsia="en-AU"/>
              </w:rPr>
              <w:t>(b)</w:t>
            </w:r>
          </w:p>
        </w:tc>
        <w:tc>
          <w:tcPr>
            <w:tcW w:w="120" w:type="dxa"/>
            <w:tcBorders>
              <w:top w:val="single" w:sz="6" w:space="0" w:color="auto"/>
              <w:left w:val="nil"/>
              <w:right w:val="nil"/>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 </w:t>
            </w:r>
          </w:p>
        </w:tc>
        <w:tc>
          <w:tcPr>
            <w:tcW w:w="4880" w:type="dxa"/>
            <w:tcBorders>
              <w:top w:val="single" w:sz="6" w:space="0" w:color="auto"/>
              <w:left w:val="nil"/>
              <w:right w:val="nil"/>
            </w:tcBorders>
            <w:shd w:val="clear" w:color="000000" w:fill="000000"/>
          </w:tcPr>
          <w:p w:rsidR="00EA0759" w:rsidRPr="002D6F14" w:rsidRDefault="00EA0759" w:rsidP="00016914">
            <w:pPr>
              <w:pStyle w:val="Tabletextheading"/>
              <w:rPr>
                <w:rFonts w:eastAsiaTheme="minorEastAsia"/>
                <w:color w:val="FFFFFF"/>
                <w:lang w:eastAsia="en-AU"/>
              </w:rPr>
            </w:pPr>
          </w:p>
        </w:tc>
        <w:tc>
          <w:tcPr>
            <w:tcW w:w="920" w:type="dxa"/>
            <w:tcBorders>
              <w:top w:val="single" w:sz="6" w:space="0" w:color="auto"/>
              <w:left w:val="nil"/>
              <w:right w:val="nil"/>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2014-15</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Actual </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EA0759" w:rsidRPr="002D6F14" w:rsidRDefault="00EA0759" w:rsidP="00016914">
            <w:pPr>
              <w:pStyle w:val="Tabletextheading"/>
              <w:rPr>
                <w:rFonts w:eastAsiaTheme="minorEastAsia"/>
                <w:color w:val="FFFFFF"/>
                <w:lang w:eastAsia="en-AU"/>
              </w:rPr>
            </w:pPr>
            <w:r w:rsidRPr="002D6F14">
              <w:rPr>
                <w:rFonts w:eastAsiaTheme="minorEastAsia"/>
                <w:color w:val="FFFFFF"/>
                <w:lang w:eastAsia="en-AU"/>
              </w:rPr>
              <w:t>Revised budget</w:t>
            </w:r>
          </w:p>
        </w:tc>
      </w:tr>
      <w:tr w:rsidR="00B03921" w:rsidRPr="002D6F14" w:rsidTr="00016914">
        <w:trPr>
          <w:cantSplit/>
        </w:trPr>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778.6</w:t>
            </w:r>
          </w:p>
        </w:tc>
        <w:tc>
          <w:tcPr>
            <w:tcW w:w="12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Economic Development, Jobs, Transport and Resources</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2 808.1</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4 874.3</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11 123.0</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Education and Training</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11 442.9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14 988.5</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1 757.6</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Environment, Land Water and Planning</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1 793.6</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2 619.4</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11 382.9</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Health and Human Services</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12 884.9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18 237.1</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2 756.0</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Human Services</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1 923.4</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1 923.4</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3 948.5</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Justice and Regulation</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3 949.0</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5 397.7</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515.3</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Premier and Cabinet</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434.9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568.6</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4 963.3</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Transport, Planning and Local Infrastructure</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3 455.1</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3 455.1</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5 118.8</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Treasury and Finance</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5 493.2</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7 009.2</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122.3</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Parliament</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123.3</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177.5</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Courts</w:t>
            </w:r>
            <w:r w:rsidRPr="002D6F14">
              <w:rPr>
                <w:rFonts w:ascii="Calibri" w:eastAsiaTheme="minorEastAsia" w:hAnsi="Calibri" w:cs="Calibri"/>
                <w:sz w:val="20"/>
                <w:vertAlign w:val="superscript"/>
                <w:lang w:eastAsia="en-AU"/>
              </w:rPr>
              <w:t>(c)</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357.2</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519.3</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1 443.3</w:t>
            </w:r>
          </w:p>
        </w:tc>
        <w:tc>
          <w:tcPr>
            <w:tcW w:w="12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Regulatory bodies and other part-funded agencies</w:t>
            </w:r>
            <w:r w:rsidRPr="002D6F14">
              <w:rPr>
                <w:rFonts w:ascii="Calibri" w:eastAsiaTheme="minorEastAsia" w:hAnsi="Calibri" w:cs="Calibri"/>
                <w:sz w:val="20"/>
                <w:vertAlign w:val="superscript"/>
                <w:lang w:eastAsia="en-AU"/>
              </w:rPr>
              <w:t>(d)</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1 416.1</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1 940.9</w:t>
            </w:r>
          </w:p>
        </w:tc>
      </w:tr>
      <w:tr w:rsidR="00B03921" w:rsidRPr="002D6F14" w:rsidTr="00016914">
        <w:trPr>
          <w:cantSplit/>
        </w:trPr>
        <w:tc>
          <w:tcPr>
            <w:tcW w:w="92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43 909.6</w:t>
            </w:r>
          </w:p>
        </w:tc>
        <w:tc>
          <w:tcPr>
            <w:tcW w:w="1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4880" w:type="dxa"/>
            <w:tcBorders>
              <w:top w:val="single" w:sz="6" w:space="0" w:color="auto"/>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w:t>
            </w:r>
          </w:p>
        </w:tc>
        <w:tc>
          <w:tcPr>
            <w:tcW w:w="92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46 081.6</w:t>
            </w:r>
          </w:p>
        </w:tc>
        <w:tc>
          <w:tcPr>
            <w:tcW w:w="92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61 711.1</w:t>
            </w:r>
          </w:p>
        </w:tc>
      </w:tr>
      <w:tr w:rsidR="00B03921" w:rsidRPr="002D6F14" w:rsidTr="00016914">
        <w:trPr>
          <w:cantSplit/>
        </w:trPr>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(6 726.3)</w:t>
            </w:r>
          </w:p>
        </w:tc>
        <w:tc>
          <w:tcPr>
            <w:tcW w:w="120" w:type="dxa"/>
            <w:tcBorders>
              <w:top w:val="nil"/>
              <w:left w:val="nil"/>
              <w:bottom w:val="single" w:sz="6" w:space="0" w:color="auto"/>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i/>
                <w:iCs/>
                <w:sz w:val="20"/>
                <w:lang w:eastAsia="en-AU"/>
              </w:rPr>
            </w:pPr>
            <w:r w:rsidRPr="002D6F14">
              <w:rPr>
                <w:rFonts w:ascii="Calibri" w:eastAsiaTheme="minorEastAsia" w:hAnsi="Calibri" w:cs="Calibri"/>
                <w:i/>
                <w:iCs/>
                <w:sz w:val="20"/>
                <w:lang w:eastAsia="en-AU"/>
              </w:rPr>
              <w:t xml:space="preserve"> </w:t>
            </w:r>
          </w:p>
        </w:tc>
        <w:tc>
          <w:tcPr>
            <w:tcW w:w="4880" w:type="dxa"/>
            <w:tcBorders>
              <w:top w:val="nil"/>
              <w:left w:val="nil"/>
              <w:bottom w:val="single" w:sz="6" w:space="0" w:color="auto"/>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i/>
                <w:iCs/>
                <w:sz w:val="20"/>
                <w:lang w:eastAsia="en-AU"/>
              </w:rPr>
              <w:t>Less eliminations and adjustments</w:t>
            </w:r>
            <w:r w:rsidRPr="002D6F14">
              <w:rPr>
                <w:rFonts w:ascii="Calibri" w:eastAsiaTheme="minorEastAsia" w:hAnsi="Calibri" w:cs="Calibri"/>
                <w:sz w:val="20"/>
                <w:vertAlign w:val="superscript"/>
                <w:lang w:eastAsia="en-AU"/>
              </w:rPr>
              <w:t>(e)</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(7 216.8)</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(9 051.6)</w:t>
            </w:r>
          </w:p>
        </w:tc>
      </w:tr>
      <w:tr w:rsidR="00B03921" w:rsidRPr="002D6F14" w:rsidTr="00016914">
        <w:trPr>
          <w:cantSplit/>
        </w:trPr>
        <w:tc>
          <w:tcPr>
            <w:tcW w:w="920" w:type="dxa"/>
            <w:tcBorders>
              <w:top w:val="single" w:sz="6" w:space="0" w:color="auto"/>
              <w:left w:val="nil"/>
              <w:bottom w:val="single" w:sz="12" w:space="0" w:color="000000"/>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37 183.3</w:t>
            </w:r>
          </w:p>
        </w:tc>
        <w:tc>
          <w:tcPr>
            <w:tcW w:w="120" w:type="dxa"/>
            <w:tcBorders>
              <w:top w:val="single" w:sz="6" w:space="0" w:color="auto"/>
              <w:left w:val="nil"/>
              <w:bottom w:val="single" w:sz="12" w:space="0" w:color="000000"/>
              <w:right w:val="nil"/>
            </w:tcBorders>
            <w:shd w:val="solid" w:color="FFFFFF"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000000"/>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 expense from transactions</w:t>
            </w:r>
          </w:p>
        </w:tc>
        <w:tc>
          <w:tcPr>
            <w:tcW w:w="920" w:type="dxa"/>
            <w:tcBorders>
              <w:top w:val="single" w:sz="6" w:space="0" w:color="auto"/>
              <w:left w:val="nil"/>
              <w:bottom w:val="single" w:sz="12" w:space="0" w:color="000000"/>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38 864.7</w:t>
            </w:r>
          </w:p>
        </w:tc>
        <w:tc>
          <w:tcPr>
            <w:tcW w:w="920" w:type="dxa"/>
            <w:tcBorders>
              <w:top w:val="single" w:sz="6" w:space="0" w:color="auto"/>
              <w:left w:val="nil"/>
              <w:bottom w:val="single" w:sz="12" w:space="0" w:color="000000"/>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52 659.4</w:t>
            </w:r>
          </w:p>
        </w:tc>
      </w:tr>
    </w:tbl>
    <w:p w:rsidR="00B03921" w:rsidRDefault="00B03921" w:rsidP="00016914">
      <w:pPr>
        <w:pStyle w:val="Notes"/>
      </w:pPr>
      <w:r>
        <w:t>Notes:</w:t>
      </w:r>
    </w:p>
    <w:p w:rsidR="00B03921" w:rsidRPr="00BA4C01" w:rsidRDefault="00B03921" w:rsidP="00016914">
      <w:pPr>
        <w:pStyle w:val="Notes"/>
      </w:pPr>
      <w:r w:rsidRPr="00A34C10">
        <w:t>(a)</w:t>
      </w:r>
      <w:r w:rsidRPr="00A34C10">
        <w:tab/>
      </w:r>
      <w:r w:rsidRPr="00BA4C01">
        <w:t>On 4 December 2014, the Premier announced machinery of government changes effective from 1 January 2015. The following Victorian government departments were affected: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Education and Early Childhood Dev</w:t>
      </w:r>
      <w:r>
        <w:rPr>
          <w:rFonts w:asciiTheme="minorHAnsi" w:hAnsiTheme="minorHAnsi" w:cstheme="minorHAnsi"/>
        </w:rPr>
        <w:t xml:space="preserve">elopment was renamed </w:t>
      </w:r>
      <w:r w:rsidRPr="00424F91">
        <w:rPr>
          <w:rFonts w:asciiTheme="minorHAnsi" w:hAnsiTheme="minorHAnsi" w:cstheme="minorHAnsi"/>
        </w:rPr>
        <w:t xml:space="preserve">the Department of Education and Training;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Environment and P</w:t>
      </w:r>
      <w:r>
        <w:rPr>
          <w:rFonts w:asciiTheme="minorHAnsi" w:hAnsiTheme="minorHAnsi" w:cstheme="minorHAnsi"/>
        </w:rPr>
        <w:t>rimary Industries was renamed</w:t>
      </w:r>
      <w:r w:rsidRPr="00424F91">
        <w:rPr>
          <w:rFonts w:asciiTheme="minorHAnsi" w:hAnsiTheme="minorHAnsi" w:cstheme="minorHAnsi"/>
        </w:rPr>
        <w:t xml:space="preserve"> the Department of Environment, Land, Water and Planning;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w:t>
      </w:r>
      <w:r>
        <w:rPr>
          <w:rFonts w:asciiTheme="minorHAnsi" w:hAnsiTheme="minorHAnsi" w:cstheme="minorHAnsi"/>
        </w:rPr>
        <w:t>artment of Health was renamed</w:t>
      </w:r>
      <w:r w:rsidRPr="00424F91">
        <w:rPr>
          <w:rFonts w:asciiTheme="minorHAnsi" w:hAnsiTheme="minorHAnsi" w:cstheme="minorHAnsi"/>
        </w:rPr>
        <w:t xml:space="preserve"> the Department of Health and Human Services;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w:t>
      </w:r>
      <w:r>
        <w:rPr>
          <w:rFonts w:asciiTheme="minorHAnsi" w:hAnsiTheme="minorHAnsi" w:cstheme="minorHAnsi"/>
        </w:rPr>
        <w:t xml:space="preserve">tment of Justice was renamed </w:t>
      </w:r>
      <w:r w:rsidRPr="00424F91">
        <w:rPr>
          <w:rFonts w:asciiTheme="minorHAnsi" w:hAnsiTheme="minorHAnsi" w:cstheme="minorHAnsi"/>
        </w:rPr>
        <w:t xml:space="preserve">the Department of Justice and Regulation; </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State Development, Busines</w:t>
      </w:r>
      <w:r>
        <w:rPr>
          <w:rFonts w:asciiTheme="minorHAnsi" w:hAnsiTheme="minorHAnsi" w:cstheme="minorHAnsi"/>
        </w:rPr>
        <w:t xml:space="preserve">s and Innovation was renamed </w:t>
      </w:r>
      <w:r w:rsidRPr="00424F91">
        <w:rPr>
          <w:rFonts w:asciiTheme="minorHAnsi" w:hAnsiTheme="minorHAnsi" w:cstheme="minorHAnsi"/>
        </w:rPr>
        <w:t>the Department of Economic Development, Jobs, Transport and Resources;</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Human Services </w:t>
      </w:r>
      <w:r>
        <w:rPr>
          <w:rFonts w:asciiTheme="minorHAnsi" w:hAnsiTheme="minorHAnsi" w:cstheme="minorHAnsi"/>
        </w:rPr>
        <w:t>was abolished</w:t>
      </w:r>
      <w:r w:rsidRPr="00424F91">
        <w:rPr>
          <w:rFonts w:asciiTheme="minorHAnsi" w:hAnsiTheme="minorHAnsi" w:cstheme="minorHAnsi"/>
        </w:rPr>
        <w:t>; and</w:t>
      </w:r>
    </w:p>
    <w:p w:rsidR="00B03921" w:rsidRPr="00424F91" w:rsidRDefault="00B03921" w:rsidP="00016914">
      <w:pPr>
        <w:pStyle w:val="NotesDash"/>
        <w:tabs>
          <w:tab w:val="clear" w:pos="922"/>
          <w:tab w:val="num" w:pos="720"/>
          <w:tab w:val="num" w:pos="752"/>
        </w:tabs>
        <w:ind w:left="720"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Transport, Planning and Local Infrastructure</w:t>
      </w:r>
      <w:r>
        <w:rPr>
          <w:rFonts w:asciiTheme="minorHAnsi" w:hAnsiTheme="minorHAnsi" w:cstheme="minorHAnsi"/>
        </w:rPr>
        <w:t xml:space="preserve"> was abolished</w:t>
      </w:r>
      <w:r w:rsidRPr="00424F91">
        <w:rPr>
          <w:rFonts w:asciiTheme="minorHAnsi" w:hAnsiTheme="minorHAnsi" w:cstheme="minorHAnsi"/>
        </w:rPr>
        <w:t>.</w:t>
      </w:r>
    </w:p>
    <w:p w:rsidR="00B03921" w:rsidRDefault="00B03921" w:rsidP="00016914">
      <w:pPr>
        <w:pStyle w:val="Notes"/>
        <w:ind w:left="426" w:firstLine="0"/>
        <w:rPr>
          <w:rFonts w:asciiTheme="minorHAnsi" w:hAnsiTheme="minorHAnsi" w:cstheme="minorHAnsi"/>
          <w:lang w:eastAsia="en-AU"/>
        </w:rPr>
      </w:pPr>
      <w:r w:rsidRPr="00424F91">
        <w:rPr>
          <w:rFonts w:asciiTheme="minorHAnsi" w:hAnsiTheme="minorHAnsi" w:cstheme="minorHAnsi"/>
          <w:lang w:eastAsia="en-AU"/>
        </w:rPr>
        <w:t xml:space="preserve">The two </w:t>
      </w:r>
      <w:r>
        <w:rPr>
          <w:rFonts w:asciiTheme="minorHAnsi" w:hAnsiTheme="minorHAnsi" w:cstheme="minorHAnsi"/>
          <w:lang w:eastAsia="en-AU"/>
        </w:rPr>
        <w:t xml:space="preserve">abolished </w:t>
      </w:r>
      <w:r w:rsidRPr="00424F91">
        <w:rPr>
          <w:rFonts w:asciiTheme="minorHAnsi" w:hAnsiTheme="minorHAnsi" w:cstheme="minorHAnsi"/>
          <w:lang w:eastAsia="en-AU"/>
        </w:rPr>
        <w:t>departments had their functions and operations transferred to other Victorian government departments. Functions and operations of the Department of Human Services were transferred to the Department of Heal</w:t>
      </w:r>
      <w:r>
        <w:rPr>
          <w:rFonts w:asciiTheme="minorHAnsi" w:hAnsiTheme="minorHAnsi" w:cstheme="minorHAnsi"/>
          <w:lang w:eastAsia="en-AU"/>
        </w:rPr>
        <w:t xml:space="preserve">th and Human Services </w:t>
      </w:r>
      <w:r w:rsidRPr="00424F91">
        <w:rPr>
          <w:rFonts w:asciiTheme="minorHAnsi" w:hAnsiTheme="minorHAnsi" w:cstheme="minorHAnsi"/>
          <w:lang w:eastAsia="en-AU"/>
        </w:rPr>
        <w:t xml:space="preserve">and </w:t>
      </w:r>
      <w:r>
        <w:rPr>
          <w:rFonts w:asciiTheme="minorHAnsi" w:hAnsiTheme="minorHAnsi" w:cstheme="minorHAnsi"/>
          <w:lang w:eastAsia="en-AU"/>
        </w:rPr>
        <w:t xml:space="preserve">to </w:t>
      </w:r>
      <w:r w:rsidRPr="00424F91">
        <w:rPr>
          <w:rFonts w:asciiTheme="minorHAnsi" w:hAnsiTheme="minorHAnsi" w:cstheme="minorHAnsi"/>
          <w:lang w:eastAsia="en-AU"/>
        </w:rPr>
        <w:t xml:space="preserve">the Department </w:t>
      </w:r>
      <w:r>
        <w:rPr>
          <w:rFonts w:asciiTheme="minorHAnsi" w:hAnsiTheme="minorHAnsi" w:cstheme="minorHAnsi"/>
          <w:lang w:eastAsia="en-AU"/>
        </w:rPr>
        <w:t>of Premier and Cabinet.</w:t>
      </w:r>
      <w:r w:rsidRPr="00424F91">
        <w:rPr>
          <w:rFonts w:asciiTheme="minorHAnsi" w:hAnsiTheme="minorHAnsi" w:cstheme="minorHAnsi"/>
          <w:lang w:eastAsia="en-AU"/>
        </w:rPr>
        <w:t xml:space="preserve"> Functions and operations of the Department of Transport, Planning and Local Infrastructure were transferred to </w:t>
      </w:r>
      <w:r>
        <w:rPr>
          <w:rFonts w:asciiTheme="minorHAnsi" w:hAnsiTheme="minorHAnsi" w:cstheme="minorHAnsi"/>
          <w:lang w:eastAsia="en-AU"/>
        </w:rPr>
        <w:t xml:space="preserve">the </w:t>
      </w:r>
      <w:r w:rsidRPr="00424F91">
        <w:rPr>
          <w:rFonts w:asciiTheme="minorHAnsi" w:hAnsiTheme="minorHAnsi" w:cstheme="minorHAnsi"/>
          <w:lang w:eastAsia="en-AU"/>
        </w:rPr>
        <w:t>Department of Environment, La</w:t>
      </w:r>
      <w:r>
        <w:rPr>
          <w:rFonts w:asciiTheme="minorHAnsi" w:hAnsiTheme="minorHAnsi" w:cstheme="minorHAnsi"/>
          <w:lang w:eastAsia="en-AU"/>
        </w:rPr>
        <w:t>nd, Water and Planning</w:t>
      </w:r>
      <w:r w:rsidRPr="00424F91">
        <w:rPr>
          <w:rFonts w:asciiTheme="minorHAnsi" w:hAnsiTheme="minorHAnsi" w:cstheme="minorHAnsi"/>
          <w:lang w:eastAsia="en-AU"/>
        </w:rPr>
        <w:t>, the Department of Heal</w:t>
      </w:r>
      <w:r>
        <w:rPr>
          <w:rFonts w:asciiTheme="minorHAnsi" w:hAnsiTheme="minorHAnsi" w:cstheme="minorHAnsi"/>
          <w:lang w:eastAsia="en-AU"/>
        </w:rPr>
        <w:t xml:space="preserve">th and Human Services </w:t>
      </w:r>
      <w:r w:rsidRPr="00424F91">
        <w:rPr>
          <w:rFonts w:asciiTheme="minorHAnsi" w:hAnsiTheme="minorHAnsi" w:cstheme="minorHAnsi"/>
          <w:lang w:eastAsia="en-AU"/>
        </w:rPr>
        <w:t xml:space="preserve">and </w:t>
      </w:r>
      <w:r>
        <w:rPr>
          <w:rFonts w:asciiTheme="minorHAnsi" w:hAnsiTheme="minorHAnsi" w:cstheme="minorHAnsi"/>
          <w:lang w:eastAsia="en-AU"/>
        </w:rPr>
        <w:t xml:space="preserve">to </w:t>
      </w:r>
      <w:r w:rsidRPr="00424F91">
        <w:rPr>
          <w:rFonts w:asciiTheme="minorHAnsi" w:hAnsiTheme="minorHAnsi" w:cstheme="minorHAnsi"/>
          <w:lang w:eastAsia="en-AU"/>
        </w:rPr>
        <w:t>the Department of Economic Development, Jobs, T</w:t>
      </w:r>
      <w:r>
        <w:rPr>
          <w:rFonts w:asciiTheme="minorHAnsi" w:hAnsiTheme="minorHAnsi" w:cstheme="minorHAnsi"/>
          <w:lang w:eastAsia="en-AU"/>
        </w:rPr>
        <w:t>ransport and Resources</w:t>
      </w:r>
      <w:r w:rsidRPr="00424F91">
        <w:rPr>
          <w:rFonts w:asciiTheme="minorHAnsi" w:hAnsiTheme="minorHAnsi" w:cstheme="minorHAnsi"/>
          <w:lang w:eastAsia="en-AU"/>
        </w:rPr>
        <w:t xml:space="preserve">. Certain functions and operations of </w:t>
      </w:r>
      <w:r>
        <w:rPr>
          <w:rFonts w:asciiTheme="minorHAnsi" w:hAnsiTheme="minorHAnsi" w:cstheme="minorHAnsi"/>
          <w:lang w:eastAsia="en-AU"/>
        </w:rPr>
        <w:t>continuing</w:t>
      </w:r>
      <w:r w:rsidRPr="00424F91">
        <w:rPr>
          <w:rFonts w:asciiTheme="minorHAnsi" w:hAnsiTheme="minorHAnsi" w:cstheme="minorHAnsi"/>
          <w:lang w:eastAsia="en-AU"/>
        </w:rPr>
        <w:t xml:space="preserve"> Victorian government departments were also transferred </w:t>
      </w:r>
      <w:r>
        <w:rPr>
          <w:rFonts w:asciiTheme="minorHAnsi" w:hAnsiTheme="minorHAnsi" w:cstheme="minorHAnsi"/>
          <w:lang w:eastAsia="en-AU"/>
        </w:rPr>
        <w:t xml:space="preserve">amongst departments </w:t>
      </w:r>
      <w:r w:rsidRPr="00424F91">
        <w:rPr>
          <w:rFonts w:asciiTheme="minorHAnsi" w:hAnsiTheme="minorHAnsi" w:cstheme="minorHAnsi"/>
          <w:lang w:eastAsia="en-AU"/>
        </w:rPr>
        <w:t xml:space="preserve">as part of the </w:t>
      </w:r>
      <w:r>
        <w:rPr>
          <w:rFonts w:asciiTheme="minorHAnsi" w:hAnsiTheme="minorHAnsi" w:cstheme="minorHAnsi"/>
          <w:lang w:eastAsia="en-AU"/>
        </w:rPr>
        <w:t xml:space="preserve">machinery of government changes. </w:t>
      </w:r>
    </w:p>
    <w:p w:rsidR="00B03921" w:rsidRPr="00A34C10" w:rsidRDefault="00B03921" w:rsidP="00016914">
      <w:pPr>
        <w:pStyle w:val="Notes"/>
      </w:pPr>
      <w:r>
        <w:t>(b</w:t>
      </w:r>
      <w:r w:rsidRPr="00A34C10">
        <w:t>)</w:t>
      </w:r>
      <w:r w:rsidRPr="00A34C10">
        <w:tab/>
        <w:t>The March 2014 comparative figures have been updated to reflect current information.</w:t>
      </w:r>
    </w:p>
    <w:p w:rsidR="00B03921" w:rsidRDefault="00B03921" w:rsidP="00016914">
      <w:pPr>
        <w:pStyle w:val="Notes"/>
      </w:pPr>
      <w:r>
        <w:t xml:space="preserve">(c) </w:t>
      </w:r>
      <w:r>
        <w:tab/>
        <w:t>Courts, which was formerly part of the Department of Justice, came into operation from 1 July 2014.</w:t>
      </w:r>
    </w:p>
    <w:p w:rsidR="00B03921" w:rsidRDefault="00B03921" w:rsidP="00016914">
      <w:pPr>
        <w:pStyle w:val="Notes"/>
      </w:pPr>
      <w:r>
        <w:t xml:space="preserve">(d) </w:t>
      </w:r>
      <w:r>
        <w:tab/>
        <w:t>Other general government sector agencies, which receive less than 50 per cent of their revenue from appropriations and therefore not allocated to departments.</w:t>
      </w:r>
    </w:p>
    <w:p w:rsidR="00B03921" w:rsidRDefault="00B03921" w:rsidP="00016914">
      <w:pPr>
        <w:pStyle w:val="Notes"/>
      </w:pPr>
      <w:r>
        <w:t xml:space="preserve">(e) </w:t>
      </w:r>
      <w:r>
        <w:tab/>
        <w:t xml:space="preserve">Mainly comprising payroll tax, </w:t>
      </w:r>
      <w:r w:rsidRPr="00193E48">
        <w:t>capital</w:t>
      </w:r>
      <w:r>
        <w:t xml:space="preserve"> asset charge and inter-departmental transfers.</w:t>
      </w:r>
    </w:p>
    <w:p w:rsidR="00B03921" w:rsidRDefault="00B03921" w:rsidP="00016914">
      <w:pPr>
        <w:pStyle w:val="BodyText"/>
      </w:pPr>
    </w:p>
    <w:p w:rsidR="00B03921" w:rsidRPr="00F10B6E"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255" w:name="_Toc418102756"/>
      <w:bookmarkStart w:id="256" w:name="_Toc418191922"/>
      <w:bookmarkStart w:id="257" w:name="_Toc418274849"/>
      <w:bookmarkStart w:id="258" w:name="_Toc418274894"/>
      <w:bookmarkStart w:id="259" w:name="_Toc418276640"/>
      <w:r w:rsidRPr="00F10B6E">
        <w:t>Note 10:</w:t>
      </w:r>
      <w:r w:rsidRPr="00F10B6E">
        <w:tab/>
        <w:t>Other gains/(losses) from other economic flows</w:t>
      </w:r>
      <w:bookmarkEnd w:id="182"/>
      <w:bookmarkEnd w:id="183"/>
      <w:bookmarkEnd w:id="184"/>
      <w:bookmarkEnd w:id="185"/>
      <w:bookmarkEnd w:id="186"/>
      <w:bookmarkEnd w:id="255"/>
      <w:bookmarkEnd w:id="256"/>
      <w:bookmarkEnd w:id="257"/>
      <w:bookmarkEnd w:id="258"/>
      <w:bookmarkEnd w:id="25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A47BE4">
        <w:trPr>
          <w:trHeight w:val="747"/>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2013-14</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tc>
        <w:tc>
          <w:tcPr>
            <w:tcW w:w="4880" w:type="dxa"/>
            <w:tcBorders>
              <w:top w:val="single" w:sz="6" w:space="0" w:color="auto"/>
              <w:left w:val="nil"/>
              <w:right w:val="nil"/>
            </w:tcBorders>
            <w:shd w:val="clear" w:color="000000" w:fill="000000"/>
          </w:tcPr>
          <w:p w:rsidR="00EA0759" w:rsidRPr="00B52D5F" w:rsidRDefault="00EA0759" w:rsidP="00EA0759">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2014-15</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Revised</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(26.8)</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gain/(loss) from revaluation of biological assets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(177.7)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Net (increase) in provision for doubtful receivables</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(217.3)</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(196.0)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(10.8)</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Amortisation of intangible non-produced assets</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(1.3)</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(0.1)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(71.0)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Net (increase) in bad debts</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(76.0)</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(119.8)</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(838.6)</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gains/(losses)</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(200.4)</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(127.8)</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(1 124.9)</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other gains/(losses) from other economic flows</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(495.0)</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(443.7)</w:t>
            </w:r>
          </w:p>
        </w:tc>
      </w:tr>
    </w:tbl>
    <w:p w:rsidR="00B03921" w:rsidRDefault="00B03921" w:rsidP="00016914">
      <w:pPr>
        <w:pStyle w:val="million"/>
      </w:pPr>
      <w:r>
        <w:t xml:space="preserve"> </w:t>
      </w:r>
    </w:p>
    <w:p w:rsidR="00B03921" w:rsidRDefault="00B03921" w:rsidP="00016914">
      <w:pPr>
        <w:pStyle w:val="BodyText"/>
      </w:pPr>
    </w:p>
    <w:p w:rsidR="00B03921" w:rsidRPr="00F10B6E" w:rsidRDefault="00B03921" w:rsidP="00016914">
      <w:pPr>
        <w:pStyle w:val="BodyText"/>
      </w:pPr>
    </w:p>
    <w:p w:rsidR="00B03921" w:rsidRDefault="00B03921" w:rsidP="00016914">
      <w:pPr>
        <w:pStyle w:val="Heading2Notes"/>
      </w:pPr>
      <w:bookmarkStart w:id="260" w:name="_Toc418102757"/>
      <w:bookmarkStart w:id="261" w:name="_Toc418191923"/>
      <w:bookmarkStart w:id="262" w:name="_Toc418274850"/>
      <w:bookmarkStart w:id="263" w:name="_Toc418274895"/>
      <w:bookmarkStart w:id="264" w:name="_Toc418276641"/>
      <w:r w:rsidRPr="00F10B6E">
        <w:t>Note 11:</w:t>
      </w:r>
      <w:r w:rsidRPr="00F10B6E">
        <w:tab/>
        <w:t>Net acquisition of non</w:t>
      </w:r>
      <w:r w:rsidRPr="00F10B6E">
        <w:noBreakHyphen/>
        <w:t>financial assets</w:t>
      </w:r>
      <w:bookmarkEnd w:id="187"/>
      <w:bookmarkEnd w:id="188"/>
      <w:bookmarkEnd w:id="189"/>
      <w:bookmarkEnd w:id="190"/>
      <w:bookmarkEnd w:id="191"/>
      <w:bookmarkEnd w:id="260"/>
      <w:bookmarkEnd w:id="261"/>
      <w:bookmarkEnd w:id="262"/>
      <w:bookmarkEnd w:id="263"/>
      <w:bookmarkEnd w:id="264"/>
    </w:p>
    <w:p w:rsidR="00B03921" w:rsidRPr="00B52D5F"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EA0759" w:rsidRPr="00B52D5F" w:rsidTr="001250A7">
        <w:trPr>
          <w:trHeight w:val="747"/>
          <w:tblHeader/>
        </w:trPr>
        <w:tc>
          <w:tcPr>
            <w:tcW w:w="920" w:type="dxa"/>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2013-14</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Actual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1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4880" w:type="dxa"/>
            <w:tcBorders>
              <w:top w:val="single" w:sz="6" w:space="0" w:color="auto"/>
              <w:left w:val="nil"/>
              <w:right w:val="nil"/>
            </w:tcBorders>
            <w:shd w:val="clear" w:color="000000" w:fill="000000"/>
          </w:tcPr>
          <w:p w:rsidR="00EA0759" w:rsidRPr="00B52D5F" w:rsidRDefault="00EA0759" w:rsidP="00EA0759">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2014-15</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Actual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Revised 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2 721.9</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Purchase of non-financial assets (including change in inventories)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Pr>
                <w:rFonts w:eastAsiaTheme="minorEastAsia"/>
                <w:lang w:eastAsia="en-AU"/>
              </w:rPr>
              <w:t>2 986.9</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4 018.1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(152.1)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Less: Sales of non-financial assets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(185.0)</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(360.0)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(1 788.7)</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Less: Depreciation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(1 809.1)</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(2 497.5)</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(232.0)</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488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Plus: Other movements in non-financial assets</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(433.0)</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(1 298.0)</w:t>
            </w:r>
          </w:p>
        </w:tc>
      </w:tr>
      <w:tr w:rsidR="00B03921" w:rsidRPr="00B52D5F" w:rsidTr="00016914">
        <w:tc>
          <w:tcPr>
            <w:tcW w:w="920" w:type="dxa"/>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549.0</w:t>
            </w:r>
          </w:p>
        </w:tc>
        <w:tc>
          <w:tcPr>
            <w:tcW w:w="120" w:type="dxa"/>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lang w:eastAsia="en-AU"/>
              </w:rPr>
            </w:pPr>
            <w:r w:rsidRPr="00B52D5F">
              <w:rPr>
                <w:rFonts w:eastAsiaTheme="minorEastAsia"/>
                <w:b/>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net acquisition of non-financial assets from transactions</w:t>
            </w:r>
          </w:p>
        </w:tc>
        <w:tc>
          <w:tcPr>
            <w:tcW w:w="920" w:type="dxa"/>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559.8</w:t>
            </w:r>
          </w:p>
        </w:tc>
        <w:tc>
          <w:tcPr>
            <w:tcW w:w="920" w:type="dxa"/>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(137.4)</w:t>
            </w:r>
          </w:p>
        </w:tc>
      </w:tr>
    </w:tbl>
    <w:p w:rsidR="00B03921" w:rsidRDefault="00B03921" w:rsidP="00016914">
      <w:pPr>
        <w:pStyle w:val="Notes"/>
      </w:pPr>
    </w:p>
    <w:p w:rsidR="00B03921" w:rsidRDefault="00B03921" w:rsidP="00016914">
      <w:pPr>
        <w:pStyle w:val="BodyText"/>
      </w:pPr>
    </w:p>
    <w:p w:rsidR="00B03921" w:rsidRPr="00F10B6E"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265" w:name="_Toc418102758"/>
      <w:bookmarkStart w:id="266" w:name="_Toc418191924"/>
      <w:bookmarkStart w:id="267" w:name="_Toc418274851"/>
      <w:bookmarkStart w:id="268" w:name="_Toc418274896"/>
      <w:bookmarkStart w:id="269" w:name="_Toc418276642"/>
      <w:r w:rsidRPr="00F10B6E">
        <w:t>Note 12:</w:t>
      </w:r>
      <w:r w:rsidRPr="00F10B6E">
        <w:tab/>
        <w:t>Receivables</w:t>
      </w:r>
      <w:bookmarkEnd w:id="192"/>
      <w:bookmarkEnd w:id="193"/>
      <w:bookmarkEnd w:id="194"/>
      <w:bookmarkEnd w:id="265"/>
      <w:bookmarkEnd w:id="266"/>
      <w:bookmarkEnd w:id="267"/>
      <w:bookmarkEnd w:id="268"/>
      <w:bookmarkEnd w:id="26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EA0759" w:rsidRPr="00B52D5F" w:rsidTr="002D529D">
        <w:trPr>
          <w:tblHeader/>
        </w:trPr>
        <w:tc>
          <w:tcPr>
            <w:tcW w:w="920" w:type="dxa"/>
            <w:vMerge w:val="restart"/>
            <w:tcBorders>
              <w:top w:val="single" w:sz="6" w:space="0" w:color="auto"/>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2013-14</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bottom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3960" w:type="dxa"/>
            <w:vMerge w:val="restart"/>
            <w:tcBorders>
              <w:top w:val="single" w:sz="6" w:space="0" w:color="auto"/>
              <w:left w:val="nil"/>
              <w:right w:val="nil"/>
            </w:tcBorders>
            <w:shd w:val="clear" w:color="000000" w:fill="000000"/>
          </w:tcPr>
          <w:p w:rsidR="00EA0759" w:rsidRPr="00B52D5F" w:rsidRDefault="00EA0759" w:rsidP="00016914">
            <w:pPr>
              <w:pStyle w:val="Tabletext"/>
              <w:rPr>
                <w:rFonts w:eastAsiaTheme="minorEastAsia"/>
                <w:i/>
                <w:lang w:eastAsia="en-AU"/>
              </w:rPr>
            </w:pPr>
          </w:p>
        </w:tc>
        <w:tc>
          <w:tcPr>
            <w:tcW w:w="920" w:type="dxa"/>
            <w:vMerge w:val="restart"/>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Opening</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vMerge w:val="restart"/>
            <w:tcBorders>
              <w:top w:val="single" w:sz="6" w:space="0" w:color="auto"/>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2014-15</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Actual</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vMerge w:val="restart"/>
            <w:tcBorders>
              <w:top w:val="single" w:sz="6" w:space="0" w:color="auto"/>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Revised</w:t>
            </w:r>
          </w:p>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EA0759" w:rsidRPr="00B52D5F" w:rsidTr="002D529D">
        <w:trPr>
          <w:trHeight w:val="63"/>
          <w:tblHeader/>
        </w:trPr>
        <w:tc>
          <w:tcPr>
            <w:tcW w:w="920" w:type="dxa"/>
            <w:vMerge/>
            <w:tcBorders>
              <w:left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120" w:type="dxa"/>
            <w:tcBorders>
              <w:top w:val="nil"/>
              <w:left w:val="nil"/>
              <w:bottom w:val="nil"/>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tc>
        <w:tc>
          <w:tcPr>
            <w:tcW w:w="3960" w:type="dxa"/>
            <w:vMerge/>
            <w:tcBorders>
              <w:left w:val="nil"/>
              <w:right w:val="nil"/>
            </w:tcBorders>
            <w:shd w:val="clear" w:color="000000" w:fill="000000"/>
          </w:tcPr>
          <w:p w:rsidR="00EA0759" w:rsidRPr="00B52D5F" w:rsidRDefault="00EA0759" w:rsidP="00016914">
            <w:pPr>
              <w:pStyle w:val="Tabletext"/>
              <w:rPr>
                <w:rFonts w:eastAsiaTheme="minorEastAsia"/>
                <w:i/>
                <w:lang w:eastAsia="en-AU"/>
              </w:rPr>
            </w:pPr>
          </w:p>
        </w:tc>
        <w:tc>
          <w:tcPr>
            <w:tcW w:w="920" w:type="dxa"/>
            <w:vMerge/>
            <w:tcBorders>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920" w:type="dxa"/>
            <w:vMerge/>
            <w:tcBorders>
              <w:left w:val="nil"/>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920" w:type="dxa"/>
            <w:vMerge/>
            <w:tcBorders>
              <w:left w:val="nil"/>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p>
        </w:tc>
      </w:tr>
      <w:tr w:rsidR="00EA0759" w:rsidRPr="00B52D5F" w:rsidTr="002D529D">
        <w:trPr>
          <w:tblHeader/>
        </w:trPr>
        <w:tc>
          <w:tcPr>
            <w:tcW w:w="920" w:type="dxa"/>
            <w:vMerge/>
            <w:tcBorders>
              <w:left w:val="single" w:sz="6" w:space="0" w:color="auto"/>
              <w:bottom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120" w:type="dxa"/>
            <w:tcBorders>
              <w:top w:val="nil"/>
              <w:left w:val="nil"/>
              <w:bottom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r w:rsidRPr="00B52D5F">
              <w:rPr>
                <w:rFonts w:eastAsiaTheme="minorEastAsia"/>
                <w:color w:val="FFFFFF"/>
                <w:lang w:eastAsia="en-AU"/>
              </w:rPr>
              <w:t xml:space="preserve"> </w:t>
            </w:r>
          </w:p>
        </w:tc>
        <w:tc>
          <w:tcPr>
            <w:tcW w:w="3960" w:type="dxa"/>
            <w:vMerge/>
            <w:tcBorders>
              <w:left w:val="nil"/>
              <w:bottom w:val="single" w:sz="6" w:space="0" w:color="auto"/>
              <w:right w:val="nil"/>
            </w:tcBorders>
            <w:shd w:val="clear" w:color="000000" w:fill="000000"/>
          </w:tcPr>
          <w:p w:rsidR="00EA0759" w:rsidRPr="00B52D5F" w:rsidRDefault="00EA0759" w:rsidP="00016914">
            <w:pPr>
              <w:pStyle w:val="Tabletext"/>
              <w:rPr>
                <w:rFonts w:eastAsiaTheme="minorEastAsia"/>
                <w:i/>
                <w:lang w:eastAsia="en-AU"/>
              </w:rPr>
            </w:pPr>
          </w:p>
        </w:tc>
        <w:tc>
          <w:tcPr>
            <w:tcW w:w="920" w:type="dxa"/>
            <w:vMerge/>
            <w:tcBorders>
              <w:left w:val="nil"/>
              <w:bottom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920" w:type="dxa"/>
            <w:vMerge/>
            <w:tcBorders>
              <w:left w:val="nil"/>
              <w:bottom w:val="single" w:sz="6" w:space="0" w:color="auto"/>
              <w:right w:val="nil"/>
            </w:tcBorders>
            <w:shd w:val="clear" w:color="000000" w:fill="000000"/>
          </w:tcPr>
          <w:p w:rsidR="00EA0759" w:rsidRPr="00B52D5F" w:rsidRDefault="00EA0759" w:rsidP="00016914">
            <w:pPr>
              <w:pStyle w:val="Tabletextheading"/>
              <w:rPr>
                <w:rFonts w:eastAsiaTheme="minorEastAsia"/>
                <w:color w:val="FFFFFF"/>
                <w:lang w:eastAsia="en-AU"/>
              </w:rPr>
            </w:pPr>
          </w:p>
        </w:tc>
        <w:tc>
          <w:tcPr>
            <w:tcW w:w="920" w:type="dxa"/>
            <w:vMerge/>
            <w:tcBorders>
              <w:left w:val="nil"/>
              <w:bottom w:val="single" w:sz="6" w:space="0" w:color="auto"/>
              <w:right w:val="single" w:sz="6" w:space="0" w:color="auto"/>
            </w:tcBorders>
            <w:shd w:val="clear" w:color="000000" w:fill="000000"/>
          </w:tcPr>
          <w:p w:rsidR="00EA0759" w:rsidRPr="00B52D5F" w:rsidRDefault="00EA0759" w:rsidP="00016914">
            <w:pPr>
              <w:pStyle w:val="Tabletextheading"/>
              <w:rPr>
                <w:rFonts w:eastAsiaTheme="minorEastAsia"/>
                <w:color w:val="FFFFFF"/>
                <w:lang w:eastAsia="en-AU"/>
              </w:rPr>
            </w:pPr>
          </w:p>
        </w:tc>
      </w:tr>
      <w:tr w:rsidR="00EA0759" w:rsidRPr="00B52D5F" w:rsidTr="00E95367">
        <w:tc>
          <w:tcPr>
            <w:tcW w:w="920" w:type="dxa"/>
            <w:tcBorders>
              <w:top w:val="single" w:sz="6" w:space="0" w:color="auto"/>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120" w:type="dxa"/>
            <w:tcBorders>
              <w:top w:val="single" w:sz="6" w:space="0" w:color="auto"/>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6720" w:type="dxa"/>
            <w:gridSpan w:val="4"/>
            <w:tcBorders>
              <w:top w:val="single" w:sz="6" w:space="0" w:color="auto"/>
              <w:left w:val="nil"/>
              <w:bottom w:val="nil"/>
              <w:right w:val="nil"/>
            </w:tcBorders>
          </w:tcPr>
          <w:p w:rsidR="00EA0759" w:rsidRPr="00B52D5F" w:rsidRDefault="00EA0759" w:rsidP="00EA0759">
            <w:pPr>
              <w:pStyle w:val="Tabletext"/>
              <w:rPr>
                <w:rFonts w:eastAsiaTheme="minorEastAsia"/>
                <w:lang w:eastAsia="en-AU"/>
              </w:rPr>
            </w:pPr>
            <w:r w:rsidRPr="00B52D5F">
              <w:rPr>
                <w:rFonts w:eastAsiaTheme="minorEastAsia"/>
                <w:b/>
                <w:bCs/>
                <w:lang w:eastAsia="en-AU"/>
              </w:rPr>
              <w:t>Contractual</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781.9</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Sales of goods and services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647.2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1 276.7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677.7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37.8</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Accrued investment income</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22.8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37.6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23.0</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1 241.4</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receivables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1 097.7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1 289.3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915.4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(67.0)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Provision for doubtful contractual receivables </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(72.2)</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(75.5)</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(60.4)</w:t>
            </w:r>
          </w:p>
        </w:tc>
      </w:tr>
      <w:tr w:rsidR="00EA0759" w:rsidRPr="00B52D5F" w:rsidTr="003A6F2A">
        <w:tc>
          <w:tcPr>
            <w:tcW w:w="920" w:type="dxa"/>
            <w:tcBorders>
              <w:top w:val="nil"/>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120" w:type="dxa"/>
            <w:tcBorders>
              <w:top w:val="nil"/>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6720" w:type="dxa"/>
            <w:gridSpan w:val="4"/>
            <w:tcBorders>
              <w:top w:val="nil"/>
              <w:left w:val="nil"/>
              <w:bottom w:val="nil"/>
              <w:right w:val="nil"/>
            </w:tcBorders>
            <w:shd w:val="solid" w:color="FFFFFF" w:fill="auto"/>
          </w:tcPr>
          <w:p w:rsidR="00EA0759" w:rsidRPr="00B52D5F" w:rsidRDefault="00EA0759" w:rsidP="00EA0759">
            <w:pPr>
              <w:pStyle w:val="Tabletext"/>
              <w:rPr>
                <w:rFonts w:eastAsiaTheme="minorEastAsia"/>
                <w:lang w:eastAsia="en-AU"/>
              </w:rPr>
            </w:pPr>
            <w:r w:rsidRPr="00B52D5F">
              <w:rPr>
                <w:rFonts w:eastAsiaTheme="minorEastAsia"/>
                <w:b/>
                <w:bCs/>
                <w:lang w:eastAsia="en-AU"/>
              </w:rPr>
              <w:t>Statutory</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0.3</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Sales of goods and services </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10.9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4.2</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2 896.3</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Taxes receivables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2 141.0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3 120.9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2 260.1</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1 699.1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Fines and regulatory fees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1 670.4</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1 780.2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1 949.8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192.1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GST input tax credits recoverable</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270.9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192.3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268.5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(888.3)</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Provision for doubtful statutory receivables </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(842.9)</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(892.6)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(1 024.2)</w:t>
            </w:r>
          </w:p>
        </w:tc>
      </w:tr>
      <w:tr w:rsidR="00B03921" w:rsidRPr="00B52D5F" w:rsidTr="00016914">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5 893.7</w:t>
            </w:r>
          </w:p>
        </w:tc>
        <w:tc>
          <w:tcPr>
            <w:tcW w:w="1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receivables</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4 940.6</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6 729.0</w:t>
            </w:r>
          </w:p>
        </w:tc>
        <w:tc>
          <w:tcPr>
            <w:tcW w:w="920"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5 010.0</w:t>
            </w:r>
          </w:p>
        </w:tc>
      </w:tr>
      <w:tr w:rsidR="00EA0759" w:rsidRPr="00B52D5F" w:rsidTr="00950894">
        <w:tc>
          <w:tcPr>
            <w:tcW w:w="920" w:type="dxa"/>
            <w:tcBorders>
              <w:top w:val="nil"/>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120" w:type="dxa"/>
            <w:tcBorders>
              <w:top w:val="nil"/>
              <w:left w:val="nil"/>
              <w:bottom w:val="nil"/>
              <w:right w:val="nil"/>
            </w:tcBorders>
          </w:tcPr>
          <w:p w:rsidR="00EA0759" w:rsidRPr="00B52D5F" w:rsidRDefault="00EA0759" w:rsidP="00016914">
            <w:pPr>
              <w:pStyle w:val="TableofFigures"/>
              <w:rPr>
                <w:rFonts w:eastAsiaTheme="minorEastAsia"/>
                <w:lang w:eastAsia="en-AU"/>
              </w:rPr>
            </w:pPr>
            <w:r w:rsidRPr="00B52D5F">
              <w:rPr>
                <w:rFonts w:eastAsiaTheme="minorEastAsia"/>
                <w:lang w:eastAsia="en-AU"/>
              </w:rPr>
              <w:t xml:space="preserve"> </w:t>
            </w:r>
          </w:p>
        </w:tc>
        <w:tc>
          <w:tcPr>
            <w:tcW w:w="6720" w:type="dxa"/>
            <w:gridSpan w:val="4"/>
            <w:tcBorders>
              <w:top w:val="single" w:sz="12" w:space="0" w:color="auto"/>
              <w:left w:val="nil"/>
              <w:bottom w:val="nil"/>
              <w:right w:val="nil"/>
            </w:tcBorders>
          </w:tcPr>
          <w:p w:rsidR="00EA0759" w:rsidRPr="00B52D5F" w:rsidRDefault="00EA0759" w:rsidP="00EA0759">
            <w:pPr>
              <w:pStyle w:val="Tabletext"/>
              <w:rPr>
                <w:rFonts w:eastAsiaTheme="minorEastAsia"/>
                <w:lang w:eastAsia="en-AU"/>
              </w:rPr>
            </w:pPr>
            <w:r w:rsidRPr="00B52D5F">
              <w:rPr>
                <w:rFonts w:eastAsiaTheme="minorEastAsia"/>
                <w:b/>
                <w:bCs/>
                <w:lang w:eastAsia="en-AU"/>
              </w:rPr>
              <w:t>Represented by:</w:t>
            </w:r>
          </w:p>
        </w:tc>
      </w:tr>
      <w:tr w:rsidR="00B03921" w:rsidRPr="00B52D5F" w:rsidTr="00016914">
        <w:tc>
          <w:tcPr>
            <w:tcW w:w="920"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4 716.5</w:t>
            </w:r>
          </w:p>
        </w:tc>
        <w:tc>
          <w:tcPr>
            <w:tcW w:w="120"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Current receivables</w:t>
            </w:r>
          </w:p>
        </w:tc>
        <w:tc>
          <w:tcPr>
            <w:tcW w:w="920"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4 006.9</w:t>
            </w:r>
          </w:p>
        </w:tc>
        <w:tc>
          <w:tcPr>
            <w:tcW w:w="920"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5 515.9</w:t>
            </w:r>
          </w:p>
        </w:tc>
        <w:tc>
          <w:tcPr>
            <w:tcW w:w="920"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3 870.9</w:t>
            </w:r>
          </w:p>
        </w:tc>
      </w:tr>
      <w:tr w:rsidR="00B03921" w:rsidRPr="00B52D5F" w:rsidTr="00016914">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1 177.2</w:t>
            </w:r>
          </w:p>
        </w:tc>
        <w:tc>
          <w:tcPr>
            <w:tcW w:w="1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single" w:sz="12" w:space="0" w:color="000000"/>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Non-current receivables</w:t>
            </w:r>
          </w:p>
        </w:tc>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933.7</w:t>
            </w:r>
          </w:p>
        </w:tc>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1 213.1</w:t>
            </w:r>
          </w:p>
        </w:tc>
        <w:tc>
          <w:tcPr>
            <w:tcW w:w="920"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1 139.2</w:t>
            </w:r>
          </w:p>
        </w:tc>
      </w:tr>
    </w:tbl>
    <w:p w:rsidR="00B03921" w:rsidRDefault="00B03921" w:rsidP="00016914">
      <w:pPr>
        <w:pStyle w:val="million"/>
      </w:pPr>
    </w:p>
    <w:p w:rsidR="00B03921" w:rsidRDefault="00B03921" w:rsidP="00016914">
      <w:pPr>
        <w:pStyle w:val="million"/>
      </w:pPr>
      <w:r>
        <w:t xml:space="preserve"> </w:t>
      </w:r>
    </w:p>
    <w:p w:rsidR="00B03921" w:rsidRDefault="00B03921" w:rsidP="00016914">
      <w:pPr>
        <w:pStyle w:val="Notes"/>
      </w:pPr>
    </w:p>
    <w:p w:rsidR="00B03921" w:rsidRDefault="00B03921" w:rsidP="00016914">
      <w:pPr>
        <w:pStyle w:val="Notes"/>
      </w:pPr>
    </w:p>
    <w:p w:rsidR="00B03921" w:rsidRPr="00F10B6E"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270" w:name="_Toc418102759"/>
      <w:bookmarkStart w:id="271" w:name="_Toc418191925"/>
      <w:bookmarkStart w:id="272" w:name="_Toc418274852"/>
      <w:bookmarkStart w:id="273" w:name="_Toc418274897"/>
      <w:bookmarkStart w:id="274" w:name="_Toc418276643"/>
      <w:r w:rsidRPr="00F10B6E">
        <w:t>Note 13:</w:t>
      </w:r>
      <w:r w:rsidRPr="00F10B6E">
        <w:tab/>
        <w:t>Property, plant and equipment</w:t>
      </w:r>
      <w:bookmarkEnd w:id="195"/>
      <w:bookmarkEnd w:id="196"/>
      <w:bookmarkEnd w:id="197"/>
      <w:bookmarkEnd w:id="270"/>
      <w:bookmarkEnd w:id="271"/>
      <w:bookmarkEnd w:id="272"/>
      <w:bookmarkEnd w:id="273"/>
      <w:bookmarkEnd w:id="274"/>
    </w:p>
    <w:p w:rsidR="00B03921" w:rsidRDefault="00B03921" w:rsidP="00016914">
      <w:pPr>
        <w:pStyle w:val="Heading5"/>
      </w:pPr>
      <w:r w:rsidRPr="00F10B6E">
        <w:t>(a)</w:t>
      </w:r>
      <w:r w:rsidRPr="00F10B6E">
        <w:tab/>
        <w:t>Total land, buildings, infrastructure, plant and equipment</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1E3775">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2013-14</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Opening</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23 819.1</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single" w:sz="6" w:space="0" w:color="auto"/>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Buildings (written down value)</w:t>
            </w:r>
            <w:r w:rsidRPr="00B52D5F">
              <w:rPr>
                <w:rFonts w:eastAsiaTheme="minorEastAsia"/>
                <w:vertAlign w:val="superscript"/>
                <w:lang w:eastAsia="en-AU"/>
              </w:rPr>
              <w:t>(a)</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25 996.3</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26 218.4</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25 792.8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2 226.6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Buildings leasehold (written down value)</w:t>
            </w:r>
            <w:r w:rsidRPr="00B52D5F">
              <w:rPr>
                <w:rFonts w:eastAsiaTheme="minorEastAsia"/>
                <w:vertAlign w:val="superscript"/>
                <w:lang w:eastAsia="en-AU"/>
              </w:rPr>
              <w:t>(b)</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2 400.8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2 806.6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2 360.8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37 354.9</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Land and national parks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37 648.4</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37 632.0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39 217.7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1 261.6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Infrastructure systems (written down value)</w:t>
            </w:r>
            <w:r w:rsidRPr="00B52D5F">
              <w:rPr>
                <w:rFonts w:eastAsiaTheme="minorEastAsia"/>
                <w:vertAlign w:val="superscript"/>
                <w:lang w:eastAsia="en-AU"/>
              </w:rPr>
              <w:t>(b)</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1 247.8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1 277.8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1 253.9</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2 635.0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Plant, equipment and vehicles (written down value)</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2 589.9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1 943.0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2 414.7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22 195.2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Roads and road networks (written down value)</w:t>
            </w:r>
            <w:r w:rsidRPr="00B52D5F">
              <w:rPr>
                <w:rFonts w:eastAsiaTheme="minorEastAsia"/>
                <w:vertAlign w:val="superscript"/>
                <w:lang w:eastAsia="en-AU"/>
              </w:rPr>
              <w:t>(b)</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22 103.8</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22 248.3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24 310.3</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7 638.8</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Earthworks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7 685.2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7 685.2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8 803.4</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5 514.6</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Cultural assets (written down value)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5 489.5</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5 483.5</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5 480.0</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102 645.8</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land, buildings, infrastructure, plant and equipment</w:t>
            </w:r>
            <w:r w:rsidRPr="00764655">
              <w:rPr>
                <w:rFonts w:eastAsiaTheme="minorEastAsia"/>
                <w:bCs/>
                <w:vertAlign w:val="superscript"/>
                <w:lang w:eastAsia="en-AU"/>
              </w:rPr>
              <w:t>(a)</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105 161.7</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104 847.4</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109 633.6</w:t>
            </w:r>
          </w:p>
        </w:tc>
      </w:tr>
    </w:tbl>
    <w:p w:rsidR="00B03921" w:rsidRDefault="00B03921" w:rsidP="00016914">
      <w:pPr>
        <w:pStyle w:val="Notes"/>
      </w:pPr>
      <w:r>
        <w:t>Notes:</w:t>
      </w:r>
    </w:p>
    <w:p w:rsidR="00B03921" w:rsidRDefault="00B03921" w:rsidP="00016914">
      <w:pPr>
        <w:pStyle w:val="Notes"/>
      </w:pPr>
      <w:r>
        <w:t>(a)</w:t>
      </w:r>
      <w:r>
        <w:tab/>
        <w:t>The March 2014 comparative figures and 1 July 2014 opening balance figures have been restated to reflect a change in accounting policy associated with the valuation of school building assets.</w:t>
      </w:r>
    </w:p>
    <w:p w:rsidR="00B03921" w:rsidRDefault="00B03921" w:rsidP="00016914">
      <w:pPr>
        <w:pStyle w:val="Notes"/>
      </w:pPr>
      <w:r>
        <w:t xml:space="preserve">(b) </w:t>
      </w:r>
      <w:r>
        <w:tab/>
        <w:t xml:space="preserve">The March 2014 comparative figures and 1 July 2014 opening balance figures have been changed to reflect more current information. </w:t>
      </w:r>
    </w:p>
    <w:p w:rsidR="00B03921" w:rsidRDefault="00B03921" w:rsidP="00016914">
      <w:pPr>
        <w:pStyle w:val="BodyText"/>
      </w:pPr>
    </w:p>
    <w:p w:rsidR="00B03921" w:rsidRPr="00193E48" w:rsidRDefault="00B03921" w:rsidP="00016914">
      <w:pPr>
        <w:pStyle w:val="BodyText"/>
      </w:pPr>
    </w:p>
    <w:p w:rsidR="00B03921" w:rsidRDefault="00B03921" w:rsidP="00016914">
      <w:pPr>
        <w:pStyle w:val="Heading5"/>
      </w:pPr>
      <w:r w:rsidRPr="00F10B6E">
        <w:t>(b)</w:t>
      </w:r>
      <w:r w:rsidRPr="00F10B6E">
        <w:tab/>
        <w:t>Land and buildings</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2818B6">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2013-14</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Opening</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27 174.5</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single" w:sz="6" w:space="0" w:color="auto"/>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Buildings</w:t>
            </w:r>
            <w:r w:rsidRPr="00B52D5F">
              <w:rPr>
                <w:rFonts w:eastAsiaTheme="minorEastAsia"/>
                <w:vertAlign w:val="superscript"/>
                <w:lang w:eastAsia="en-AU"/>
              </w:rPr>
              <w:t>(a)</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27 441.0</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28 210.4</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28 289.3</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(3 355.4)</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Accumulated depreciation</w:t>
            </w:r>
            <w:r w:rsidRPr="00B52D5F">
              <w:rPr>
                <w:rFonts w:eastAsiaTheme="minorEastAsia"/>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(1 444.7)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(1 992.0)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(2 496.5)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23 819.1</w:t>
            </w:r>
          </w:p>
        </w:tc>
        <w:tc>
          <w:tcPr>
            <w:tcW w:w="1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Buildings (written down value)</w:t>
            </w:r>
            <w:r w:rsidRPr="001D6299">
              <w:rPr>
                <w:rFonts w:eastAsiaTheme="minorEastAsia"/>
                <w:bCs/>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25 996.3</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26 218.4</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25 792.8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2 226.6</w:t>
            </w:r>
          </w:p>
        </w:tc>
        <w:tc>
          <w:tcPr>
            <w:tcW w:w="120" w:type="dxa"/>
            <w:tcBorders>
              <w:top w:val="nil"/>
              <w:left w:val="nil"/>
              <w:bottom w:val="nil"/>
              <w:right w:val="nil"/>
            </w:tcBorders>
          </w:tcPr>
          <w:p w:rsidR="00B03921" w:rsidRPr="00B52D5F" w:rsidRDefault="00B03921" w:rsidP="00016914">
            <w:pPr>
              <w:pStyle w:val="TableofFigures"/>
              <w:rPr>
                <w:rFonts w:eastAsiaTheme="minorEastAsia"/>
                <w:b/>
                <w:lang w:eastAsia="en-AU"/>
              </w:rPr>
            </w:pPr>
            <w:r w:rsidRPr="00B52D5F">
              <w:rPr>
                <w:rFonts w:eastAsiaTheme="minorEastAsia"/>
                <w:b/>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Buildings Leasehold</w:t>
            </w:r>
            <w:r w:rsidRPr="001D6299">
              <w:rPr>
                <w:rFonts w:eastAsiaTheme="minorEastAsia"/>
                <w:bCs/>
                <w:vertAlign w:val="superscript"/>
                <w:lang w:eastAsia="en-AU"/>
              </w:rPr>
              <w:t>(b)</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2 400.8</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2 806.6</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2 360.8</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35 669.4</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Land</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35 962.9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35 947.7</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37 480.5</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1 685.5</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National Parks and other </w:t>
            </w:r>
            <w:r w:rsidR="00BA5A16">
              <w:rPr>
                <w:rFonts w:eastAsiaTheme="minorEastAsia"/>
                <w:lang w:eastAsia="en-AU"/>
              </w:rPr>
              <w:t>‘</w:t>
            </w:r>
            <w:r w:rsidRPr="00B52D5F">
              <w:rPr>
                <w:rFonts w:eastAsiaTheme="minorEastAsia"/>
                <w:lang w:eastAsia="en-AU"/>
              </w:rPr>
              <w:t>land only</w:t>
            </w:r>
            <w:r w:rsidR="00BA5A16">
              <w:rPr>
                <w:rFonts w:eastAsiaTheme="minorEastAsia"/>
                <w:lang w:eastAsia="en-AU"/>
              </w:rPr>
              <w:t>’</w:t>
            </w:r>
            <w:r w:rsidRPr="00B52D5F">
              <w:rPr>
                <w:rFonts w:eastAsiaTheme="minorEastAsia"/>
                <w:lang w:eastAsia="en-AU"/>
              </w:rPr>
              <w:t xml:space="preserve"> holdings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1 685.5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1 684.3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1 737.1</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37 354.9</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single" w:sz="6"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Land and national parks</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37 648.4</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37 632.0</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39 217.7</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63 400.6</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land and buildings</w:t>
            </w:r>
            <w:r w:rsidRPr="001D6299">
              <w:rPr>
                <w:rFonts w:eastAsiaTheme="minorEastAsia"/>
                <w:bCs/>
                <w:vertAlign w:val="superscript"/>
                <w:lang w:eastAsia="en-AU"/>
              </w:rPr>
              <w:t>(b)</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66 045.5</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66 657.0</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67 371.3</w:t>
            </w:r>
          </w:p>
        </w:tc>
      </w:tr>
    </w:tbl>
    <w:p w:rsidR="00B03921" w:rsidRDefault="00B03921" w:rsidP="00016914">
      <w:pPr>
        <w:pStyle w:val="Notes"/>
      </w:pPr>
      <w:r>
        <w:t>Notes:</w:t>
      </w:r>
    </w:p>
    <w:p w:rsidR="00B03921" w:rsidRDefault="00B03921" w:rsidP="00016914">
      <w:pPr>
        <w:pStyle w:val="Notes"/>
      </w:pPr>
      <w:r>
        <w:t>(a)</w:t>
      </w:r>
      <w:r>
        <w:tab/>
        <w:t>The March 2014 comparative figures and 1 July 2014 opening balance figures have been restated to reflect a change in accounting policy associated with the valuation of school building assets.</w:t>
      </w:r>
    </w:p>
    <w:p w:rsidR="00B03921" w:rsidRDefault="00B03921" w:rsidP="00016914">
      <w:pPr>
        <w:pStyle w:val="Notes"/>
      </w:pPr>
      <w:r>
        <w:t xml:space="preserve">(b) </w:t>
      </w:r>
      <w:r>
        <w:tab/>
        <w:t xml:space="preserve">The March 2014 comparative figures and 1 July 2014 opening balance figures have been changed to reflect more current information. </w:t>
      </w:r>
    </w:p>
    <w:p w:rsidR="00B03921" w:rsidRPr="00193E48" w:rsidRDefault="00B03921" w:rsidP="00016914">
      <w:pPr>
        <w:pStyle w:val="BodyText"/>
      </w:pPr>
    </w:p>
    <w:p w:rsidR="00B03921" w:rsidRDefault="00B03921">
      <w:pPr>
        <w:spacing w:after="0"/>
        <w:rPr>
          <w:rFonts w:ascii="Calibri" w:hAnsi="Calibri"/>
          <w:b/>
          <w:sz w:val="26"/>
          <w:szCs w:val="22"/>
        </w:rPr>
      </w:pPr>
      <w:r>
        <w:br w:type="page"/>
      </w:r>
    </w:p>
    <w:p w:rsidR="007F25E4" w:rsidRDefault="007F25E4" w:rsidP="00A45275">
      <w:pPr>
        <w:pStyle w:val="Heading2NotesContd"/>
      </w:pPr>
      <w:r w:rsidRPr="00F10B6E">
        <w:t>Note 13:</w:t>
      </w:r>
      <w:r w:rsidRPr="00F10B6E">
        <w:tab/>
        <w:t>Property, plant and equipment</w:t>
      </w:r>
      <w:r>
        <w:t xml:space="preserve"> </w:t>
      </w:r>
      <w:r w:rsidRPr="007F25E4">
        <w:rPr>
          <w:i/>
        </w:rPr>
        <w:t>(continued)</w:t>
      </w:r>
    </w:p>
    <w:p w:rsidR="00B03921" w:rsidRPr="00F10B6E" w:rsidRDefault="007F25E4" w:rsidP="007F25E4">
      <w:pPr>
        <w:pStyle w:val="Heading5"/>
      </w:pPr>
      <w:r w:rsidRPr="00F10B6E">
        <w:t xml:space="preserve"> </w:t>
      </w:r>
      <w:r w:rsidR="00B03921" w:rsidRPr="00F10B6E">
        <w:t>(c)</w:t>
      </w:r>
      <w:r w:rsidR="00B03921" w:rsidRPr="00F10B6E">
        <w:tab/>
        <w:t>Plant, equipment and vehicles, and infrastructure systems</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422780">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2013-14</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Opening</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1 713.8</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single" w:sz="6" w:space="0" w:color="auto"/>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Infrastructure systems</w:t>
            </w:r>
            <w:r w:rsidRPr="00B52D5F">
              <w:rPr>
                <w:rFonts w:eastAsiaTheme="minorEastAsia"/>
                <w:vertAlign w:val="superscript"/>
                <w:lang w:eastAsia="en-AU"/>
              </w:rPr>
              <w:t>(a)</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1 716.2</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1 766.7</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1 750.4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(452.2)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Accumulated depreciation</w:t>
            </w:r>
            <w:r w:rsidRPr="00B52D5F">
              <w:rPr>
                <w:rFonts w:eastAsiaTheme="minorEastAsia"/>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(468.4)</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(488.9)</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(496.4)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1 261.6</w:t>
            </w:r>
          </w:p>
        </w:tc>
        <w:tc>
          <w:tcPr>
            <w:tcW w:w="1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Infrastructure systems (written down value)</w:t>
            </w:r>
            <w:r w:rsidRPr="001D6299">
              <w:rPr>
                <w:rFonts w:eastAsiaTheme="minorEastAsia"/>
                <w:bCs/>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1 247.8</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1 277.8</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1 253.9</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5 883.6</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Plant, equipment and vehicles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5 876.1</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5 426.6</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6 201.7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(3 483.0)</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Accumulated depreciation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(3 495.2)</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(3 766.5)</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(3 970.9)</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436.1</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Leased plant, equipment and vehicles</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413.0</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513.3</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413.6</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(201.8)</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Accumulated depreciation</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(204.0)</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(230.5)</w:t>
            </w:r>
          </w:p>
        </w:tc>
        <w:tc>
          <w:tcPr>
            <w:tcW w:w="920"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(229.7)</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2 635.0</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single" w:sz="6"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Plant, equipment and vehicles (written down value)</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2 589.9</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1 943.0</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2 414.7</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3 896.6</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plant, equipment and vehicles, and infrastructure systems</w:t>
            </w:r>
            <w:r w:rsidRPr="001D6299">
              <w:rPr>
                <w:rFonts w:eastAsiaTheme="minorEastAsia"/>
                <w:bCs/>
                <w:vertAlign w:val="superscript"/>
                <w:lang w:eastAsia="en-AU"/>
              </w:rPr>
              <w:t>(a)</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3 837.7</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3 220.8</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3 668.6</w:t>
            </w:r>
          </w:p>
        </w:tc>
      </w:tr>
    </w:tbl>
    <w:p w:rsidR="00B03921" w:rsidRDefault="00B03921" w:rsidP="00016914">
      <w:pPr>
        <w:pStyle w:val="Notes"/>
      </w:pPr>
      <w:r>
        <w:t>Note:</w:t>
      </w:r>
    </w:p>
    <w:p w:rsidR="00B03921" w:rsidRDefault="00B03921" w:rsidP="00016914">
      <w:pPr>
        <w:pStyle w:val="Notes"/>
      </w:pPr>
      <w:r>
        <w:t xml:space="preserve">(a) </w:t>
      </w:r>
      <w:r>
        <w:tab/>
        <w:t xml:space="preserve">The March 2014 comparative figures and 1 July 2014 opening balance figures have been changed to reflect more current information. </w:t>
      </w:r>
    </w:p>
    <w:p w:rsidR="00B03921" w:rsidRDefault="00B03921" w:rsidP="00016914">
      <w:pPr>
        <w:pStyle w:val="BodyText"/>
      </w:pPr>
    </w:p>
    <w:p w:rsidR="00B03921" w:rsidRPr="00F10B6E" w:rsidRDefault="00B03921" w:rsidP="00016914">
      <w:pPr>
        <w:pStyle w:val="BodyText"/>
      </w:pPr>
    </w:p>
    <w:p w:rsidR="00B03921" w:rsidRDefault="00B03921" w:rsidP="00016914">
      <w:pPr>
        <w:pStyle w:val="Heading5"/>
      </w:pPr>
      <w:r w:rsidRPr="00F10B6E">
        <w:t>(d)</w:t>
      </w:r>
      <w:r w:rsidRPr="00F10B6E">
        <w:tab/>
        <w:t>Road networks and earthworks</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6D7242">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2013-14</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Opening</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37 834.4</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single" w:sz="6" w:space="0" w:color="auto"/>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Roads and roads infrastructure</w:t>
            </w:r>
            <w:r w:rsidRPr="00B52D5F">
              <w:rPr>
                <w:rFonts w:eastAsiaTheme="minorEastAsia"/>
                <w:vertAlign w:val="superscript"/>
                <w:lang w:eastAsia="en-AU"/>
              </w:rPr>
              <w:t>(a)</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37 890.9</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38 475.2</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42 653.7</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(15 639.2)</w:t>
            </w:r>
          </w:p>
        </w:tc>
        <w:tc>
          <w:tcPr>
            <w:tcW w:w="1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Accumulated depreciation</w:t>
            </w:r>
            <w:r w:rsidRPr="00B52D5F">
              <w:rPr>
                <w:rFonts w:eastAsiaTheme="minorEastAsia"/>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(15 787.1)</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(16 226.9)</w:t>
            </w:r>
          </w:p>
        </w:tc>
        <w:tc>
          <w:tcPr>
            <w:tcW w:w="920"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(18 343.4)</w:t>
            </w:r>
          </w:p>
        </w:tc>
      </w:tr>
      <w:tr w:rsidR="00B03921" w:rsidRPr="00B52D5F" w:rsidTr="00016914">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22 195.2</w:t>
            </w:r>
          </w:p>
        </w:tc>
        <w:tc>
          <w:tcPr>
            <w:tcW w:w="1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nil"/>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Roads (written down value)</w:t>
            </w:r>
            <w:r w:rsidRPr="001D6299">
              <w:rPr>
                <w:rFonts w:eastAsiaTheme="minorEastAsia"/>
                <w:bCs/>
                <w:vertAlign w:val="superscript"/>
                <w:lang w:eastAsia="en-AU"/>
              </w:rPr>
              <w:t>(a)</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22 103.8</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22 248.3</w:t>
            </w:r>
          </w:p>
        </w:tc>
        <w:tc>
          <w:tcPr>
            <w:tcW w:w="920"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24 310.3</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7 638.8</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nil"/>
              <w:left w:val="nil"/>
              <w:bottom w:val="single" w:sz="6"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Earthworks</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7 685.2</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7 685.2</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8 803.4</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29 834.0</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road networks and earthworks</w:t>
            </w:r>
            <w:r w:rsidRPr="001D6299">
              <w:rPr>
                <w:rFonts w:eastAsiaTheme="minorEastAsia"/>
                <w:bCs/>
                <w:vertAlign w:val="superscript"/>
                <w:lang w:eastAsia="en-AU"/>
              </w:rPr>
              <w:t>(a)</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29 789.0</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29 933.5</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33 113.6</w:t>
            </w:r>
          </w:p>
        </w:tc>
      </w:tr>
    </w:tbl>
    <w:p w:rsidR="00B03921" w:rsidRDefault="00B03921" w:rsidP="00016914">
      <w:pPr>
        <w:pStyle w:val="Notes"/>
      </w:pPr>
      <w:r>
        <w:t>Note:</w:t>
      </w:r>
    </w:p>
    <w:p w:rsidR="00B03921" w:rsidRDefault="00B03921" w:rsidP="00016914">
      <w:pPr>
        <w:pStyle w:val="Notes"/>
      </w:pPr>
      <w:r>
        <w:t xml:space="preserve">(a) </w:t>
      </w:r>
      <w:r>
        <w:tab/>
        <w:t xml:space="preserve">The March 2014 comparative figures and 1 July 2014 opening balance figures have been changed to reflect more current information. </w:t>
      </w:r>
    </w:p>
    <w:p w:rsidR="00B03921" w:rsidRPr="00F10B6E" w:rsidRDefault="00B03921" w:rsidP="00016914">
      <w:pPr>
        <w:pStyle w:val="BodyText"/>
      </w:pPr>
    </w:p>
    <w:p w:rsidR="00B03921" w:rsidRDefault="00B03921" w:rsidP="00016914">
      <w:pPr>
        <w:pStyle w:val="BodyText"/>
      </w:pPr>
    </w:p>
    <w:p w:rsidR="00B03921" w:rsidRDefault="00B03921" w:rsidP="00016914">
      <w:pPr>
        <w:pStyle w:val="Heading5"/>
      </w:pPr>
      <w:r w:rsidRPr="00F10B6E">
        <w:t>(</w:t>
      </w:r>
      <w:r>
        <w:t>e</w:t>
      </w:r>
      <w:r w:rsidRPr="00F10B6E">
        <w:t>)</w:t>
      </w:r>
      <w:r w:rsidRPr="00F10B6E">
        <w:tab/>
      </w:r>
      <w:r>
        <w:t>Cultural assets</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595E23">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2013-14</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Opening</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B03921" w:rsidRPr="00B52D5F" w:rsidTr="00016914">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5 633.8</w:t>
            </w:r>
          </w:p>
        </w:tc>
        <w:tc>
          <w:tcPr>
            <w:tcW w:w="1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single" w:sz="6" w:space="0" w:color="auto"/>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Cultural assets</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5 610.8</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5 618.9</w:t>
            </w:r>
          </w:p>
        </w:tc>
        <w:tc>
          <w:tcPr>
            <w:tcW w:w="920" w:type="dxa"/>
            <w:tcBorders>
              <w:top w:val="single" w:sz="6" w:space="0" w:color="auto"/>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5 626.9</w:t>
            </w:r>
          </w:p>
        </w:tc>
      </w:tr>
      <w:tr w:rsidR="00B03921" w:rsidRPr="00B52D5F" w:rsidTr="00016914">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(119.2)</w:t>
            </w:r>
          </w:p>
        </w:tc>
        <w:tc>
          <w:tcPr>
            <w:tcW w:w="120"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w:t>
            </w:r>
          </w:p>
        </w:tc>
        <w:tc>
          <w:tcPr>
            <w:tcW w:w="3960" w:type="dxa"/>
            <w:tcBorders>
              <w:top w:val="nil"/>
              <w:left w:val="nil"/>
              <w:bottom w:val="single" w:sz="6" w:space="0" w:color="auto"/>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Accumulated depreciation</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(121.3)</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(135.3)</w:t>
            </w:r>
          </w:p>
        </w:tc>
        <w:tc>
          <w:tcPr>
            <w:tcW w:w="920" w:type="dxa"/>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(146.8)</w:t>
            </w:r>
          </w:p>
        </w:tc>
      </w:tr>
      <w:tr w:rsidR="00B03921" w:rsidRPr="00B52D5F" w:rsidTr="00016914">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5 514.6</w:t>
            </w:r>
          </w:p>
        </w:tc>
        <w:tc>
          <w:tcPr>
            <w:tcW w:w="1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 xml:space="preserve">Total cultural assets </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5 489.5</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5 483.5</w:t>
            </w:r>
          </w:p>
        </w:tc>
        <w:tc>
          <w:tcPr>
            <w:tcW w:w="920" w:type="dxa"/>
            <w:tcBorders>
              <w:top w:val="single" w:sz="6" w:space="0" w:color="auto"/>
              <w:left w:val="nil"/>
              <w:bottom w:val="single" w:sz="12" w:space="0" w:color="000000"/>
              <w:right w:val="nil"/>
            </w:tcBorders>
            <w:shd w:val="clear" w:color="auto"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5 480.0</w:t>
            </w:r>
          </w:p>
        </w:tc>
      </w:tr>
    </w:tbl>
    <w:p w:rsidR="00B03921" w:rsidRDefault="00B03921" w:rsidP="00016914">
      <w:pPr>
        <w:pStyle w:val="Heading2Notes"/>
      </w:pPr>
      <w:bookmarkStart w:id="275" w:name="_Toc418102760"/>
      <w:bookmarkStart w:id="276" w:name="_Toc418191926"/>
      <w:bookmarkStart w:id="277" w:name="_Toc418274853"/>
      <w:bookmarkStart w:id="278" w:name="_Toc418274898"/>
      <w:bookmarkStart w:id="279" w:name="_Toc418276644"/>
      <w:r w:rsidRPr="00F10B6E">
        <w:t>Note 14:</w:t>
      </w:r>
      <w:r w:rsidRPr="00F10B6E">
        <w:tab/>
        <w:t>Other non</w:t>
      </w:r>
      <w:r w:rsidRPr="00F10B6E">
        <w:noBreakHyphen/>
        <w:t>financial assets</w:t>
      </w:r>
      <w:bookmarkEnd w:id="198"/>
      <w:bookmarkEnd w:id="199"/>
      <w:bookmarkEnd w:id="200"/>
      <w:bookmarkEnd w:id="275"/>
      <w:bookmarkEnd w:id="276"/>
      <w:bookmarkEnd w:id="277"/>
      <w:bookmarkEnd w:id="278"/>
      <w:bookmarkEnd w:id="27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2D6F14" w:rsidTr="00AC056B">
        <w:trPr>
          <w:cantSplit/>
          <w:trHeight w:val="762"/>
          <w:tblHeader/>
        </w:trPr>
        <w:tc>
          <w:tcPr>
            <w:tcW w:w="920" w:type="dxa"/>
            <w:tcBorders>
              <w:top w:val="single" w:sz="6" w:space="0" w:color="auto"/>
              <w:left w:val="single" w:sz="6" w:space="0" w:color="auto"/>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2013-14</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Actual</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p>
        </w:tc>
        <w:tc>
          <w:tcPr>
            <w:tcW w:w="9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Opening</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2014-15</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Actual</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Revised</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budget</w:t>
            </w:r>
          </w:p>
        </w:tc>
      </w:tr>
      <w:tr w:rsidR="00B03921" w:rsidRPr="002D6F14" w:rsidTr="00016914">
        <w:trPr>
          <w:cantSplit/>
        </w:trPr>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1 108.2</w:t>
            </w:r>
          </w:p>
        </w:tc>
        <w:tc>
          <w:tcPr>
            <w:tcW w:w="1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single" w:sz="6" w:space="0" w:color="auto"/>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Intangible produced assets </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1 375.4</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1 398.5</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1 396.3</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(522.4)</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i/>
                <w:iCs/>
                <w:sz w:val="20"/>
                <w:lang w:eastAsia="en-AU"/>
              </w:rPr>
            </w:pPr>
            <w:r w:rsidRPr="002D6F14">
              <w:rPr>
                <w:rFonts w:ascii="Calibri" w:eastAsiaTheme="minorEastAsia" w:hAnsi="Calibri" w:cs="Calibri"/>
                <w:i/>
                <w:iCs/>
                <w:sz w:val="20"/>
                <w:lang w:eastAsia="en-AU"/>
              </w:rPr>
              <w:t xml:space="preserve"> </w:t>
            </w:r>
          </w:p>
        </w:tc>
        <w:tc>
          <w:tcPr>
            <w:tcW w:w="396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i/>
                <w:iCs/>
                <w:sz w:val="20"/>
                <w:lang w:eastAsia="en-AU"/>
              </w:rPr>
            </w:pPr>
            <w:r w:rsidRPr="002D6F14">
              <w:rPr>
                <w:rFonts w:ascii="Calibri" w:eastAsiaTheme="minorEastAsia" w:hAnsi="Calibri" w:cs="Calibri"/>
                <w:i/>
                <w:iCs/>
                <w:sz w:val="20"/>
                <w:lang w:eastAsia="en-AU"/>
              </w:rPr>
              <w:t>Accumulated depreciation</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(603.7)</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(699.5)</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(673.4)</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136.7</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Intangible non-produced assets </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0.3</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41.8</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9.2</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(102.1)</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i/>
                <w:iCs/>
                <w:sz w:val="20"/>
                <w:lang w:eastAsia="en-AU"/>
              </w:rPr>
            </w:pPr>
            <w:r w:rsidRPr="002D6F14">
              <w:rPr>
                <w:rFonts w:ascii="Calibri" w:eastAsiaTheme="minorEastAsia" w:hAnsi="Calibri" w:cs="Calibri"/>
                <w:i/>
                <w:iCs/>
                <w:sz w:val="20"/>
                <w:lang w:eastAsia="en-AU"/>
              </w:rPr>
              <w:t xml:space="preserve"> </w:t>
            </w:r>
          </w:p>
        </w:tc>
        <w:tc>
          <w:tcPr>
            <w:tcW w:w="3960" w:type="dxa"/>
            <w:tcBorders>
              <w:top w:val="nil"/>
              <w:left w:val="nil"/>
              <w:bottom w:val="nil"/>
              <w:right w:val="nil"/>
            </w:tcBorders>
            <w:shd w:val="solid" w:color="FFFFFF" w:fill="auto"/>
          </w:tcPr>
          <w:p w:rsidR="00B03921" w:rsidRPr="002D6F14" w:rsidRDefault="00B03921" w:rsidP="00016914">
            <w:pPr>
              <w:autoSpaceDE w:val="0"/>
              <w:autoSpaceDN w:val="0"/>
              <w:adjustRightInd w:val="0"/>
              <w:spacing w:after="0"/>
              <w:rPr>
                <w:rFonts w:ascii="Calibri" w:eastAsiaTheme="minorEastAsia" w:hAnsi="Calibri" w:cs="Calibri"/>
                <w:i/>
                <w:iCs/>
                <w:sz w:val="20"/>
                <w:lang w:eastAsia="en-AU"/>
              </w:rPr>
            </w:pPr>
            <w:r w:rsidRPr="002D6F14">
              <w:rPr>
                <w:rFonts w:ascii="Calibri" w:eastAsiaTheme="minorEastAsia" w:hAnsi="Calibri" w:cs="Calibri"/>
                <w:i/>
                <w:iCs/>
                <w:sz w:val="20"/>
                <w:lang w:eastAsia="en-AU"/>
              </w:rPr>
              <w:t>Accumulated depreciation</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(0.1)</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(0.9)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(8.5)</w:t>
            </w:r>
          </w:p>
        </w:tc>
      </w:tr>
      <w:tr w:rsidR="00B03921" w:rsidRPr="002D6F14" w:rsidTr="00016914">
        <w:trPr>
          <w:cantSplit/>
        </w:trPr>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620.3</w:t>
            </w:r>
          </w:p>
        </w:tc>
        <w:tc>
          <w:tcPr>
            <w:tcW w:w="1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3960" w:type="dxa"/>
            <w:tcBorders>
              <w:top w:val="single" w:sz="6" w:space="0" w:color="auto"/>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Total intangibles </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772.0</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740.0</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723.6</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156.3</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Investment properties</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137.3</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129.9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139.3</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3.5</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Biological assets</w:t>
            </w:r>
            <w:r w:rsidRPr="002D6F14">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4.4</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11.2</w:t>
            </w:r>
          </w:p>
        </w:tc>
      </w:tr>
      <w:tr w:rsidR="00B03921" w:rsidRPr="002D6F14" w:rsidTr="00016914">
        <w:trPr>
          <w:cantSplit/>
        </w:trPr>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365.8</w:t>
            </w:r>
          </w:p>
        </w:tc>
        <w:tc>
          <w:tcPr>
            <w:tcW w:w="1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Other assets</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290.6</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450.8</w:t>
            </w:r>
          </w:p>
        </w:tc>
        <w:tc>
          <w:tcPr>
            <w:tcW w:w="9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334.4</w:t>
            </w:r>
          </w:p>
        </w:tc>
      </w:tr>
      <w:tr w:rsidR="00B03921" w:rsidRPr="002D6F14" w:rsidTr="00016914">
        <w:trPr>
          <w:cantSplit/>
        </w:trPr>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1 145.9</w:t>
            </w:r>
          </w:p>
        </w:tc>
        <w:tc>
          <w:tcPr>
            <w:tcW w:w="1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 other non-financial assets</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1 204.8</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1 325.0</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1 208.5</w:t>
            </w:r>
          </w:p>
        </w:tc>
      </w:tr>
    </w:tbl>
    <w:p w:rsidR="00B03921" w:rsidRDefault="00B03921" w:rsidP="00016914">
      <w:pPr>
        <w:pStyle w:val="Notes"/>
      </w:pPr>
      <w:r>
        <w:t xml:space="preserve">Note: </w:t>
      </w:r>
    </w:p>
    <w:p w:rsidR="00B03921" w:rsidRDefault="00B03921" w:rsidP="00016914">
      <w:pPr>
        <w:pStyle w:val="Notes"/>
      </w:pPr>
      <w:r>
        <w:t xml:space="preserve">(a) </w:t>
      </w:r>
      <w:r>
        <w:tab/>
        <w:t>The majority of biological assets comprises commercial forests and also includes any living animal, plant or agricultural produce, which is the harvested product of biological assets.</w:t>
      </w:r>
    </w:p>
    <w:p w:rsidR="00B03921" w:rsidRDefault="00B03921" w:rsidP="00016914">
      <w:pPr>
        <w:pStyle w:val="BodyText"/>
      </w:pPr>
    </w:p>
    <w:p w:rsidR="00B03921" w:rsidRDefault="00B03921" w:rsidP="00016914">
      <w:pPr>
        <w:pStyle w:val="BodyText"/>
      </w:pPr>
    </w:p>
    <w:p w:rsidR="00B03921" w:rsidRDefault="00B03921" w:rsidP="00016914">
      <w:pPr>
        <w:pStyle w:val="Heading2Notes"/>
      </w:pPr>
      <w:bookmarkStart w:id="280" w:name="_Toc418102761"/>
      <w:bookmarkStart w:id="281" w:name="_Toc418191927"/>
      <w:bookmarkStart w:id="282" w:name="_Toc418274854"/>
      <w:bookmarkStart w:id="283" w:name="_Toc418274899"/>
      <w:bookmarkStart w:id="284" w:name="_Toc418276645"/>
      <w:r>
        <w:t>Note 15</w:t>
      </w:r>
      <w:r w:rsidRPr="00E1152F">
        <w:t>:</w:t>
      </w:r>
      <w:r w:rsidRPr="00E1152F">
        <w:tab/>
      </w:r>
      <w:r>
        <w:t>Payables</w:t>
      </w:r>
      <w:bookmarkEnd w:id="280"/>
      <w:bookmarkEnd w:id="281"/>
      <w:bookmarkEnd w:id="282"/>
      <w:bookmarkEnd w:id="283"/>
      <w:bookmarkEnd w:id="284"/>
    </w:p>
    <w:p w:rsidR="00B03921" w:rsidRDefault="00B03921" w:rsidP="00016914">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B52D5F" w:rsidTr="006566B5">
        <w:trPr>
          <w:trHeight w:val="747"/>
          <w:tblHeader/>
        </w:trPr>
        <w:tc>
          <w:tcPr>
            <w:tcW w:w="920" w:type="dxa"/>
            <w:tcBorders>
              <w:top w:val="single" w:sz="6" w:space="0" w:color="auto"/>
              <w:left w:val="single" w:sz="6" w:space="0" w:color="auto"/>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2013-14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31 </w:t>
            </w:r>
            <w:r w:rsidRPr="00B52D5F">
              <w:rPr>
                <w:rFonts w:eastAsiaTheme="minorEastAsia" w:cs="Calibri"/>
                <w:iCs/>
                <w:color w:val="FFFFFF"/>
                <w:lang w:eastAsia="en-AU"/>
              </w:rPr>
              <w:t>Mar</w:t>
            </w:r>
          </w:p>
        </w:tc>
        <w:tc>
          <w:tcPr>
            <w:tcW w:w="1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B52D5F" w:rsidRDefault="00F6159C" w:rsidP="00016914">
            <w:pPr>
              <w:pStyle w:val="Tabletext"/>
              <w:rPr>
                <w:rFonts w:eastAsiaTheme="minorEastAsia"/>
                <w:i/>
                <w:lang w:eastAsia="en-AU"/>
              </w:rPr>
            </w:pP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 xml:space="preserve">Opening </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2014-15</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Actual</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Default="00F6159C" w:rsidP="00016914">
            <w:pPr>
              <w:pStyle w:val="Tabletextheading"/>
              <w:rPr>
                <w:rFonts w:eastAsiaTheme="minorEastAsia"/>
                <w:color w:val="FFFFFF"/>
                <w:lang w:eastAsia="en-AU"/>
              </w:rPr>
            </w:pP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Revised</w:t>
            </w:r>
          </w:p>
          <w:p w:rsidR="00F6159C" w:rsidRPr="00B52D5F" w:rsidRDefault="00F6159C" w:rsidP="00016914">
            <w:pPr>
              <w:pStyle w:val="Tabletextheading"/>
              <w:rPr>
                <w:rFonts w:eastAsiaTheme="minorEastAsia"/>
                <w:color w:val="FFFFFF"/>
                <w:lang w:eastAsia="en-AU"/>
              </w:rPr>
            </w:pPr>
            <w:r w:rsidRPr="00B52D5F">
              <w:rPr>
                <w:rFonts w:eastAsiaTheme="minorEastAsia"/>
                <w:color w:val="FFFFFF"/>
                <w:lang w:eastAsia="en-AU"/>
              </w:rPr>
              <w:t>budget</w:t>
            </w:r>
          </w:p>
        </w:tc>
      </w:tr>
      <w:tr w:rsidR="00F6159C" w:rsidRPr="00B52D5F" w:rsidTr="009D0DE8">
        <w:tc>
          <w:tcPr>
            <w:tcW w:w="920" w:type="dxa"/>
            <w:tcBorders>
              <w:top w:val="single" w:sz="6" w:space="0" w:color="auto"/>
              <w:left w:val="nil"/>
              <w:bottom w:val="nil"/>
              <w:right w:val="nil"/>
            </w:tcBorders>
            <w:shd w:val="solid" w:color="FFFFFF" w:fill="auto"/>
          </w:tcPr>
          <w:p w:rsidR="00F6159C" w:rsidRPr="00B52D5F" w:rsidRDefault="00F6159C" w:rsidP="00016914">
            <w:pPr>
              <w:pStyle w:val="TableofFigures"/>
              <w:rPr>
                <w:rFonts w:eastAsiaTheme="minorEastAsia"/>
                <w:lang w:eastAsia="en-AU"/>
              </w:rPr>
            </w:pPr>
          </w:p>
        </w:tc>
        <w:tc>
          <w:tcPr>
            <w:tcW w:w="120" w:type="dxa"/>
            <w:tcBorders>
              <w:top w:val="single" w:sz="6" w:space="0" w:color="auto"/>
              <w:left w:val="nil"/>
              <w:bottom w:val="nil"/>
              <w:right w:val="nil"/>
            </w:tcBorders>
            <w:shd w:val="solid" w:color="FFFFFF" w:fill="auto"/>
          </w:tcPr>
          <w:p w:rsidR="00F6159C" w:rsidRPr="00B52D5F" w:rsidRDefault="00F6159C" w:rsidP="00016914">
            <w:pPr>
              <w:pStyle w:val="TableofFigures"/>
              <w:rPr>
                <w:rFonts w:eastAsiaTheme="minorEastAsia"/>
                <w:lang w:eastAsia="en-AU"/>
              </w:rPr>
            </w:pPr>
          </w:p>
        </w:tc>
        <w:tc>
          <w:tcPr>
            <w:tcW w:w="6720" w:type="dxa"/>
            <w:gridSpan w:val="4"/>
            <w:tcBorders>
              <w:top w:val="single" w:sz="6" w:space="0" w:color="auto"/>
              <w:left w:val="nil"/>
              <w:bottom w:val="nil"/>
              <w:right w:val="nil"/>
            </w:tcBorders>
            <w:shd w:val="solid" w:color="FFFFFF" w:fill="auto"/>
          </w:tcPr>
          <w:p w:rsidR="00F6159C" w:rsidRPr="00B52D5F" w:rsidRDefault="00F6159C" w:rsidP="00F6159C">
            <w:pPr>
              <w:pStyle w:val="TableofFigures"/>
              <w:jc w:val="left"/>
              <w:rPr>
                <w:rFonts w:eastAsiaTheme="minorEastAsia"/>
                <w:lang w:eastAsia="en-AU"/>
              </w:rPr>
            </w:pPr>
            <w:r w:rsidRPr="00B52D5F">
              <w:rPr>
                <w:rFonts w:eastAsiaTheme="minorEastAsia"/>
                <w:b/>
                <w:bCs/>
                <w:lang w:eastAsia="en-AU"/>
              </w:rPr>
              <w:t>Current payables</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860.4</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Accounts payable</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1 035.8</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1 411.3</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1 003.4</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1 712.3</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Accrued expenses</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2 369.4</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1 776.6</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2 181.3</w:t>
            </w:r>
          </w:p>
        </w:tc>
      </w:tr>
      <w:tr w:rsidR="00B03921" w:rsidRPr="00B52D5F" w:rsidTr="00016914">
        <w:tc>
          <w:tcPr>
            <w:tcW w:w="920"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845.6</w:t>
            </w:r>
          </w:p>
        </w:tc>
        <w:tc>
          <w:tcPr>
            <w:tcW w:w="120"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Unearned income</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627.7</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1 088.2</w:t>
            </w:r>
          </w:p>
        </w:tc>
        <w:tc>
          <w:tcPr>
            <w:tcW w:w="920" w:type="dxa"/>
            <w:tcBorders>
              <w:top w:val="nil"/>
              <w:left w:val="nil"/>
              <w:bottom w:val="single" w:sz="6" w:space="0" w:color="auto"/>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651.9</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3 459.8</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b/>
                <w:lang w:eastAsia="en-AU"/>
              </w:rPr>
            </w:pPr>
          </w:p>
        </w:tc>
        <w:tc>
          <w:tcPr>
            <w:tcW w:w="3960" w:type="dxa"/>
            <w:tcBorders>
              <w:top w:val="single" w:sz="6" w:space="0" w:color="auto"/>
              <w:left w:val="nil"/>
              <w:bottom w:val="nil"/>
              <w:right w:val="nil"/>
            </w:tcBorders>
            <w:shd w:val="solid" w:color="FFFFFF"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current payables</w:t>
            </w:r>
          </w:p>
        </w:tc>
        <w:tc>
          <w:tcPr>
            <w:tcW w:w="920" w:type="dxa"/>
            <w:tcBorders>
              <w:top w:val="single" w:sz="6" w:space="0" w:color="auto"/>
              <w:left w:val="nil"/>
              <w:bottom w:val="nil"/>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4 066.5</w:t>
            </w:r>
          </w:p>
        </w:tc>
        <w:tc>
          <w:tcPr>
            <w:tcW w:w="920" w:type="dxa"/>
            <w:tcBorders>
              <w:top w:val="single" w:sz="6" w:space="0" w:color="auto"/>
              <w:left w:val="nil"/>
              <w:bottom w:val="nil"/>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4 316.6</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b/>
                <w:lang w:eastAsia="en-AU"/>
              </w:rPr>
            </w:pPr>
            <w:r w:rsidRPr="00B52D5F">
              <w:rPr>
                <w:rFonts w:eastAsiaTheme="minorEastAsia"/>
                <w:b/>
                <w:lang w:eastAsia="en-AU"/>
              </w:rPr>
              <w:t>3 867.4</w:t>
            </w:r>
          </w:p>
        </w:tc>
      </w:tr>
      <w:tr w:rsidR="00F6159C" w:rsidRPr="00B52D5F" w:rsidTr="00FF037C">
        <w:tc>
          <w:tcPr>
            <w:tcW w:w="920" w:type="dxa"/>
            <w:tcBorders>
              <w:top w:val="nil"/>
              <w:left w:val="nil"/>
              <w:bottom w:val="nil"/>
              <w:right w:val="nil"/>
            </w:tcBorders>
            <w:shd w:val="solid" w:color="FFFFFF" w:fill="auto"/>
          </w:tcPr>
          <w:p w:rsidR="00F6159C" w:rsidRPr="00B52D5F" w:rsidRDefault="00F6159C" w:rsidP="00016914">
            <w:pPr>
              <w:pStyle w:val="TableofFigures"/>
              <w:rPr>
                <w:rFonts w:eastAsiaTheme="minorEastAsia"/>
                <w:lang w:eastAsia="en-AU"/>
              </w:rPr>
            </w:pPr>
          </w:p>
        </w:tc>
        <w:tc>
          <w:tcPr>
            <w:tcW w:w="120" w:type="dxa"/>
            <w:tcBorders>
              <w:top w:val="nil"/>
              <w:left w:val="nil"/>
              <w:bottom w:val="nil"/>
              <w:right w:val="nil"/>
            </w:tcBorders>
            <w:shd w:val="solid" w:color="FFFFFF" w:fill="auto"/>
          </w:tcPr>
          <w:p w:rsidR="00F6159C" w:rsidRPr="00B52D5F" w:rsidRDefault="00F6159C" w:rsidP="00016914">
            <w:pPr>
              <w:pStyle w:val="TableofFigures"/>
              <w:rPr>
                <w:rFonts w:eastAsiaTheme="minorEastAsia"/>
                <w:lang w:eastAsia="en-AU"/>
              </w:rPr>
            </w:pPr>
          </w:p>
        </w:tc>
        <w:tc>
          <w:tcPr>
            <w:tcW w:w="6720" w:type="dxa"/>
            <w:gridSpan w:val="4"/>
            <w:tcBorders>
              <w:top w:val="nil"/>
              <w:left w:val="nil"/>
              <w:bottom w:val="nil"/>
              <w:right w:val="nil"/>
            </w:tcBorders>
            <w:shd w:val="solid" w:color="FFFFFF" w:fill="auto"/>
          </w:tcPr>
          <w:p w:rsidR="00F6159C" w:rsidRPr="00B52D5F" w:rsidRDefault="00F6159C" w:rsidP="00F6159C">
            <w:pPr>
              <w:pStyle w:val="TableofFigures"/>
              <w:jc w:val="left"/>
              <w:rPr>
                <w:rFonts w:eastAsiaTheme="minorEastAsia"/>
                <w:lang w:eastAsia="en-AU"/>
              </w:rPr>
            </w:pPr>
            <w:r w:rsidRPr="00B52D5F">
              <w:rPr>
                <w:rFonts w:eastAsiaTheme="minorEastAsia"/>
                <w:b/>
                <w:bCs/>
                <w:lang w:eastAsia="en-AU"/>
              </w:rPr>
              <w:t>Non-current payables</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88.3</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Accounts payable</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88.1</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83.2</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79.8</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271.1</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Accrued expenses</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155.5</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159.1</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96.5</w:t>
            </w:r>
          </w:p>
        </w:tc>
      </w:tr>
      <w:tr w:rsidR="00B03921" w:rsidRPr="00B52D5F" w:rsidTr="00016914">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1 472.6</w:t>
            </w:r>
          </w:p>
        </w:tc>
        <w:tc>
          <w:tcPr>
            <w:tcW w:w="1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p>
        </w:tc>
        <w:tc>
          <w:tcPr>
            <w:tcW w:w="396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Unearned income</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1 436.4</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1 817.0</w:t>
            </w:r>
          </w:p>
        </w:tc>
        <w:tc>
          <w:tcPr>
            <w:tcW w:w="920" w:type="dxa"/>
            <w:tcBorders>
              <w:top w:val="nil"/>
              <w:left w:val="nil"/>
              <w:bottom w:val="nil"/>
              <w:right w:val="nil"/>
            </w:tcBorders>
            <w:shd w:val="solid" w:color="FFFFFF"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1 820.5</w:t>
            </w:r>
          </w:p>
        </w:tc>
      </w:tr>
      <w:tr w:rsidR="00B03921" w:rsidRPr="00B52D5F" w:rsidTr="00016914">
        <w:tc>
          <w:tcPr>
            <w:tcW w:w="92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1 832.1</w:t>
            </w:r>
          </w:p>
        </w:tc>
        <w:tc>
          <w:tcPr>
            <w:tcW w:w="12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ofFigures"/>
              <w:rPr>
                <w:rFonts w:eastAsiaTheme="minorEastAsia"/>
                <w:b/>
                <w:lang w:eastAsia="en-AU"/>
              </w:rPr>
            </w:pPr>
          </w:p>
        </w:tc>
        <w:tc>
          <w:tcPr>
            <w:tcW w:w="396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non-current payables</w:t>
            </w:r>
          </w:p>
        </w:tc>
        <w:tc>
          <w:tcPr>
            <w:tcW w:w="92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1 680.0</w:t>
            </w:r>
          </w:p>
        </w:tc>
        <w:tc>
          <w:tcPr>
            <w:tcW w:w="92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2 059.2</w:t>
            </w:r>
          </w:p>
        </w:tc>
        <w:tc>
          <w:tcPr>
            <w:tcW w:w="92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1 996.8</w:t>
            </w:r>
          </w:p>
        </w:tc>
      </w:tr>
      <w:tr w:rsidR="00B03921" w:rsidRPr="00B52D5F" w:rsidTr="00016914">
        <w:tc>
          <w:tcPr>
            <w:tcW w:w="92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5 291.8</w:t>
            </w:r>
          </w:p>
        </w:tc>
        <w:tc>
          <w:tcPr>
            <w:tcW w:w="12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ofFigures"/>
              <w:rPr>
                <w:rFonts w:eastAsiaTheme="minorEastAsia"/>
                <w:b/>
                <w:lang w:eastAsia="en-AU"/>
              </w:rPr>
            </w:pPr>
          </w:p>
        </w:tc>
        <w:tc>
          <w:tcPr>
            <w:tcW w:w="396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payables</w:t>
            </w:r>
          </w:p>
        </w:tc>
        <w:tc>
          <w:tcPr>
            <w:tcW w:w="92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5 746.5</w:t>
            </w:r>
          </w:p>
        </w:tc>
        <w:tc>
          <w:tcPr>
            <w:tcW w:w="92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6 375.8</w:t>
            </w:r>
          </w:p>
        </w:tc>
        <w:tc>
          <w:tcPr>
            <w:tcW w:w="92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5 864.2</w:t>
            </w:r>
          </w:p>
        </w:tc>
      </w:tr>
    </w:tbl>
    <w:p w:rsidR="00B03921" w:rsidRDefault="00B03921" w:rsidP="00016914">
      <w:pPr>
        <w:pStyle w:val="BodyText"/>
      </w:pP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Default="00B03921" w:rsidP="00016914">
      <w:pPr>
        <w:pStyle w:val="Heading2Notes"/>
      </w:pPr>
      <w:bookmarkStart w:id="285" w:name="_Toc418102762"/>
      <w:bookmarkStart w:id="286" w:name="_Toc418191928"/>
      <w:bookmarkStart w:id="287" w:name="_Toc418274855"/>
      <w:bookmarkStart w:id="288" w:name="_Toc418274900"/>
      <w:bookmarkStart w:id="289" w:name="_Toc418276646"/>
      <w:r w:rsidRPr="00F10B6E">
        <w:t>Note 1</w:t>
      </w:r>
      <w:r>
        <w:t>6</w:t>
      </w:r>
      <w:r w:rsidRPr="00F10B6E">
        <w:t>:</w:t>
      </w:r>
      <w:r w:rsidRPr="00F10B6E">
        <w:tab/>
        <w:t>Employee benefits</w:t>
      </w:r>
      <w:bookmarkEnd w:id="201"/>
      <w:bookmarkEnd w:id="202"/>
      <w:bookmarkEnd w:id="203"/>
      <w:bookmarkEnd w:id="204"/>
      <w:bookmarkEnd w:id="205"/>
      <w:bookmarkEnd w:id="285"/>
      <w:bookmarkEnd w:id="286"/>
      <w:bookmarkEnd w:id="287"/>
      <w:bookmarkEnd w:id="288"/>
      <w:bookmarkEnd w:id="289"/>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F6159C" w:rsidRPr="002D6F14" w:rsidTr="008A071F">
        <w:trPr>
          <w:cantSplit/>
          <w:trHeight w:val="747"/>
          <w:tblHeader/>
        </w:trPr>
        <w:tc>
          <w:tcPr>
            <w:tcW w:w="920" w:type="dxa"/>
            <w:tcBorders>
              <w:top w:val="single" w:sz="6" w:space="0" w:color="auto"/>
              <w:left w:val="single" w:sz="6" w:space="0" w:color="auto"/>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2013-14</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Actual</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31 Mar</w:t>
            </w:r>
          </w:p>
        </w:tc>
        <w:tc>
          <w:tcPr>
            <w:tcW w:w="1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p>
        </w:tc>
        <w:tc>
          <w:tcPr>
            <w:tcW w:w="3960" w:type="dxa"/>
            <w:tcBorders>
              <w:top w:val="single" w:sz="6" w:space="0" w:color="auto"/>
              <w:left w:val="nil"/>
              <w:right w:val="nil"/>
            </w:tcBorders>
            <w:shd w:val="clear" w:color="000000" w:fill="000000"/>
          </w:tcPr>
          <w:p w:rsidR="00F6159C" w:rsidRPr="002D6F14" w:rsidRDefault="00F6159C" w:rsidP="00F6159C">
            <w:pPr>
              <w:pStyle w:val="Tabletextheading"/>
              <w:jc w:val="left"/>
              <w:rPr>
                <w:rFonts w:eastAsiaTheme="minorEastAsia"/>
                <w:color w:val="FFFFFF"/>
                <w:lang w:eastAsia="en-AU"/>
              </w:rPr>
            </w:pPr>
          </w:p>
        </w:tc>
        <w:tc>
          <w:tcPr>
            <w:tcW w:w="9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Opening</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1 Jul</w:t>
            </w:r>
          </w:p>
        </w:tc>
        <w:tc>
          <w:tcPr>
            <w:tcW w:w="920" w:type="dxa"/>
            <w:tcBorders>
              <w:top w:val="single" w:sz="6" w:space="0" w:color="auto"/>
              <w:left w:val="nil"/>
              <w:right w:val="nil"/>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2014-15</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Actual</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31 Mar</w:t>
            </w:r>
          </w:p>
        </w:tc>
        <w:tc>
          <w:tcPr>
            <w:tcW w:w="920" w:type="dxa"/>
            <w:tcBorders>
              <w:top w:val="single" w:sz="6" w:space="0" w:color="auto"/>
              <w:left w:val="nil"/>
              <w:right w:val="single" w:sz="6" w:space="0" w:color="auto"/>
            </w:tcBorders>
            <w:shd w:val="clear" w:color="000000" w:fill="000000"/>
          </w:tcPr>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 xml:space="preserve"> </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Revised</w:t>
            </w:r>
          </w:p>
          <w:p w:rsidR="00F6159C" w:rsidRPr="002D6F14" w:rsidRDefault="00F6159C" w:rsidP="00016914">
            <w:pPr>
              <w:pStyle w:val="Tabletextheading"/>
              <w:rPr>
                <w:rFonts w:eastAsiaTheme="minorEastAsia"/>
                <w:color w:val="FFFFFF"/>
                <w:lang w:eastAsia="en-AU"/>
              </w:rPr>
            </w:pPr>
            <w:r w:rsidRPr="002D6F14">
              <w:rPr>
                <w:rFonts w:eastAsiaTheme="minorEastAsia"/>
                <w:color w:val="FFFFFF"/>
                <w:lang w:eastAsia="en-AU"/>
              </w:rPr>
              <w:t>budget</w:t>
            </w:r>
          </w:p>
        </w:tc>
      </w:tr>
      <w:tr w:rsidR="00F6159C" w:rsidRPr="002D6F14" w:rsidTr="0056114B">
        <w:trPr>
          <w:cantSplit/>
        </w:trPr>
        <w:tc>
          <w:tcPr>
            <w:tcW w:w="920" w:type="dxa"/>
            <w:tcBorders>
              <w:top w:val="single" w:sz="6" w:space="0" w:color="auto"/>
              <w:left w:val="nil"/>
              <w:bottom w:val="nil"/>
              <w:right w:val="nil"/>
            </w:tcBorders>
          </w:tcPr>
          <w:p w:rsidR="00F6159C" w:rsidRPr="002D6F14" w:rsidRDefault="00F6159C"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120" w:type="dxa"/>
            <w:tcBorders>
              <w:top w:val="single" w:sz="6" w:space="0" w:color="auto"/>
              <w:left w:val="nil"/>
              <w:bottom w:val="nil"/>
              <w:right w:val="nil"/>
            </w:tcBorders>
          </w:tcPr>
          <w:p w:rsidR="00F6159C" w:rsidRPr="002D6F14" w:rsidRDefault="00F6159C"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6720" w:type="dxa"/>
            <w:gridSpan w:val="4"/>
            <w:tcBorders>
              <w:top w:val="single" w:sz="6" w:space="0" w:color="auto"/>
              <w:left w:val="nil"/>
              <w:bottom w:val="nil"/>
              <w:right w:val="nil"/>
            </w:tcBorders>
          </w:tcPr>
          <w:p w:rsidR="00F6159C" w:rsidRPr="002D6F14" w:rsidRDefault="00F6159C" w:rsidP="00F6159C">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b/>
                <w:bCs/>
                <w:sz w:val="20"/>
                <w:lang w:eastAsia="en-AU"/>
              </w:rPr>
              <w:t>Current</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1 677.4</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2D6F14">
              <w:rPr>
                <w:rFonts w:ascii="Calibri" w:eastAsiaTheme="minorEastAsia" w:hAnsi="Calibri" w:cs="Calibri"/>
                <w:sz w:val="20"/>
                <w:lang w:eastAsia="en-AU"/>
              </w:rPr>
              <w:t>Accrued salaries and wages</w:t>
            </w:r>
            <w:r w:rsidRPr="002D6F14">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1 575.9</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1 707.7</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1 625.4</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2 721.8</w:t>
            </w:r>
          </w:p>
        </w:tc>
        <w:tc>
          <w:tcPr>
            <w:tcW w:w="1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Long service leave</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3 050.4</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3 217.1</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3 169.9</w:t>
            </w:r>
          </w:p>
        </w:tc>
      </w:tr>
      <w:tr w:rsidR="00B03921" w:rsidRPr="002D6F14" w:rsidTr="00016914">
        <w:trPr>
          <w:cantSplit/>
        </w:trPr>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4 399.2</w:t>
            </w:r>
          </w:p>
        </w:tc>
        <w:tc>
          <w:tcPr>
            <w:tcW w:w="120" w:type="dxa"/>
            <w:tcBorders>
              <w:top w:val="nil"/>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3960" w:type="dxa"/>
            <w:tcBorders>
              <w:top w:val="single" w:sz="6" w:space="0" w:color="auto"/>
              <w:left w:val="nil"/>
              <w:bottom w:val="nil"/>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 current employee benefits</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4 626.3</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4 924.9</w:t>
            </w:r>
          </w:p>
        </w:tc>
        <w:tc>
          <w:tcPr>
            <w:tcW w:w="920" w:type="dxa"/>
            <w:tcBorders>
              <w:top w:val="single" w:sz="6" w:space="0" w:color="auto"/>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4 795.3</w:t>
            </w:r>
          </w:p>
        </w:tc>
      </w:tr>
      <w:tr w:rsidR="00F6159C" w:rsidRPr="002D6F14" w:rsidTr="00502405">
        <w:trPr>
          <w:cantSplit/>
        </w:trPr>
        <w:tc>
          <w:tcPr>
            <w:tcW w:w="920" w:type="dxa"/>
            <w:tcBorders>
              <w:top w:val="nil"/>
              <w:left w:val="nil"/>
              <w:bottom w:val="nil"/>
              <w:right w:val="nil"/>
            </w:tcBorders>
          </w:tcPr>
          <w:p w:rsidR="00F6159C" w:rsidRPr="002D6F14" w:rsidRDefault="00F6159C"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120" w:type="dxa"/>
            <w:tcBorders>
              <w:top w:val="nil"/>
              <w:left w:val="nil"/>
              <w:bottom w:val="nil"/>
              <w:right w:val="nil"/>
            </w:tcBorders>
          </w:tcPr>
          <w:p w:rsidR="00F6159C" w:rsidRPr="002D6F14" w:rsidRDefault="00F6159C"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6720" w:type="dxa"/>
            <w:gridSpan w:val="4"/>
            <w:tcBorders>
              <w:top w:val="nil"/>
              <w:left w:val="nil"/>
              <w:bottom w:val="nil"/>
              <w:right w:val="nil"/>
            </w:tcBorders>
          </w:tcPr>
          <w:p w:rsidR="00F6159C" w:rsidRPr="002D6F14" w:rsidRDefault="00F6159C" w:rsidP="00F6159C">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b/>
                <w:bCs/>
                <w:sz w:val="20"/>
                <w:lang w:eastAsia="en-AU"/>
              </w:rPr>
              <w:t>Non-current</w:t>
            </w:r>
          </w:p>
        </w:tc>
      </w:tr>
      <w:tr w:rsidR="00B03921" w:rsidRPr="002D6F14" w:rsidTr="00016914">
        <w:trPr>
          <w:cantSplit/>
        </w:trPr>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865.4</w:t>
            </w:r>
          </w:p>
        </w:tc>
        <w:tc>
          <w:tcPr>
            <w:tcW w:w="1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 xml:space="preserve"> </w:t>
            </w:r>
          </w:p>
        </w:tc>
        <w:tc>
          <w:tcPr>
            <w:tcW w:w="396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sz w:val="20"/>
                <w:lang w:eastAsia="en-AU"/>
              </w:rPr>
            </w:pPr>
            <w:r w:rsidRPr="002D6F14">
              <w:rPr>
                <w:rFonts w:ascii="Calibri" w:eastAsiaTheme="minorEastAsia" w:hAnsi="Calibri" w:cs="Calibri"/>
                <w:sz w:val="20"/>
                <w:lang w:eastAsia="en-AU"/>
              </w:rPr>
              <w:t>Long service leave</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676.5</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712.6</w:t>
            </w:r>
          </w:p>
        </w:tc>
        <w:tc>
          <w:tcPr>
            <w:tcW w:w="920" w:type="dxa"/>
            <w:tcBorders>
              <w:top w:val="nil"/>
              <w:left w:val="nil"/>
              <w:bottom w:val="nil"/>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sz w:val="20"/>
                <w:lang w:eastAsia="en-AU"/>
              </w:rPr>
            </w:pPr>
            <w:r w:rsidRPr="002D6F14">
              <w:rPr>
                <w:rFonts w:ascii="Calibri" w:eastAsiaTheme="minorEastAsia" w:hAnsi="Calibri" w:cs="Calibri"/>
                <w:sz w:val="20"/>
                <w:lang w:eastAsia="en-AU"/>
              </w:rPr>
              <w:t xml:space="preserve"> 724.5</w:t>
            </w:r>
          </w:p>
        </w:tc>
      </w:tr>
      <w:tr w:rsidR="00B03921" w:rsidRPr="002D6F14" w:rsidTr="00016914">
        <w:trPr>
          <w:cantSplit/>
        </w:trPr>
        <w:tc>
          <w:tcPr>
            <w:tcW w:w="920" w:type="dxa"/>
            <w:tcBorders>
              <w:top w:val="single" w:sz="6" w:space="0" w:color="auto"/>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865.4</w:t>
            </w:r>
          </w:p>
        </w:tc>
        <w:tc>
          <w:tcPr>
            <w:tcW w:w="12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3960" w:type="dxa"/>
            <w:tcBorders>
              <w:top w:val="nil"/>
              <w:left w:val="nil"/>
              <w:bottom w:val="single" w:sz="6" w:space="0" w:color="auto"/>
              <w:right w:val="nil"/>
            </w:tcBorders>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 non-current employee benefits</w:t>
            </w:r>
          </w:p>
        </w:tc>
        <w:tc>
          <w:tcPr>
            <w:tcW w:w="920" w:type="dxa"/>
            <w:tcBorders>
              <w:top w:val="single" w:sz="6" w:space="0" w:color="auto"/>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676.5</w:t>
            </w:r>
          </w:p>
        </w:tc>
        <w:tc>
          <w:tcPr>
            <w:tcW w:w="920" w:type="dxa"/>
            <w:tcBorders>
              <w:top w:val="single" w:sz="6" w:space="0" w:color="auto"/>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712.6</w:t>
            </w:r>
          </w:p>
        </w:tc>
        <w:tc>
          <w:tcPr>
            <w:tcW w:w="920" w:type="dxa"/>
            <w:tcBorders>
              <w:top w:val="single" w:sz="6" w:space="0" w:color="auto"/>
              <w:left w:val="nil"/>
              <w:bottom w:val="single" w:sz="6" w:space="0" w:color="auto"/>
              <w:right w:val="nil"/>
            </w:tcBorders>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724.5</w:t>
            </w:r>
          </w:p>
        </w:tc>
      </w:tr>
      <w:tr w:rsidR="00B03921" w:rsidRPr="002D6F14" w:rsidTr="00016914">
        <w:trPr>
          <w:cantSplit/>
        </w:trPr>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5 264.6</w:t>
            </w:r>
          </w:p>
        </w:tc>
        <w:tc>
          <w:tcPr>
            <w:tcW w:w="1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rPr>
                <w:rFonts w:ascii="Calibri" w:eastAsiaTheme="minorEastAsia" w:hAnsi="Calibri" w:cs="Calibri"/>
                <w:b/>
                <w:bCs/>
                <w:sz w:val="20"/>
                <w:lang w:eastAsia="en-AU"/>
              </w:rPr>
            </w:pPr>
            <w:r w:rsidRPr="002D6F14">
              <w:rPr>
                <w:rFonts w:ascii="Calibri" w:eastAsiaTheme="minorEastAsia" w:hAnsi="Calibri" w:cs="Calibri"/>
                <w:b/>
                <w:bCs/>
                <w:sz w:val="20"/>
                <w:lang w:eastAsia="en-AU"/>
              </w:rPr>
              <w:t>Total employee benefits</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5 302.7</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5 637.4</w:t>
            </w:r>
          </w:p>
        </w:tc>
        <w:tc>
          <w:tcPr>
            <w:tcW w:w="920" w:type="dxa"/>
            <w:tcBorders>
              <w:top w:val="single" w:sz="6" w:space="0" w:color="auto"/>
              <w:left w:val="nil"/>
              <w:bottom w:val="single" w:sz="12" w:space="0" w:color="000000"/>
              <w:right w:val="nil"/>
            </w:tcBorders>
            <w:shd w:val="clear" w:color="auto" w:fill="auto"/>
          </w:tcPr>
          <w:p w:rsidR="00B03921" w:rsidRPr="002D6F14" w:rsidRDefault="00B03921" w:rsidP="00016914">
            <w:pPr>
              <w:autoSpaceDE w:val="0"/>
              <w:autoSpaceDN w:val="0"/>
              <w:adjustRightInd w:val="0"/>
              <w:spacing w:after="0"/>
              <w:jc w:val="right"/>
              <w:rPr>
                <w:rFonts w:ascii="Calibri" w:eastAsiaTheme="minorEastAsia" w:hAnsi="Calibri" w:cs="Calibri"/>
                <w:b/>
                <w:bCs/>
                <w:sz w:val="20"/>
                <w:lang w:eastAsia="en-AU"/>
              </w:rPr>
            </w:pPr>
            <w:r w:rsidRPr="002D6F14">
              <w:rPr>
                <w:rFonts w:ascii="Calibri" w:eastAsiaTheme="minorEastAsia" w:hAnsi="Calibri" w:cs="Calibri"/>
                <w:b/>
                <w:bCs/>
                <w:sz w:val="20"/>
                <w:lang w:eastAsia="en-AU"/>
              </w:rPr>
              <w:t>5 519.7</w:t>
            </w:r>
          </w:p>
        </w:tc>
      </w:tr>
    </w:tbl>
    <w:p w:rsidR="00B03921" w:rsidRDefault="00B03921" w:rsidP="00016914">
      <w:pPr>
        <w:pStyle w:val="Notes"/>
      </w:pPr>
      <w:r>
        <w:t>Note:</w:t>
      </w:r>
    </w:p>
    <w:p w:rsidR="00B03921" w:rsidRPr="00F10B6E" w:rsidRDefault="00B03921" w:rsidP="00016914">
      <w:pPr>
        <w:pStyle w:val="Notes"/>
      </w:pPr>
      <w:r>
        <w:t xml:space="preserve">(a) </w:t>
      </w:r>
      <w:r>
        <w:tab/>
        <w:t>Includes accrued annual leave and other similar on-costs.</w:t>
      </w:r>
    </w:p>
    <w:p w:rsidR="00B03921" w:rsidRDefault="00B03921" w:rsidP="00016914">
      <w:pPr>
        <w:pStyle w:val="BodyText"/>
      </w:pPr>
    </w:p>
    <w:p w:rsidR="00B03921" w:rsidRPr="00F10B6E" w:rsidRDefault="00B03921" w:rsidP="00016914">
      <w:pPr>
        <w:pStyle w:val="BodyText"/>
      </w:pPr>
    </w:p>
    <w:p w:rsidR="00B03921" w:rsidRPr="00E1152F" w:rsidRDefault="00B03921" w:rsidP="00016914">
      <w:pPr>
        <w:pStyle w:val="Heading2Notes"/>
      </w:pPr>
      <w:bookmarkStart w:id="290" w:name="_Toc418102763"/>
      <w:bookmarkStart w:id="291" w:name="_Toc418191929"/>
      <w:bookmarkStart w:id="292" w:name="_Toc418274856"/>
      <w:bookmarkStart w:id="293" w:name="_Toc418274901"/>
      <w:bookmarkStart w:id="294" w:name="_Toc418276647"/>
      <w:bookmarkEnd w:id="206"/>
      <w:bookmarkEnd w:id="207"/>
      <w:bookmarkEnd w:id="208"/>
      <w:r w:rsidRPr="00E1152F">
        <w:t>Note 17:</w:t>
      </w:r>
      <w:r w:rsidRPr="00E1152F">
        <w:tab/>
        <w:t>Application of cash resources</w:t>
      </w:r>
      <w:bookmarkEnd w:id="290"/>
      <w:bookmarkEnd w:id="291"/>
      <w:bookmarkEnd w:id="292"/>
      <w:bookmarkEnd w:id="293"/>
      <w:bookmarkEnd w:id="294"/>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5000"/>
        <w:gridCol w:w="920"/>
        <w:gridCol w:w="920"/>
      </w:tblGrid>
      <w:tr w:rsidR="00F6159C" w:rsidRPr="00711E67" w:rsidTr="00D2044B">
        <w:trPr>
          <w:cantSplit/>
          <w:trHeight w:val="747"/>
          <w:tblHeader/>
        </w:trPr>
        <w:tc>
          <w:tcPr>
            <w:tcW w:w="920" w:type="dxa"/>
            <w:tcBorders>
              <w:top w:val="single" w:sz="6" w:space="0" w:color="auto"/>
              <w:left w:val="single" w:sz="6" w:space="0" w:color="auto"/>
              <w:right w:val="nil"/>
            </w:tcBorders>
            <w:shd w:val="clear" w:color="000000" w:fill="000000"/>
          </w:tcPr>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2013-14</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Actual</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31 Mar</w:t>
            </w:r>
          </w:p>
        </w:tc>
        <w:tc>
          <w:tcPr>
            <w:tcW w:w="5000" w:type="dxa"/>
            <w:tcBorders>
              <w:top w:val="single" w:sz="6" w:space="0" w:color="auto"/>
              <w:left w:val="nil"/>
              <w:right w:val="nil"/>
            </w:tcBorders>
            <w:shd w:val="clear" w:color="000000" w:fill="000000"/>
          </w:tcPr>
          <w:p w:rsidR="00F6159C" w:rsidRPr="00711E67" w:rsidRDefault="00F6159C" w:rsidP="00F6159C">
            <w:pPr>
              <w:pStyle w:val="Tabletextheading"/>
              <w:jc w:val="left"/>
              <w:rPr>
                <w:rFonts w:eastAsiaTheme="minorEastAsia"/>
                <w:color w:val="FFFFFF"/>
                <w:lang w:eastAsia="en-AU"/>
              </w:rPr>
            </w:pPr>
            <w:r w:rsidRPr="00711E67">
              <w:rPr>
                <w:rFonts w:eastAsiaTheme="minorEastAsia"/>
                <w:color w:val="FFFFFF"/>
                <w:lang w:eastAsia="en-AU"/>
              </w:rPr>
              <w:t xml:space="preserve"> </w:t>
            </w:r>
          </w:p>
        </w:tc>
        <w:tc>
          <w:tcPr>
            <w:tcW w:w="920" w:type="dxa"/>
            <w:tcBorders>
              <w:top w:val="single" w:sz="6" w:space="0" w:color="auto"/>
              <w:left w:val="nil"/>
              <w:right w:val="nil"/>
            </w:tcBorders>
            <w:shd w:val="clear" w:color="000000" w:fill="000000"/>
          </w:tcPr>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2014-15</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Actual</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to Mar</w:t>
            </w:r>
          </w:p>
        </w:tc>
        <w:tc>
          <w:tcPr>
            <w:tcW w:w="920" w:type="dxa"/>
            <w:tcBorders>
              <w:top w:val="single" w:sz="6" w:space="0" w:color="auto"/>
              <w:left w:val="nil"/>
              <w:right w:val="single" w:sz="6" w:space="0" w:color="auto"/>
            </w:tcBorders>
            <w:shd w:val="clear" w:color="000000" w:fill="000000"/>
          </w:tcPr>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 xml:space="preserve"> </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Revised</w:t>
            </w:r>
          </w:p>
          <w:p w:rsidR="00F6159C" w:rsidRPr="00711E67" w:rsidRDefault="00F6159C" w:rsidP="00016914">
            <w:pPr>
              <w:pStyle w:val="Tabletextheading"/>
              <w:rPr>
                <w:rFonts w:eastAsiaTheme="minorEastAsia"/>
                <w:color w:val="FFFFFF"/>
                <w:lang w:eastAsia="en-AU"/>
              </w:rPr>
            </w:pPr>
            <w:r w:rsidRPr="00711E67">
              <w:rPr>
                <w:rFonts w:eastAsiaTheme="minorEastAsia"/>
                <w:color w:val="FFFFFF"/>
                <w:lang w:eastAsia="en-AU"/>
              </w:rPr>
              <w:t>budget</w:t>
            </w:r>
          </w:p>
        </w:tc>
      </w:tr>
      <w:tr w:rsidR="00B03921" w:rsidRPr="00711E67" w:rsidTr="00016914">
        <w:trPr>
          <w:cantSplit/>
        </w:trPr>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 xml:space="preserve"> 847.6</w:t>
            </w:r>
          </w:p>
        </w:tc>
        <w:tc>
          <w:tcPr>
            <w:tcW w:w="5000" w:type="dxa"/>
            <w:tcBorders>
              <w:top w:val="single" w:sz="6" w:space="0" w:color="auto"/>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b/>
                <w:bCs/>
                <w:sz w:val="20"/>
                <w:lang w:eastAsia="en-AU"/>
              </w:rPr>
            </w:pPr>
            <w:r w:rsidRPr="00711E67">
              <w:rPr>
                <w:rFonts w:ascii="Calibri" w:eastAsiaTheme="minorEastAsia" w:hAnsi="Calibri" w:cs="Calibri"/>
                <w:b/>
                <w:bCs/>
                <w:sz w:val="20"/>
                <w:lang w:eastAsia="en-AU"/>
              </w:rPr>
              <w:t>Net result from transactions - net operating balance</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1 872.1</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 xml:space="preserve"> 883.0</w:t>
            </w:r>
          </w:p>
        </w:tc>
      </w:tr>
      <w:tr w:rsidR="00B03921" w:rsidRPr="00711E67" w:rsidTr="00016914">
        <w:trPr>
          <w:cantSplit/>
        </w:trPr>
        <w:tc>
          <w:tcPr>
            <w:tcW w:w="920" w:type="dxa"/>
            <w:tcBorders>
              <w:top w:val="nil"/>
              <w:left w:val="nil"/>
              <w:bottom w:val="single" w:sz="6" w:space="0" w:color="auto"/>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126.4</w:t>
            </w:r>
          </w:p>
        </w:tc>
        <w:tc>
          <w:tcPr>
            <w:tcW w:w="5000" w:type="dxa"/>
            <w:tcBorders>
              <w:top w:val="nil"/>
              <w:left w:val="nil"/>
              <w:bottom w:val="single" w:sz="6" w:space="0" w:color="auto"/>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vertAlign w:val="superscript"/>
                <w:lang w:eastAsia="en-AU"/>
              </w:rPr>
            </w:pPr>
            <w:r w:rsidRPr="00711E67">
              <w:rPr>
                <w:rFonts w:ascii="Calibri" w:eastAsiaTheme="minorEastAsia" w:hAnsi="Calibri" w:cs="Calibri"/>
                <w:sz w:val="20"/>
                <w:lang w:eastAsia="en-AU"/>
              </w:rPr>
              <w:t>Add back: Non-cash revenues and expenses (net)</w:t>
            </w:r>
            <w:r w:rsidRPr="00711E67">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868.6</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3 469.1</w:t>
            </w:r>
          </w:p>
        </w:tc>
      </w:tr>
      <w:tr w:rsidR="00B03921" w:rsidRPr="00711E67" w:rsidTr="00016914">
        <w:trPr>
          <w:cantSplit/>
        </w:trPr>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 xml:space="preserve"> 974.0</w:t>
            </w:r>
          </w:p>
        </w:tc>
        <w:tc>
          <w:tcPr>
            <w:tcW w:w="5000" w:type="dxa"/>
            <w:tcBorders>
              <w:top w:val="single" w:sz="6" w:space="0" w:color="auto"/>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b/>
                <w:bCs/>
                <w:sz w:val="20"/>
                <w:lang w:eastAsia="en-AU"/>
              </w:rPr>
            </w:pPr>
            <w:r w:rsidRPr="00711E67">
              <w:rPr>
                <w:rFonts w:ascii="Calibri" w:eastAsiaTheme="minorEastAsia" w:hAnsi="Calibri" w:cs="Calibri"/>
                <w:b/>
                <w:bCs/>
                <w:sz w:val="20"/>
                <w:lang w:eastAsia="en-AU"/>
              </w:rPr>
              <w:t xml:space="preserve">Net cash flows from operating activities </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2 740.7</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4 352.0</w:t>
            </w:r>
          </w:p>
        </w:tc>
      </w:tr>
      <w:tr w:rsidR="00F6159C" w:rsidRPr="00711E67" w:rsidTr="00120FD6">
        <w:trPr>
          <w:cantSplit/>
        </w:trPr>
        <w:tc>
          <w:tcPr>
            <w:tcW w:w="920" w:type="dxa"/>
            <w:tcBorders>
              <w:top w:val="nil"/>
              <w:left w:val="nil"/>
              <w:bottom w:val="nil"/>
              <w:right w:val="nil"/>
            </w:tcBorders>
          </w:tcPr>
          <w:p w:rsidR="00F6159C" w:rsidRPr="00711E67" w:rsidRDefault="00F6159C"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 xml:space="preserve">  </w:t>
            </w:r>
          </w:p>
        </w:tc>
        <w:tc>
          <w:tcPr>
            <w:tcW w:w="6840" w:type="dxa"/>
            <w:gridSpan w:val="3"/>
            <w:tcBorders>
              <w:top w:val="nil"/>
              <w:left w:val="nil"/>
              <w:bottom w:val="nil"/>
              <w:right w:val="nil"/>
            </w:tcBorders>
            <w:shd w:val="solid" w:color="FFFFFF" w:fill="auto"/>
          </w:tcPr>
          <w:p w:rsidR="00F6159C" w:rsidRPr="00711E67" w:rsidRDefault="00F6159C" w:rsidP="00F6159C">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Less:</w:t>
            </w:r>
          </w:p>
        </w:tc>
      </w:tr>
      <w:tr w:rsidR="00F6159C" w:rsidRPr="00711E67" w:rsidTr="00BD008F">
        <w:trPr>
          <w:cantSplit/>
        </w:trPr>
        <w:tc>
          <w:tcPr>
            <w:tcW w:w="920" w:type="dxa"/>
            <w:tcBorders>
              <w:top w:val="nil"/>
              <w:left w:val="nil"/>
              <w:bottom w:val="nil"/>
              <w:right w:val="nil"/>
            </w:tcBorders>
          </w:tcPr>
          <w:p w:rsidR="00F6159C" w:rsidRPr="00711E67" w:rsidRDefault="00F6159C"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 xml:space="preserve">  </w:t>
            </w:r>
          </w:p>
        </w:tc>
        <w:tc>
          <w:tcPr>
            <w:tcW w:w="6840" w:type="dxa"/>
            <w:gridSpan w:val="3"/>
            <w:tcBorders>
              <w:top w:val="nil"/>
              <w:left w:val="nil"/>
              <w:bottom w:val="nil"/>
              <w:right w:val="nil"/>
            </w:tcBorders>
            <w:shd w:val="solid" w:color="FFFFFF" w:fill="auto"/>
          </w:tcPr>
          <w:p w:rsidR="00F6159C" w:rsidRPr="00711E67" w:rsidRDefault="00F6159C" w:rsidP="00F6159C">
            <w:pPr>
              <w:autoSpaceDE w:val="0"/>
              <w:autoSpaceDN w:val="0"/>
              <w:adjustRightInd w:val="0"/>
              <w:spacing w:after="0"/>
              <w:rPr>
                <w:rFonts w:ascii="Calibri" w:eastAsiaTheme="minorEastAsia" w:hAnsi="Calibri" w:cs="Calibri"/>
                <w:b/>
                <w:bCs/>
                <w:sz w:val="20"/>
                <w:lang w:eastAsia="en-AU"/>
              </w:rPr>
            </w:pPr>
            <w:r w:rsidRPr="00711E67">
              <w:rPr>
                <w:rFonts w:ascii="Calibri" w:eastAsiaTheme="minorEastAsia" w:hAnsi="Calibri" w:cs="Calibri"/>
                <w:b/>
                <w:bCs/>
                <w:sz w:val="20"/>
                <w:lang w:eastAsia="en-AU"/>
              </w:rPr>
              <w:t>Net investment in fixed assets</w:t>
            </w:r>
          </w:p>
        </w:tc>
      </w:tr>
      <w:tr w:rsidR="00B03921" w:rsidRPr="00711E67" w:rsidTr="00016914">
        <w:trPr>
          <w:cantSplit/>
        </w:trPr>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2 721.9</w:t>
            </w:r>
          </w:p>
        </w:tc>
        <w:tc>
          <w:tcPr>
            <w:tcW w:w="5000" w:type="dxa"/>
            <w:tcBorders>
              <w:top w:val="nil"/>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Purchases of non-financial assets</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2 986.9</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4 018.1</w:t>
            </w:r>
          </w:p>
        </w:tc>
      </w:tr>
      <w:tr w:rsidR="00B03921" w:rsidRPr="00711E67" w:rsidTr="00016914">
        <w:trPr>
          <w:cantSplit/>
        </w:trPr>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1 220.5</w:t>
            </w:r>
          </w:p>
        </w:tc>
        <w:tc>
          <w:tcPr>
            <w:tcW w:w="5000" w:type="dxa"/>
            <w:tcBorders>
              <w:top w:val="nil"/>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Net cash flows from investments in financial assets for policy purposes</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13.3</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719.5</w:t>
            </w:r>
          </w:p>
        </w:tc>
      </w:tr>
      <w:tr w:rsidR="00B03921" w:rsidRPr="00711E67" w:rsidTr="00016914">
        <w:trPr>
          <w:cantSplit/>
        </w:trPr>
        <w:tc>
          <w:tcPr>
            <w:tcW w:w="920" w:type="dxa"/>
            <w:tcBorders>
              <w:top w:val="nil"/>
              <w:left w:val="nil"/>
              <w:bottom w:val="single" w:sz="6" w:space="0" w:color="auto"/>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(152.1)</w:t>
            </w:r>
          </w:p>
        </w:tc>
        <w:tc>
          <w:tcPr>
            <w:tcW w:w="5000" w:type="dxa"/>
            <w:tcBorders>
              <w:top w:val="nil"/>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Sales of non-financial assets</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(185.0)</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(360.0)</w:t>
            </w:r>
          </w:p>
        </w:tc>
      </w:tr>
      <w:tr w:rsidR="00B03921" w:rsidRPr="00711E67" w:rsidTr="00016914">
        <w:trPr>
          <w:cantSplit/>
        </w:trPr>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3 790.3</w:t>
            </w:r>
          </w:p>
        </w:tc>
        <w:tc>
          <w:tcPr>
            <w:tcW w:w="5000" w:type="dxa"/>
            <w:tcBorders>
              <w:top w:val="single" w:sz="6" w:space="0" w:color="auto"/>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b/>
                <w:bCs/>
                <w:sz w:val="20"/>
                <w:lang w:eastAsia="en-AU"/>
              </w:rPr>
            </w:pPr>
            <w:r w:rsidRPr="00711E67">
              <w:rPr>
                <w:rFonts w:ascii="Calibri" w:eastAsiaTheme="minorEastAsia" w:hAnsi="Calibri" w:cs="Calibri"/>
                <w:b/>
                <w:bCs/>
                <w:sz w:val="20"/>
                <w:lang w:eastAsia="en-AU"/>
              </w:rPr>
              <w:t>Net investment in fixed assets</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2 815.2</w:t>
            </w:r>
          </w:p>
        </w:tc>
        <w:tc>
          <w:tcPr>
            <w:tcW w:w="920" w:type="dxa"/>
            <w:tcBorders>
              <w:top w:val="single" w:sz="6" w:space="0" w:color="auto"/>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4 377.7</w:t>
            </w:r>
          </w:p>
        </w:tc>
      </w:tr>
      <w:tr w:rsidR="00B03921" w:rsidRPr="00711E67" w:rsidTr="00016914">
        <w:trPr>
          <w:cantSplit/>
        </w:trPr>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109.5</w:t>
            </w:r>
          </w:p>
        </w:tc>
        <w:tc>
          <w:tcPr>
            <w:tcW w:w="5000" w:type="dxa"/>
            <w:tcBorders>
              <w:top w:val="nil"/>
              <w:left w:val="nil"/>
              <w:bottom w:val="nil"/>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Finance leases</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w:t>
            </w:r>
          </w:p>
        </w:tc>
        <w:tc>
          <w:tcPr>
            <w:tcW w:w="920" w:type="dxa"/>
            <w:tcBorders>
              <w:top w:val="nil"/>
              <w:left w:val="nil"/>
              <w:bottom w:val="nil"/>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36.4</w:t>
            </w:r>
          </w:p>
        </w:tc>
      </w:tr>
      <w:tr w:rsidR="00B03921" w:rsidRPr="00711E67" w:rsidTr="00016914">
        <w:trPr>
          <w:cantSplit/>
        </w:trPr>
        <w:tc>
          <w:tcPr>
            <w:tcW w:w="920" w:type="dxa"/>
            <w:tcBorders>
              <w:top w:val="nil"/>
              <w:left w:val="nil"/>
              <w:bottom w:val="single" w:sz="6" w:space="0" w:color="auto"/>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(91.5)</w:t>
            </w:r>
          </w:p>
        </w:tc>
        <w:tc>
          <w:tcPr>
            <w:tcW w:w="5000" w:type="dxa"/>
            <w:tcBorders>
              <w:top w:val="nil"/>
              <w:left w:val="nil"/>
              <w:bottom w:val="single" w:sz="6" w:space="0" w:color="auto"/>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sz w:val="20"/>
                <w:lang w:eastAsia="en-AU"/>
              </w:rPr>
            </w:pPr>
            <w:r w:rsidRPr="00711E67">
              <w:rPr>
                <w:rFonts w:ascii="Calibri" w:eastAsiaTheme="minorEastAsia" w:hAnsi="Calibri" w:cs="Calibri"/>
                <w:sz w:val="20"/>
                <w:lang w:eastAsia="en-AU"/>
              </w:rPr>
              <w:t>Other investment activities (net)</w:t>
            </w:r>
          </w:p>
        </w:tc>
        <w:tc>
          <w:tcPr>
            <w:tcW w:w="920" w:type="dxa"/>
            <w:tcBorders>
              <w:top w:val="nil"/>
              <w:left w:val="nil"/>
              <w:bottom w:val="single" w:sz="6" w:space="0" w:color="auto"/>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(13.2)</w:t>
            </w:r>
          </w:p>
        </w:tc>
        <w:tc>
          <w:tcPr>
            <w:tcW w:w="920" w:type="dxa"/>
            <w:tcBorders>
              <w:top w:val="nil"/>
              <w:left w:val="nil"/>
              <w:bottom w:val="single" w:sz="6" w:space="0" w:color="auto"/>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sz w:val="20"/>
                <w:lang w:eastAsia="en-AU"/>
              </w:rPr>
            </w:pPr>
            <w:r w:rsidRPr="00711E67">
              <w:rPr>
                <w:rFonts w:ascii="Calibri" w:eastAsiaTheme="minorEastAsia" w:hAnsi="Calibri" w:cs="Calibri"/>
                <w:sz w:val="20"/>
                <w:lang w:eastAsia="en-AU"/>
              </w:rPr>
              <w:t xml:space="preserve"> 3.3</w:t>
            </w:r>
          </w:p>
        </w:tc>
      </w:tr>
      <w:tr w:rsidR="00B03921" w:rsidRPr="00711E67" w:rsidTr="00016914">
        <w:trPr>
          <w:cantSplit/>
        </w:trPr>
        <w:tc>
          <w:tcPr>
            <w:tcW w:w="920" w:type="dxa"/>
            <w:tcBorders>
              <w:top w:val="single" w:sz="6" w:space="0" w:color="auto"/>
              <w:left w:val="nil"/>
              <w:bottom w:val="single" w:sz="12" w:space="0" w:color="000000"/>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sidRPr="00711E67">
              <w:rPr>
                <w:rFonts w:ascii="Calibri" w:eastAsiaTheme="minorEastAsia" w:hAnsi="Calibri" w:cs="Calibri"/>
                <w:b/>
                <w:bCs/>
                <w:sz w:val="20"/>
                <w:lang w:eastAsia="en-AU"/>
              </w:rPr>
              <w:t>(2 834.2)</w:t>
            </w:r>
          </w:p>
        </w:tc>
        <w:tc>
          <w:tcPr>
            <w:tcW w:w="5000" w:type="dxa"/>
            <w:tcBorders>
              <w:top w:val="single" w:sz="6" w:space="0" w:color="auto"/>
              <w:left w:val="nil"/>
              <w:bottom w:val="single" w:sz="12" w:space="0" w:color="000000"/>
              <w:right w:val="nil"/>
            </w:tcBorders>
            <w:shd w:val="solid" w:color="FFFFFF" w:fill="auto"/>
          </w:tcPr>
          <w:p w:rsidR="00B03921" w:rsidRPr="00711E67" w:rsidRDefault="00B03921" w:rsidP="00016914">
            <w:pPr>
              <w:autoSpaceDE w:val="0"/>
              <w:autoSpaceDN w:val="0"/>
              <w:adjustRightInd w:val="0"/>
              <w:spacing w:after="0"/>
              <w:rPr>
                <w:rFonts w:ascii="Calibri" w:eastAsiaTheme="minorEastAsia" w:hAnsi="Calibri" w:cs="Calibri"/>
                <w:b/>
                <w:bCs/>
                <w:sz w:val="20"/>
                <w:lang w:eastAsia="en-AU"/>
              </w:rPr>
            </w:pPr>
            <w:r w:rsidRPr="00711E67">
              <w:rPr>
                <w:rFonts w:ascii="Calibri" w:eastAsiaTheme="minorEastAsia" w:hAnsi="Calibri" w:cs="Calibri"/>
                <w:b/>
                <w:bCs/>
                <w:sz w:val="20"/>
                <w:lang w:eastAsia="en-AU"/>
              </w:rPr>
              <w:t>Decrease/(increase) in net debt</w:t>
            </w:r>
          </w:p>
        </w:tc>
        <w:tc>
          <w:tcPr>
            <w:tcW w:w="920" w:type="dxa"/>
            <w:tcBorders>
              <w:top w:val="single" w:sz="6" w:space="0" w:color="auto"/>
              <w:left w:val="nil"/>
              <w:bottom w:val="single" w:sz="12" w:space="0" w:color="000000"/>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(61.4)</w:t>
            </w:r>
          </w:p>
        </w:tc>
        <w:tc>
          <w:tcPr>
            <w:tcW w:w="920" w:type="dxa"/>
            <w:tcBorders>
              <w:top w:val="single" w:sz="6" w:space="0" w:color="auto"/>
              <w:left w:val="nil"/>
              <w:bottom w:val="single" w:sz="12" w:space="0" w:color="000000"/>
              <w:right w:val="nil"/>
            </w:tcBorders>
          </w:tcPr>
          <w:p w:rsidR="00B03921" w:rsidRPr="00711E67" w:rsidRDefault="00B03921" w:rsidP="00016914">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(65.4)</w:t>
            </w:r>
          </w:p>
        </w:tc>
      </w:tr>
    </w:tbl>
    <w:p w:rsidR="00B03921" w:rsidRDefault="00B03921" w:rsidP="00016914">
      <w:pPr>
        <w:pStyle w:val="Source"/>
      </w:pPr>
      <w:r>
        <w:t>Source: Department of Treasury and Finance</w:t>
      </w:r>
    </w:p>
    <w:p w:rsidR="00B03921" w:rsidRDefault="00B03921" w:rsidP="00016914">
      <w:pPr>
        <w:pStyle w:val="Notes"/>
      </w:pPr>
      <w:r>
        <w:t>Note:</w:t>
      </w:r>
    </w:p>
    <w:p w:rsidR="00B03921" w:rsidRPr="00F10B6E" w:rsidRDefault="00B03921" w:rsidP="00016914">
      <w:pPr>
        <w:pStyle w:val="Notes"/>
      </w:pPr>
      <w:r>
        <w:t>(a)</w:t>
      </w:r>
      <w:r>
        <w:tab/>
        <w:t>Includes depreciation and movements in the unfunded superannuation liability and liability for employee benefits.</w:t>
      </w:r>
      <w:r w:rsidRPr="00F10B6E">
        <w:t xml:space="preserve"> </w:t>
      </w:r>
    </w:p>
    <w:p w:rsidR="00B03921" w:rsidRDefault="00B03921" w:rsidP="00016914">
      <w:pPr>
        <w:pStyle w:val="BodyText"/>
      </w:pPr>
    </w:p>
    <w:p w:rsidR="00B03921" w:rsidRDefault="00B03921">
      <w:pPr>
        <w:spacing w:after="0"/>
        <w:rPr>
          <w:rFonts w:ascii="Calibri" w:hAnsi="Calibri"/>
          <w:b/>
          <w:sz w:val="26"/>
          <w:szCs w:val="22"/>
        </w:rPr>
      </w:pPr>
      <w:r>
        <w:br w:type="page"/>
      </w:r>
    </w:p>
    <w:p w:rsidR="00B03921" w:rsidRPr="00F10B6E" w:rsidRDefault="00B03921" w:rsidP="00016914">
      <w:pPr>
        <w:pStyle w:val="Heading2Notes"/>
        <w:spacing w:after="20"/>
        <w:ind w:left="1151" w:hanging="1151"/>
      </w:pPr>
      <w:bookmarkStart w:id="295" w:name="_Toc418102764"/>
      <w:bookmarkStart w:id="296" w:name="_Toc418191930"/>
      <w:bookmarkStart w:id="297" w:name="_Toc418274857"/>
      <w:bookmarkStart w:id="298" w:name="_Toc418274902"/>
      <w:bookmarkStart w:id="299" w:name="_Toc418276648"/>
      <w:r>
        <w:t>Note 18</w:t>
      </w:r>
      <w:r w:rsidRPr="00C621D9">
        <w:t xml:space="preserve">: </w:t>
      </w:r>
      <w:r>
        <w:tab/>
      </w:r>
      <w:r w:rsidRPr="00C621D9">
        <w:t xml:space="preserve">Public </w:t>
      </w:r>
      <w:r w:rsidR="00CD6886">
        <w:t>A</w:t>
      </w:r>
      <w:r w:rsidR="00CD6886" w:rsidRPr="00C621D9">
        <w:t>ccount</w:t>
      </w:r>
      <w:bookmarkEnd w:id="295"/>
      <w:bookmarkEnd w:id="296"/>
      <w:bookmarkEnd w:id="297"/>
      <w:bookmarkEnd w:id="298"/>
      <w:bookmarkEnd w:id="299"/>
    </w:p>
    <w:p w:rsidR="00B03921" w:rsidRPr="00F10B6E" w:rsidRDefault="00B03921" w:rsidP="00016914">
      <w:pPr>
        <w:pStyle w:val="Heading5"/>
        <w:spacing w:before="40" w:after="40"/>
      </w:pPr>
      <w:r w:rsidRPr="00F10B6E">
        <w:t>(a)</w:t>
      </w:r>
      <w:r w:rsidRPr="00F10B6E">
        <w:tab/>
        <w:t>Consolidated fund receipts and payments</w:t>
      </w:r>
      <w:r>
        <w:t xml:space="preserve"> </w:t>
      </w:r>
      <w:r w:rsidRPr="00252C21">
        <w:rPr>
          <w:vertAlign w:val="superscript"/>
        </w:rPr>
        <w:t>(a)</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F6159C" w:rsidRPr="007F25E4" w:rsidTr="007F25E4">
        <w:trPr>
          <w:cantSplit/>
          <w:trHeight w:val="515"/>
          <w:tblHeader/>
        </w:trPr>
        <w:tc>
          <w:tcPr>
            <w:tcW w:w="920" w:type="dxa"/>
            <w:tcBorders>
              <w:top w:val="single" w:sz="6" w:space="0" w:color="000000"/>
              <w:left w:val="single" w:sz="6" w:space="0" w:color="000000"/>
              <w:right w:val="nil"/>
            </w:tcBorders>
            <w:shd w:val="clear" w:color="000000" w:fill="000000"/>
          </w:tcPr>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2013-14</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 xml:space="preserve"> Actual </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to Mar</w:t>
            </w:r>
          </w:p>
        </w:tc>
        <w:tc>
          <w:tcPr>
            <w:tcW w:w="120" w:type="dxa"/>
            <w:tcBorders>
              <w:top w:val="single" w:sz="6" w:space="0" w:color="000000"/>
              <w:left w:val="nil"/>
              <w:right w:val="nil"/>
            </w:tcBorders>
            <w:shd w:val="clear" w:color="000000" w:fill="000000"/>
          </w:tcPr>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 xml:space="preserve"> </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 xml:space="preserve"> </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 xml:space="preserve"> </w:t>
            </w:r>
          </w:p>
        </w:tc>
        <w:tc>
          <w:tcPr>
            <w:tcW w:w="4880" w:type="dxa"/>
            <w:tcBorders>
              <w:top w:val="single" w:sz="6" w:space="0" w:color="000000"/>
              <w:left w:val="nil"/>
              <w:right w:val="nil"/>
            </w:tcBorders>
            <w:shd w:val="clear" w:color="000000" w:fill="000000"/>
          </w:tcPr>
          <w:p w:rsidR="00F6159C" w:rsidRPr="007F25E4" w:rsidRDefault="00F6159C" w:rsidP="00F6159C">
            <w:pPr>
              <w:pStyle w:val="Tabletextheading"/>
              <w:jc w:val="left"/>
              <w:rPr>
                <w:rFonts w:eastAsiaTheme="minorEastAsia"/>
                <w:color w:val="FFFFFF"/>
                <w:sz w:val="18"/>
                <w:lang w:eastAsia="en-AU"/>
              </w:rPr>
            </w:pPr>
            <w:r w:rsidRPr="007F25E4">
              <w:rPr>
                <w:rFonts w:eastAsiaTheme="minorEastAsia"/>
                <w:color w:val="FFFFFF"/>
                <w:sz w:val="18"/>
                <w:lang w:eastAsia="en-AU"/>
              </w:rPr>
              <w:t xml:space="preserve"> </w:t>
            </w:r>
          </w:p>
        </w:tc>
        <w:tc>
          <w:tcPr>
            <w:tcW w:w="920" w:type="dxa"/>
            <w:tcBorders>
              <w:top w:val="single" w:sz="6" w:space="0" w:color="000000"/>
              <w:left w:val="nil"/>
              <w:right w:val="nil"/>
            </w:tcBorders>
            <w:shd w:val="clear" w:color="000000" w:fill="000000"/>
          </w:tcPr>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2014-15</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 xml:space="preserve"> Actual </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to Mar</w:t>
            </w:r>
          </w:p>
        </w:tc>
        <w:tc>
          <w:tcPr>
            <w:tcW w:w="920" w:type="dxa"/>
            <w:tcBorders>
              <w:top w:val="single" w:sz="6" w:space="0" w:color="000000"/>
              <w:left w:val="nil"/>
              <w:right w:val="single" w:sz="6" w:space="0" w:color="000000"/>
            </w:tcBorders>
            <w:shd w:val="clear" w:color="000000" w:fill="000000"/>
          </w:tcPr>
          <w:p w:rsidR="00F6159C" w:rsidRPr="007F25E4" w:rsidRDefault="00F6159C" w:rsidP="00016914">
            <w:pPr>
              <w:pStyle w:val="Tabletextheading"/>
              <w:rPr>
                <w:rFonts w:eastAsiaTheme="minorEastAsia"/>
                <w:color w:val="FFFFFF"/>
                <w:sz w:val="18"/>
                <w:lang w:eastAsia="en-AU"/>
              </w:rPr>
            </w:pP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Revised</w:t>
            </w:r>
          </w:p>
          <w:p w:rsidR="00F6159C" w:rsidRPr="007F25E4" w:rsidRDefault="00F6159C" w:rsidP="00016914">
            <w:pPr>
              <w:pStyle w:val="Tabletextheading"/>
              <w:rPr>
                <w:rFonts w:eastAsiaTheme="minorEastAsia"/>
                <w:color w:val="FFFFFF"/>
                <w:sz w:val="18"/>
                <w:lang w:eastAsia="en-AU"/>
              </w:rPr>
            </w:pPr>
            <w:r w:rsidRPr="007F25E4">
              <w:rPr>
                <w:rFonts w:eastAsiaTheme="minorEastAsia"/>
                <w:color w:val="FFFFFF"/>
                <w:sz w:val="18"/>
                <w:lang w:eastAsia="en-AU"/>
              </w:rPr>
              <w:t>budget</w:t>
            </w:r>
          </w:p>
        </w:tc>
      </w:tr>
      <w:tr w:rsidR="00F6159C" w:rsidRPr="007F25E4" w:rsidTr="0005255A">
        <w:trPr>
          <w:cantSplit/>
        </w:trPr>
        <w:tc>
          <w:tcPr>
            <w:tcW w:w="920" w:type="dxa"/>
            <w:tcBorders>
              <w:top w:val="single" w:sz="6" w:space="0" w:color="000000"/>
              <w:left w:val="nil"/>
              <w:bottom w:val="nil"/>
              <w:right w:val="nil"/>
            </w:tcBorders>
          </w:tcPr>
          <w:p w:rsidR="00F6159C" w:rsidRPr="007F25E4" w:rsidRDefault="00F6159C" w:rsidP="00016914">
            <w:pPr>
              <w:autoSpaceDE w:val="0"/>
              <w:autoSpaceDN w:val="0"/>
              <w:adjustRightInd w:val="0"/>
              <w:spacing w:after="0"/>
              <w:jc w:val="right"/>
              <w:rPr>
                <w:rFonts w:ascii="Calibri" w:eastAsiaTheme="minorEastAsia" w:hAnsi="Calibri" w:cs="Calibri"/>
                <w:i/>
                <w:iCs/>
                <w:sz w:val="18"/>
                <w:szCs w:val="22"/>
                <w:lang w:eastAsia="en-AU"/>
              </w:rPr>
            </w:pPr>
            <w:r w:rsidRPr="007F25E4">
              <w:rPr>
                <w:rFonts w:ascii="Calibri" w:eastAsiaTheme="minorEastAsia" w:hAnsi="Calibri" w:cs="Calibri"/>
                <w:i/>
                <w:iCs/>
                <w:sz w:val="18"/>
                <w:szCs w:val="22"/>
                <w:lang w:eastAsia="en-AU"/>
              </w:rPr>
              <w:t xml:space="preserve"> </w:t>
            </w:r>
          </w:p>
        </w:tc>
        <w:tc>
          <w:tcPr>
            <w:tcW w:w="120" w:type="dxa"/>
            <w:tcBorders>
              <w:top w:val="single" w:sz="6" w:space="0" w:color="000000"/>
              <w:left w:val="nil"/>
              <w:bottom w:val="nil"/>
              <w:right w:val="nil"/>
            </w:tcBorders>
          </w:tcPr>
          <w:p w:rsidR="00F6159C" w:rsidRPr="007F25E4" w:rsidRDefault="00F6159C" w:rsidP="00016914">
            <w:pPr>
              <w:autoSpaceDE w:val="0"/>
              <w:autoSpaceDN w:val="0"/>
              <w:adjustRightInd w:val="0"/>
              <w:spacing w:after="0"/>
              <w:rPr>
                <w:rFonts w:ascii="Calibri" w:eastAsiaTheme="minorEastAsia" w:hAnsi="Calibri" w:cs="Calibri"/>
                <w:i/>
                <w:sz w:val="18"/>
                <w:lang w:eastAsia="en-AU"/>
              </w:rPr>
            </w:pPr>
            <w:r w:rsidRPr="007F25E4">
              <w:rPr>
                <w:rFonts w:ascii="Calibri" w:eastAsiaTheme="minorEastAsia" w:hAnsi="Calibri" w:cs="Calibri"/>
                <w:i/>
                <w:sz w:val="18"/>
                <w:lang w:eastAsia="en-AU"/>
              </w:rPr>
              <w:t xml:space="preserve"> </w:t>
            </w:r>
          </w:p>
        </w:tc>
        <w:tc>
          <w:tcPr>
            <w:tcW w:w="6720" w:type="dxa"/>
            <w:gridSpan w:val="3"/>
            <w:tcBorders>
              <w:top w:val="single" w:sz="6" w:space="0" w:color="000000"/>
              <w:left w:val="nil"/>
              <w:bottom w:val="nil"/>
              <w:right w:val="nil"/>
            </w:tcBorders>
          </w:tcPr>
          <w:p w:rsidR="00F6159C" w:rsidRPr="007F25E4" w:rsidRDefault="00F6159C" w:rsidP="00F6159C">
            <w:pPr>
              <w:autoSpaceDE w:val="0"/>
              <w:autoSpaceDN w:val="0"/>
              <w:adjustRightInd w:val="0"/>
              <w:spacing w:after="0"/>
              <w:rPr>
                <w:rFonts w:ascii="Calibri" w:eastAsiaTheme="minorEastAsia" w:hAnsi="Calibri" w:cs="Calibri"/>
                <w:iCs/>
                <w:sz w:val="18"/>
                <w:szCs w:val="22"/>
                <w:lang w:eastAsia="en-AU"/>
              </w:rPr>
            </w:pPr>
            <w:r w:rsidRPr="007F25E4">
              <w:rPr>
                <w:rFonts w:ascii="Calibri" w:eastAsiaTheme="minorEastAsia" w:hAnsi="Calibri" w:cs="Calibri"/>
                <w:b/>
                <w:bCs/>
                <w:sz w:val="18"/>
                <w:szCs w:val="22"/>
                <w:lang w:eastAsia="en-AU"/>
              </w:rPr>
              <w:t>Receipts</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12 422.8</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vertAlign w:val="superscript"/>
                <w:lang w:eastAsia="en-AU"/>
              </w:rPr>
            </w:pPr>
            <w:r w:rsidRPr="007F25E4">
              <w:rPr>
                <w:rFonts w:ascii="Calibri" w:eastAsiaTheme="minorEastAsia" w:hAnsi="Calibri" w:cs="Calibri"/>
                <w:sz w:val="18"/>
                <w:szCs w:val="22"/>
                <w:lang w:eastAsia="en-AU"/>
              </w:rPr>
              <w:t>Taxation</w:t>
            </w:r>
            <w:r w:rsidRPr="007F25E4">
              <w:rPr>
                <w:rFonts w:ascii="Calibri" w:eastAsiaTheme="minorEastAsia" w:hAnsi="Calibri" w:cs="Calibri"/>
                <w:sz w:val="18"/>
                <w:szCs w:val="22"/>
                <w:vertAlign w:val="superscript"/>
                <w:lang w:eastAsia="en-AU"/>
              </w:rPr>
              <w:t>(b)</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13 793.8</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18 767.0</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537.3</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Fines and regulatory fees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620.3</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855.0</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11 758.0</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Grants received</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11 709.2</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16 538.5</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3 879.0</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Sales of goods and services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4 052.5</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5 458.9</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382.2</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Interest received</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370.3</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541.6</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493.2</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Public authority receipts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735.6</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1 055.0</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217.2</w:t>
            </w:r>
          </w:p>
        </w:tc>
        <w:tc>
          <w:tcPr>
            <w:tcW w:w="120" w:type="dxa"/>
            <w:tcBorders>
              <w:top w:val="nil"/>
              <w:left w:val="nil"/>
              <w:bottom w:val="single" w:sz="6" w:space="0" w:color="auto"/>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vertAlign w:val="superscript"/>
                <w:lang w:eastAsia="en-AU"/>
              </w:rPr>
            </w:pPr>
            <w:r w:rsidRPr="007F25E4">
              <w:rPr>
                <w:rFonts w:ascii="Calibri" w:eastAsiaTheme="minorEastAsia" w:hAnsi="Calibri" w:cs="Calibri"/>
                <w:sz w:val="18"/>
                <w:szCs w:val="22"/>
                <w:lang w:eastAsia="en-AU"/>
              </w:rPr>
              <w:t>Other receipts</w:t>
            </w:r>
            <w:r w:rsidRPr="007F25E4">
              <w:rPr>
                <w:rFonts w:ascii="Calibri" w:eastAsiaTheme="minorEastAsia" w:hAnsi="Calibri" w:cs="Calibri"/>
                <w:sz w:val="18"/>
                <w:szCs w:val="22"/>
                <w:vertAlign w:val="superscript"/>
                <w:lang w:eastAsia="en-AU"/>
              </w:rPr>
              <w:t>(b)</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155.2</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462.4</w:t>
            </w:r>
          </w:p>
        </w:tc>
      </w:tr>
      <w:tr w:rsidR="00B03921" w:rsidRPr="007F25E4" w:rsidTr="00016914">
        <w:trPr>
          <w:cantSplit/>
        </w:trPr>
        <w:tc>
          <w:tcPr>
            <w:tcW w:w="920" w:type="dxa"/>
            <w:tcBorders>
              <w:top w:val="single" w:sz="6" w:space="0" w:color="auto"/>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29 689.8</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b/>
                <w:sz w:val="18"/>
                <w:szCs w:val="22"/>
                <w:lang w:eastAsia="en-AU"/>
              </w:rPr>
            </w:pPr>
            <w:r w:rsidRPr="007F25E4">
              <w:rPr>
                <w:rFonts w:ascii="Calibri" w:eastAsiaTheme="minorEastAsia" w:hAnsi="Calibri" w:cs="Calibri"/>
                <w:b/>
                <w:sz w:val="18"/>
                <w:szCs w:val="22"/>
                <w:lang w:eastAsia="en-AU"/>
              </w:rPr>
              <w:t xml:space="preserve"> </w:t>
            </w:r>
          </w:p>
        </w:tc>
        <w:tc>
          <w:tcPr>
            <w:tcW w:w="4880" w:type="dxa"/>
            <w:tcBorders>
              <w:top w:val="single" w:sz="6" w:space="0" w:color="auto"/>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Total operating activities</w:t>
            </w:r>
          </w:p>
        </w:tc>
        <w:tc>
          <w:tcPr>
            <w:tcW w:w="920" w:type="dxa"/>
            <w:tcBorders>
              <w:top w:val="single" w:sz="6" w:space="0" w:color="auto"/>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31 437.0</w:t>
            </w:r>
          </w:p>
        </w:tc>
        <w:tc>
          <w:tcPr>
            <w:tcW w:w="920" w:type="dxa"/>
            <w:tcBorders>
              <w:top w:val="single" w:sz="6" w:space="0" w:color="auto"/>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43 678.4</w:t>
            </w:r>
          </w:p>
        </w:tc>
      </w:tr>
      <w:tr w:rsidR="00B03921" w:rsidRPr="007F25E4" w:rsidTr="00016914">
        <w:trPr>
          <w:cantSplit/>
        </w:trPr>
        <w:tc>
          <w:tcPr>
            <w:tcW w:w="920" w:type="dxa"/>
            <w:tcBorders>
              <w:top w:val="nil"/>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3 105.5</w:t>
            </w:r>
          </w:p>
        </w:tc>
        <w:tc>
          <w:tcPr>
            <w:tcW w:w="120" w:type="dxa"/>
            <w:tcBorders>
              <w:top w:val="nil"/>
              <w:left w:val="nil"/>
              <w:bottom w:val="single" w:sz="6" w:space="0" w:color="auto"/>
              <w:right w:val="nil"/>
            </w:tcBorders>
          </w:tcPr>
          <w:p w:rsidR="00B03921" w:rsidRPr="007F25E4" w:rsidRDefault="00B03921" w:rsidP="00016914">
            <w:pPr>
              <w:autoSpaceDE w:val="0"/>
              <w:autoSpaceDN w:val="0"/>
              <w:adjustRightInd w:val="0"/>
              <w:spacing w:after="0"/>
              <w:rPr>
                <w:rFonts w:ascii="Calibri" w:eastAsiaTheme="minorEastAsia" w:hAnsi="Calibri" w:cs="Calibri"/>
                <w:sz w:val="18"/>
                <w:lang w:eastAsia="en-AU"/>
              </w:rPr>
            </w:pPr>
            <w:r w:rsidRPr="007F25E4">
              <w:rPr>
                <w:rFonts w:ascii="Calibri" w:eastAsiaTheme="minorEastAsia" w:hAnsi="Calibri" w:cs="Calibri"/>
                <w:sz w:val="18"/>
                <w:lang w:eastAsia="en-AU"/>
              </w:rPr>
              <w:t xml:space="preserve"> </w:t>
            </w:r>
          </w:p>
        </w:tc>
        <w:tc>
          <w:tcPr>
            <w:tcW w:w="4880" w:type="dxa"/>
            <w:tcBorders>
              <w:top w:val="nil"/>
              <w:left w:val="nil"/>
              <w:bottom w:val="single" w:sz="6" w:space="0" w:color="auto"/>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Total inflows from investing and financing</w:t>
            </w:r>
          </w:p>
        </w:tc>
        <w:tc>
          <w:tcPr>
            <w:tcW w:w="920" w:type="dxa"/>
            <w:tcBorders>
              <w:top w:val="nil"/>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963.3</w:t>
            </w:r>
          </w:p>
        </w:tc>
        <w:tc>
          <w:tcPr>
            <w:tcW w:w="920" w:type="dxa"/>
            <w:tcBorders>
              <w:top w:val="nil"/>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2 653.2</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32 795.3</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b/>
                <w:sz w:val="18"/>
                <w:szCs w:val="22"/>
                <w:lang w:eastAsia="en-AU"/>
              </w:rPr>
            </w:pPr>
            <w:r w:rsidRPr="007F25E4">
              <w:rPr>
                <w:rFonts w:ascii="Calibri" w:eastAsiaTheme="minorEastAsia" w:hAnsi="Calibri" w:cs="Calibri"/>
                <w:b/>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Total receipts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32 400.2</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46 331.6</w:t>
            </w:r>
          </w:p>
        </w:tc>
      </w:tr>
      <w:tr w:rsidR="00F6159C" w:rsidRPr="007F25E4" w:rsidTr="00D5385D">
        <w:trPr>
          <w:cantSplit/>
        </w:trPr>
        <w:tc>
          <w:tcPr>
            <w:tcW w:w="920" w:type="dxa"/>
            <w:tcBorders>
              <w:top w:val="nil"/>
              <w:left w:val="nil"/>
              <w:bottom w:val="nil"/>
              <w:right w:val="nil"/>
            </w:tcBorders>
          </w:tcPr>
          <w:p w:rsidR="00F6159C" w:rsidRPr="007F25E4" w:rsidRDefault="00F6159C" w:rsidP="00016914">
            <w:pPr>
              <w:autoSpaceDE w:val="0"/>
              <w:autoSpaceDN w:val="0"/>
              <w:adjustRightInd w:val="0"/>
              <w:spacing w:after="0"/>
              <w:rPr>
                <w:rFonts w:ascii="Calibri" w:eastAsiaTheme="minorEastAsia" w:hAnsi="Calibri" w:cs="Calibri"/>
                <w:sz w:val="18"/>
                <w:lang w:eastAsia="en-AU"/>
              </w:rPr>
            </w:pPr>
            <w:r w:rsidRPr="007F25E4">
              <w:rPr>
                <w:rFonts w:ascii="Calibri" w:eastAsiaTheme="minorEastAsia" w:hAnsi="Calibri" w:cs="Calibri"/>
                <w:sz w:val="18"/>
                <w:lang w:eastAsia="en-AU"/>
              </w:rPr>
              <w:t xml:space="preserve"> </w:t>
            </w:r>
          </w:p>
        </w:tc>
        <w:tc>
          <w:tcPr>
            <w:tcW w:w="120" w:type="dxa"/>
            <w:tcBorders>
              <w:top w:val="nil"/>
              <w:left w:val="nil"/>
              <w:bottom w:val="nil"/>
              <w:right w:val="nil"/>
            </w:tcBorders>
          </w:tcPr>
          <w:p w:rsidR="00F6159C" w:rsidRPr="007F25E4" w:rsidRDefault="00F6159C"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6720" w:type="dxa"/>
            <w:gridSpan w:val="3"/>
            <w:tcBorders>
              <w:top w:val="nil"/>
              <w:left w:val="nil"/>
              <w:bottom w:val="nil"/>
              <w:right w:val="nil"/>
            </w:tcBorders>
          </w:tcPr>
          <w:p w:rsidR="00F6159C" w:rsidRPr="007F25E4" w:rsidRDefault="00F6159C" w:rsidP="00F6159C">
            <w:pPr>
              <w:autoSpaceDE w:val="0"/>
              <w:autoSpaceDN w:val="0"/>
              <w:adjustRightInd w:val="0"/>
              <w:spacing w:after="0"/>
              <w:rPr>
                <w:rFonts w:ascii="Calibri" w:eastAsiaTheme="minorEastAsia" w:hAnsi="Calibri" w:cs="Calibri"/>
                <w:sz w:val="18"/>
                <w:lang w:eastAsia="en-AU"/>
              </w:rPr>
            </w:pPr>
            <w:r w:rsidRPr="007F25E4">
              <w:rPr>
                <w:rFonts w:ascii="Calibri" w:eastAsiaTheme="minorEastAsia" w:hAnsi="Calibri" w:cs="Calibri"/>
                <w:b/>
                <w:bCs/>
                <w:sz w:val="18"/>
                <w:szCs w:val="22"/>
                <w:lang w:eastAsia="en-AU"/>
              </w:rPr>
              <w:t>Payments to departments</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558.4</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Economic Development, Jobs, Transport and Resources </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2 487.5</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4 818.2</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7 876.9</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Education and Training </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7 885.6</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10 825.2</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1 875.2</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Environment, Land, Water and Planning </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1 488.5</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2 179.6</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7 155.4</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Health and Human Services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8 240.1</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11 298.9</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2 759.3</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Human Services</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2 038.7</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2 038.7</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4 026.6</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Justice and Regulation</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4 105.3</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5 794.8</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441.1</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Premier and Cabinet</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579.8</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636.3</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5 814.8</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Transport, Planning and Local Infrastructure </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3 783.5</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3 783.5</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2 509.4</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Treasury and Finance</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2 407.9</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4 839.8</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119.1</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Parliament</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122.8</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172.6</w:t>
            </w:r>
          </w:p>
        </w:tc>
      </w:tr>
      <w:tr w:rsidR="00B03921" w:rsidRPr="007F25E4" w:rsidTr="00016914">
        <w:trPr>
          <w:cantSplit/>
        </w:trPr>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w:t>
            </w:r>
          </w:p>
        </w:tc>
        <w:tc>
          <w:tcPr>
            <w:tcW w:w="12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w:t>
            </w:r>
          </w:p>
        </w:tc>
        <w:tc>
          <w:tcPr>
            <w:tcW w:w="4880" w:type="dxa"/>
            <w:tcBorders>
              <w:top w:val="nil"/>
              <w:left w:val="nil"/>
              <w:bottom w:val="nil"/>
              <w:right w:val="nil"/>
            </w:tcBorders>
          </w:tcPr>
          <w:p w:rsidR="00B03921" w:rsidRPr="007F25E4" w:rsidRDefault="00B03921" w:rsidP="00016914">
            <w:pPr>
              <w:autoSpaceDE w:val="0"/>
              <w:autoSpaceDN w:val="0"/>
              <w:adjustRightInd w:val="0"/>
              <w:spacing w:after="0"/>
              <w:rPr>
                <w:rFonts w:ascii="Calibri" w:eastAsiaTheme="minorEastAsia" w:hAnsi="Calibri" w:cs="Calibri"/>
                <w:sz w:val="18"/>
                <w:szCs w:val="22"/>
                <w:vertAlign w:val="superscript"/>
                <w:lang w:eastAsia="en-AU"/>
              </w:rPr>
            </w:pPr>
            <w:r w:rsidRPr="007F25E4">
              <w:rPr>
                <w:rFonts w:ascii="Calibri" w:eastAsiaTheme="minorEastAsia" w:hAnsi="Calibri" w:cs="Calibri"/>
                <w:sz w:val="18"/>
                <w:szCs w:val="22"/>
                <w:lang w:eastAsia="en-AU"/>
              </w:rPr>
              <w:t>Courts</w:t>
            </w:r>
            <w:r w:rsidRPr="007F25E4">
              <w:rPr>
                <w:rFonts w:ascii="Calibri" w:eastAsiaTheme="minorEastAsia" w:hAnsi="Calibri" w:cs="Calibri"/>
                <w:sz w:val="18"/>
                <w:szCs w:val="22"/>
                <w:vertAlign w:val="superscript"/>
                <w:lang w:eastAsia="en-AU"/>
              </w:rPr>
              <w:t>(c)</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283.0</w:t>
            </w:r>
          </w:p>
        </w:tc>
        <w:tc>
          <w:tcPr>
            <w:tcW w:w="920" w:type="dxa"/>
            <w:tcBorders>
              <w:top w:val="nil"/>
              <w:left w:val="nil"/>
              <w:bottom w:val="nil"/>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sz w:val="18"/>
                <w:szCs w:val="22"/>
                <w:lang w:eastAsia="en-AU"/>
              </w:rPr>
            </w:pPr>
            <w:r w:rsidRPr="007F25E4">
              <w:rPr>
                <w:rFonts w:ascii="Calibri" w:eastAsiaTheme="minorEastAsia" w:hAnsi="Calibri" w:cs="Calibri"/>
                <w:sz w:val="18"/>
                <w:szCs w:val="22"/>
                <w:lang w:eastAsia="en-AU"/>
              </w:rPr>
              <w:t xml:space="preserve"> 449.1</w:t>
            </w:r>
          </w:p>
        </w:tc>
      </w:tr>
      <w:tr w:rsidR="00B03921" w:rsidRPr="007F25E4" w:rsidTr="00016914">
        <w:trPr>
          <w:cantSplit/>
        </w:trPr>
        <w:tc>
          <w:tcPr>
            <w:tcW w:w="920" w:type="dxa"/>
            <w:tcBorders>
              <w:top w:val="single" w:sz="6" w:space="0" w:color="auto"/>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33 136.2</w:t>
            </w:r>
          </w:p>
        </w:tc>
        <w:tc>
          <w:tcPr>
            <w:tcW w:w="120" w:type="dxa"/>
            <w:tcBorders>
              <w:top w:val="single" w:sz="6" w:space="0" w:color="auto"/>
              <w:left w:val="nil"/>
              <w:bottom w:val="single" w:sz="6" w:space="0" w:color="auto"/>
              <w:right w:val="nil"/>
            </w:tcBorders>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 xml:space="preserve"> </w:t>
            </w:r>
          </w:p>
        </w:tc>
        <w:tc>
          <w:tcPr>
            <w:tcW w:w="4880" w:type="dxa"/>
            <w:tcBorders>
              <w:top w:val="single" w:sz="6" w:space="0" w:color="auto"/>
              <w:left w:val="nil"/>
              <w:bottom w:val="single" w:sz="6" w:space="0" w:color="auto"/>
              <w:right w:val="nil"/>
            </w:tcBorders>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Total payments</w:t>
            </w:r>
          </w:p>
        </w:tc>
        <w:tc>
          <w:tcPr>
            <w:tcW w:w="920" w:type="dxa"/>
            <w:tcBorders>
              <w:top w:val="single" w:sz="6" w:space="0" w:color="auto"/>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33 422.5</w:t>
            </w:r>
          </w:p>
        </w:tc>
        <w:tc>
          <w:tcPr>
            <w:tcW w:w="920" w:type="dxa"/>
            <w:tcBorders>
              <w:top w:val="single" w:sz="6" w:space="0" w:color="auto"/>
              <w:left w:val="nil"/>
              <w:bottom w:val="single" w:sz="6" w:space="0" w:color="auto"/>
              <w:right w:val="nil"/>
            </w:tcBorders>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46 836.6</w:t>
            </w:r>
          </w:p>
        </w:tc>
      </w:tr>
      <w:tr w:rsidR="00B03921" w:rsidRPr="007F25E4" w:rsidTr="00016914">
        <w:trPr>
          <w:cantSplit/>
        </w:trPr>
        <w:tc>
          <w:tcPr>
            <w:tcW w:w="920" w:type="dxa"/>
            <w:tcBorders>
              <w:top w:val="single" w:sz="6" w:space="0" w:color="auto"/>
              <w:left w:val="nil"/>
              <w:bottom w:val="single" w:sz="12" w:space="0" w:color="000000"/>
              <w:right w:val="nil"/>
            </w:tcBorders>
            <w:shd w:val="clear" w:color="auto" w:fill="auto"/>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(340.9)</w:t>
            </w:r>
          </w:p>
        </w:tc>
        <w:tc>
          <w:tcPr>
            <w:tcW w:w="120" w:type="dxa"/>
            <w:tcBorders>
              <w:top w:val="single" w:sz="6" w:space="0" w:color="auto"/>
              <w:left w:val="nil"/>
              <w:bottom w:val="single" w:sz="12" w:space="0" w:color="000000"/>
              <w:right w:val="nil"/>
            </w:tcBorders>
            <w:shd w:val="clear" w:color="auto" w:fill="auto"/>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7F25E4" w:rsidRDefault="00B03921" w:rsidP="00016914">
            <w:pPr>
              <w:autoSpaceDE w:val="0"/>
              <w:autoSpaceDN w:val="0"/>
              <w:adjustRightInd w:val="0"/>
              <w:spacing w:after="0"/>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Net receipts/(payments)</w:t>
            </w:r>
          </w:p>
        </w:tc>
        <w:tc>
          <w:tcPr>
            <w:tcW w:w="920" w:type="dxa"/>
            <w:tcBorders>
              <w:top w:val="single" w:sz="6" w:space="0" w:color="auto"/>
              <w:left w:val="nil"/>
              <w:bottom w:val="single" w:sz="12" w:space="0" w:color="000000"/>
              <w:right w:val="nil"/>
            </w:tcBorders>
            <w:shd w:val="clear" w:color="auto" w:fill="auto"/>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(1 022.3)</w:t>
            </w:r>
          </w:p>
        </w:tc>
        <w:tc>
          <w:tcPr>
            <w:tcW w:w="920" w:type="dxa"/>
            <w:tcBorders>
              <w:top w:val="single" w:sz="6" w:space="0" w:color="auto"/>
              <w:left w:val="nil"/>
              <w:bottom w:val="single" w:sz="12" w:space="0" w:color="000000"/>
              <w:right w:val="nil"/>
            </w:tcBorders>
            <w:shd w:val="clear" w:color="auto" w:fill="auto"/>
          </w:tcPr>
          <w:p w:rsidR="00B03921" w:rsidRPr="007F25E4" w:rsidRDefault="00B03921" w:rsidP="00016914">
            <w:pPr>
              <w:autoSpaceDE w:val="0"/>
              <w:autoSpaceDN w:val="0"/>
              <w:adjustRightInd w:val="0"/>
              <w:spacing w:after="0"/>
              <w:jc w:val="right"/>
              <w:rPr>
                <w:rFonts w:ascii="Calibri" w:eastAsiaTheme="minorEastAsia" w:hAnsi="Calibri" w:cs="Calibri"/>
                <w:b/>
                <w:bCs/>
                <w:sz w:val="18"/>
                <w:szCs w:val="22"/>
                <w:lang w:eastAsia="en-AU"/>
              </w:rPr>
            </w:pPr>
            <w:r w:rsidRPr="007F25E4">
              <w:rPr>
                <w:rFonts w:ascii="Calibri" w:eastAsiaTheme="minorEastAsia" w:hAnsi="Calibri" w:cs="Calibri"/>
                <w:b/>
                <w:bCs/>
                <w:sz w:val="18"/>
                <w:szCs w:val="22"/>
                <w:lang w:eastAsia="en-AU"/>
              </w:rPr>
              <w:t>(504.9)</w:t>
            </w:r>
          </w:p>
        </w:tc>
      </w:tr>
    </w:tbl>
    <w:p w:rsidR="00B03921" w:rsidRDefault="00B03921" w:rsidP="00016914">
      <w:pPr>
        <w:pStyle w:val="Notes"/>
      </w:pPr>
      <w:r>
        <w:t>Notes:</w:t>
      </w:r>
    </w:p>
    <w:p w:rsidR="00B03921" w:rsidRDefault="00B03921" w:rsidP="00016914">
      <w:pPr>
        <w:pStyle w:val="Notes"/>
      </w:pPr>
      <w:r>
        <w:t xml:space="preserve">(a) </w:t>
      </w:r>
      <w:r>
        <w:tab/>
        <w:t>On 4 December 2014, the Premier announced machinery of government changes effective from 1 January 2015. The following Victorian government departments were affected:</w:t>
      </w:r>
    </w:p>
    <w:p w:rsidR="00B03921" w:rsidRPr="007F25E4" w:rsidRDefault="00B03921" w:rsidP="007F25E4">
      <w:pPr>
        <w:pStyle w:val="NotesDash"/>
      </w:pPr>
      <w:r w:rsidRPr="007F25E4">
        <w:t xml:space="preserve">the Department of Education and Early Childhood Development was renamed the Department of Education and Training; </w:t>
      </w:r>
    </w:p>
    <w:p w:rsidR="00B03921" w:rsidRPr="007F25E4" w:rsidRDefault="00B03921" w:rsidP="007F25E4">
      <w:pPr>
        <w:pStyle w:val="NotesDash"/>
      </w:pPr>
      <w:r w:rsidRPr="007F25E4">
        <w:t xml:space="preserve">the Department of Environment and Primary Industries was renamed the Department of Environment, Land, Water and Planning; </w:t>
      </w:r>
    </w:p>
    <w:p w:rsidR="00B03921" w:rsidRPr="007F25E4" w:rsidRDefault="00B03921" w:rsidP="007F25E4">
      <w:pPr>
        <w:pStyle w:val="NotesDash"/>
      </w:pPr>
      <w:r w:rsidRPr="007F25E4">
        <w:t xml:space="preserve">the Department of Health was renamed the Department of Health and Human Services; </w:t>
      </w:r>
    </w:p>
    <w:p w:rsidR="00B03921" w:rsidRPr="007F25E4" w:rsidRDefault="00B03921" w:rsidP="007F25E4">
      <w:pPr>
        <w:pStyle w:val="NotesDash"/>
      </w:pPr>
      <w:r w:rsidRPr="007F25E4">
        <w:t xml:space="preserve">the Department of Justice was renamed the Department of Justice and Regulation; </w:t>
      </w:r>
    </w:p>
    <w:p w:rsidR="00B03921" w:rsidRPr="007F25E4" w:rsidRDefault="00B03921" w:rsidP="007F25E4">
      <w:pPr>
        <w:pStyle w:val="NotesDash"/>
      </w:pPr>
      <w:r w:rsidRPr="007F25E4">
        <w:t>the Department of State Development, Business and Innovation was renamed the Department of Economic Development, Jobs, Transport and Resources;</w:t>
      </w:r>
    </w:p>
    <w:p w:rsidR="00B03921" w:rsidRPr="007F25E4" w:rsidRDefault="00B03921" w:rsidP="007F25E4">
      <w:pPr>
        <w:pStyle w:val="NotesDash"/>
      </w:pPr>
      <w:r w:rsidRPr="007F25E4">
        <w:t>the Department of Human Services was abolished; and</w:t>
      </w:r>
    </w:p>
    <w:p w:rsidR="00B03921" w:rsidRPr="007F25E4" w:rsidRDefault="00B03921" w:rsidP="007F25E4">
      <w:pPr>
        <w:pStyle w:val="NotesDash"/>
      </w:pPr>
      <w:r w:rsidRPr="007F25E4">
        <w:t>the Department of Transport, Planning and Local Infrastructure was abolished.</w:t>
      </w:r>
    </w:p>
    <w:p w:rsidR="00B03921" w:rsidRPr="007F25E4" w:rsidRDefault="007F25E4" w:rsidP="007F25E4">
      <w:pPr>
        <w:pStyle w:val="NotesDash"/>
      </w:pPr>
      <w:r w:rsidRPr="007F25E4">
        <w:t>T</w:t>
      </w:r>
      <w:r w:rsidR="00B03921" w:rsidRPr="007F25E4">
        <w:t>he two abolished departments had their functions and operations transferred to other Victorian government departments. Functions and operations of the Department of Human Services were transferred to the Department of Health and Human Services and the Department of Premier and Cabinet. Functions and operations of the Department of Transport, Planning and Local Infrastructure were transferred to the Department of Environment, Land, Water and Planning, the Department of Health and Human Services and the Department of Economic Development, Jobs, Transport and Resources portfolio. Certain functions and operations of continuing Victorian government departments were also transferred amongst departments as part of the machinery of government changes.</w:t>
      </w:r>
    </w:p>
    <w:p w:rsidR="00B03921" w:rsidRDefault="00B03921" w:rsidP="00016914">
      <w:pPr>
        <w:pStyle w:val="Notes"/>
        <w:ind w:left="0" w:firstLine="0"/>
      </w:pPr>
      <w:r>
        <w:t>(b)</w:t>
      </w:r>
      <w:r>
        <w:tab/>
        <w:t>The March 2014 comparative figures have been restated to reflect more current information.</w:t>
      </w:r>
    </w:p>
    <w:p w:rsidR="00B03921" w:rsidRDefault="00B03921" w:rsidP="00016914">
      <w:pPr>
        <w:pStyle w:val="Notes"/>
        <w:rPr>
          <w:b/>
        </w:rPr>
      </w:pPr>
      <w:r>
        <w:t>(c)</w:t>
      </w:r>
      <w:r>
        <w:tab/>
        <w:t>Courts, which was formerly part of the Department of Justice, came into operation from 1 July 2014.</w:t>
      </w:r>
    </w:p>
    <w:p w:rsidR="007F25E4" w:rsidRPr="00F10B6E" w:rsidRDefault="007F25E4" w:rsidP="007F25E4">
      <w:pPr>
        <w:pStyle w:val="Heading2NotesContd"/>
      </w:pPr>
      <w:r>
        <w:t>Note 18</w:t>
      </w:r>
      <w:r w:rsidRPr="00C621D9">
        <w:t xml:space="preserve">: </w:t>
      </w:r>
      <w:r>
        <w:tab/>
      </w:r>
      <w:r w:rsidRPr="00C621D9">
        <w:t xml:space="preserve">Public </w:t>
      </w:r>
      <w:r w:rsidR="00CD6886">
        <w:t>A</w:t>
      </w:r>
      <w:r w:rsidR="00CD6886" w:rsidRPr="00C621D9">
        <w:t>ccount</w:t>
      </w:r>
      <w:r w:rsidR="00CD6886">
        <w:t xml:space="preserve"> </w:t>
      </w:r>
      <w:r w:rsidRPr="007F25E4">
        <w:rPr>
          <w:i/>
        </w:rPr>
        <w:t>(continued)</w:t>
      </w:r>
    </w:p>
    <w:p w:rsidR="00B03921" w:rsidRPr="00F10B6E" w:rsidRDefault="007F25E4" w:rsidP="007F25E4">
      <w:pPr>
        <w:pStyle w:val="Heading5"/>
      </w:pPr>
      <w:r>
        <w:t xml:space="preserve"> </w:t>
      </w:r>
      <w:r w:rsidR="00B03921">
        <w:t>(b)</w:t>
      </w:r>
      <w:r w:rsidR="00B03921">
        <w:tab/>
        <w:t>Trust f</w:t>
      </w:r>
      <w:r w:rsidR="00B03921" w:rsidRPr="00F10B6E">
        <w:t>und cash flow statement</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F6159C" w:rsidRPr="000F283C" w:rsidTr="007F25E4">
        <w:trPr>
          <w:cantSplit/>
          <w:trHeight w:val="559"/>
          <w:tblHeader/>
        </w:trPr>
        <w:tc>
          <w:tcPr>
            <w:tcW w:w="920" w:type="dxa"/>
            <w:tcBorders>
              <w:top w:val="single" w:sz="6" w:space="0" w:color="000000"/>
              <w:left w:val="single" w:sz="6" w:space="0" w:color="000000"/>
              <w:right w:val="nil"/>
            </w:tcBorders>
            <w:shd w:val="clear" w:color="000000" w:fill="000000"/>
          </w:tcPr>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2013-14</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 xml:space="preserve"> Actual </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to Mar</w:t>
            </w:r>
          </w:p>
        </w:tc>
        <w:tc>
          <w:tcPr>
            <w:tcW w:w="120" w:type="dxa"/>
            <w:tcBorders>
              <w:top w:val="single" w:sz="6" w:space="0" w:color="000000"/>
              <w:left w:val="nil"/>
              <w:right w:val="nil"/>
            </w:tcBorders>
            <w:shd w:val="clear" w:color="000000" w:fill="000000"/>
          </w:tcPr>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 xml:space="preserve"> </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 xml:space="preserve"> </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 xml:space="preserve"> </w:t>
            </w:r>
          </w:p>
        </w:tc>
        <w:tc>
          <w:tcPr>
            <w:tcW w:w="4880" w:type="dxa"/>
            <w:tcBorders>
              <w:top w:val="single" w:sz="6" w:space="0" w:color="000000"/>
              <w:left w:val="nil"/>
              <w:right w:val="nil"/>
            </w:tcBorders>
            <w:shd w:val="clear" w:color="000000" w:fill="000000"/>
          </w:tcPr>
          <w:p w:rsidR="00F6159C" w:rsidRPr="000F283C" w:rsidRDefault="00F6159C" w:rsidP="00F6159C">
            <w:pPr>
              <w:pStyle w:val="Tabletext"/>
              <w:rPr>
                <w:rFonts w:eastAsiaTheme="minorEastAsia"/>
                <w:i/>
                <w:sz w:val="19"/>
                <w:lang w:eastAsia="en-AU"/>
              </w:rPr>
            </w:pPr>
            <w:r w:rsidRPr="000F283C">
              <w:rPr>
                <w:rFonts w:eastAsiaTheme="minorEastAsia"/>
                <w:i/>
                <w:sz w:val="19"/>
                <w:lang w:eastAsia="en-AU"/>
              </w:rPr>
              <w:t xml:space="preserve"> </w:t>
            </w:r>
          </w:p>
          <w:p w:rsidR="00F6159C" w:rsidRPr="000F283C" w:rsidRDefault="00F6159C" w:rsidP="00016914">
            <w:pPr>
              <w:pStyle w:val="Tabletext"/>
              <w:rPr>
                <w:rFonts w:eastAsiaTheme="minorEastAsia"/>
                <w:i/>
                <w:sz w:val="19"/>
                <w:lang w:eastAsia="en-AU"/>
              </w:rPr>
            </w:pPr>
          </w:p>
        </w:tc>
        <w:tc>
          <w:tcPr>
            <w:tcW w:w="920" w:type="dxa"/>
            <w:tcBorders>
              <w:top w:val="single" w:sz="6" w:space="0" w:color="000000"/>
              <w:left w:val="nil"/>
              <w:right w:val="nil"/>
            </w:tcBorders>
            <w:shd w:val="clear" w:color="000000" w:fill="000000"/>
          </w:tcPr>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2014-15</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 xml:space="preserve"> Actual </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to Mar</w:t>
            </w:r>
          </w:p>
        </w:tc>
        <w:tc>
          <w:tcPr>
            <w:tcW w:w="920" w:type="dxa"/>
            <w:tcBorders>
              <w:top w:val="single" w:sz="6" w:space="0" w:color="000000"/>
              <w:left w:val="nil"/>
              <w:right w:val="single" w:sz="6" w:space="0" w:color="000000"/>
            </w:tcBorders>
            <w:shd w:val="clear" w:color="000000" w:fill="000000"/>
          </w:tcPr>
          <w:p w:rsidR="00F6159C" w:rsidRDefault="00F6159C" w:rsidP="00016914">
            <w:pPr>
              <w:pStyle w:val="Tabletextheading"/>
              <w:rPr>
                <w:rFonts w:eastAsiaTheme="minorEastAsia"/>
                <w:color w:val="FFFFFF"/>
                <w:sz w:val="19"/>
                <w:lang w:eastAsia="en-AU"/>
              </w:rPr>
            </w:pP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Revised</w:t>
            </w:r>
          </w:p>
          <w:p w:rsidR="00F6159C" w:rsidRPr="000F283C" w:rsidRDefault="00F6159C" w:rsidP="00016914">
            <w:pPr>
              <w:pStyle w:val="Tabletextheading"/>
              <w:rPr>
                <w:rFonts w:eastAsiaTheme="minorEastAsia"/>
                <w:color w:val="FFFFFF"/>
                <w:sz w:val="19"/>
                <w:lang w:eastAsia="en-AU"/>
              </w:rPr>
            </w:pPr>
            <w:r w:rsidRPr="000F283C">
              <w:rPr>
                <w:rFonts w:eastAsiaTheme="minorEastAsia"/>
                <w:color w:val="FFFFFF"/>
                <w:sz w:val="19"/>
                <w:lang w:eastAsia="en-AU"/>
              </w:rPr>
              <w:t>budget</w:t>
            </w:r>
          </w:p>
        </w:tc>
      </w:tr>
      <w:tr w:rsidR="00F6159C" w:rsidRPr="00FC6FA8" w:rsidTr="004C0BC4">
        <w:trPr>
          <w:cantSplit/>
        </w:trPr>
        <w:tc>
          <w:tcPr>
            <w:tcW w:w="920" w:type="dxa"/>
            <w:tcBorders>
              <w:top w:val="single" w:sz="6" w:space="0" w:color="000000"/>
              <w:left w:val="nil"/>
              <w:bottom w:val="nil"/>
              <w:right w:val="nil"/>
            </w:tcBorders>
          </w:tcPr>
          <w:p w:rsidR="00F6159C" w:rsidRPr="00FC6FA8" w:rsidRDefault="00F6159C" w:rsidP="00016914">
            <w:pPr>
              <w:pStyle w:val="TableofFigures"/>
              <w:rPr>
                <w:rFonts w:eastAsiaTheme="minorEastAsia"/>
                <w:sz w:val="19"/>
                <w:lang w:eastAsia="en-AU"/>
              </w:rPr>
            </w:pPr>
            <w:r w:rsidRPr="00FC6FA8">
              <w:rPr>
                <w:rFonts w:eastAsiaTheme="minorEastAsia"/>
                <w:sz w:val="19"/>
                <w:lang w:eastAsia="en-AU"/>
              </w:rPr>
              <w:t xml:space="preserve"> </w:t>
            </w:r>
          </w:p>
        </w:tc>
        <w:tc>
          <w:tcPr>
            <w:tcW w:w="120" w:type="dxa"/>
            <w:tcBorders>
              <w:top w:val="single" w:sz="6" w:space="0" w:color="000000"/>
              <w:left w:val="nil"/>
              <w:bottom w:val="nil"/>
              <w:right w:val="nil"/>
            </w:tcBorders>
          </w:tcPr>
          <w:p w:rsidR="00F6159C" w:rsidRPr="00FC6FA8" w:rsidRDefault="00F6159C" w:rsidP="00016914">
            <w:pPr>
              <w:pStyle w:val="TableofFigures"/>
              <w:rPr>
                <w:rFonts w:eastAsiaTheme="minorEastAsia"/>
                <w:sz w:val="19"/>
                <w:lang w:eastAsia="en-AU"/>
              </w:rPr>
            </w:pPr>
            <w:r w:rsidRPr="00FC6FA8">
              <w:rPr>
                <w:rFonts w:eastAsiaTheme="minorEastAsia"/>
                <w:sz w:val="19"/>
                <w:lang w:eastAsia="en-AU"/>
              </w:rPr>
              <w:t xml:space="preserve"> </w:t>
            </w:r>
          </w:p>
        </w:tc>
        <w:tc>
          <w:tcPr>
            <w:tcW w:w="6720" w:type="dxa"/>
            <w:gridSpan w:val="3"/>
            <w:tcBorders>
              <w:top w:val="single" w:sz="6" w:space="0" w:color="000000"/>
              <w:left w:val="nil"/>
              <w:bottom w:val="nil"/>
              <w:right w:val="nil"/>
            </w:tcBorders>
          </w:tcPr>
          <w:p w:rsidR="00F6159C" w:rsidRPr="00FC6FA8" w:rsidRDefault="00F6159C" w:rsidP="00F6159C">
            <w:pPr>
              <w:pStyle w:val="Tabletext"/>
              <w:rPr>
                <w:rFonts w:eastAsiaTheme="minorEastAsia"/>
                <w:sz w:val="19"/>
                <w:lang w:eastAsia="en-AU"/>
              </w:rPr>
            </w:pPr>
            <w:r w:rsidRPr="00FC6FA8">
              <w:rPr>
                <w:rFonts w:eastAsiaTheme="minorEastAsia"/>
                <w:b/>
                <w:bCs/>
                <w:sz w:val="19"/>
                <w:lang w:eastAsia="en-AU"/>
              </w:rPr>
              <w:t>Cash flows from operating activities</w:t>
            </w:r>
          </w:p>
        </w:tc>
      </w:tr>
      <w:tr w:rsidR="00F6159C" w:rsidRPr="000F283C" w:rsidTr="00A94433">
        <w:trPr>
          <w:cantSplit/>
        </w:trPr>
        <w:tc>
          <w:tcPr>
            <w:tcW w:w="9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r w:rsidRPr="000F283C">
              <w:rPr>
                <w:rFonts w:eastAsiaTheme="minorEastAsia"/>
                <w:sz w:val="19"/>
                <w:lang w:eastAsia="en-AU"/>
              </w:rPr>
              <w:t xml:space="preserve"> </w:t>
            </w:r>
          </w:p>
        </w:tc>
        <w:tc>
          <w:tcPr>
            <w:tcW w:w="1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r w:rsidRPr="000F283C">
              <w:rPr>
                <w:rFonts w:eastAsiaTheme="minorEastAsia"/>
                <w:sz w:val="19"/>
                <w:lang w:eastAsia="en-AU"/>
              </w:rPr>
              <w:t xml:space="preserve"> </w:t>
            </w:r>
          </w:p>
        </w:tc>
        <w:tc>
          <w:tcPr>
            <w:tcW w:w="6720" w:type="dxa"/>
            <w:gridSpan w:val="3"/>
            <w:tcBorders>
              <w:top w:val="nil"/>
              <w:left w:val="nil"/>
              <w:bottom w:val="nil"/>
              <w:right w:val="nil"/>
            </w:tcBorders>
          </w:tcPr>
          <w:p w:rsidR="00F6159C" w:rsidRPr="000F283C" w:rsidRDefault="00F6159C" w:rsidP="00F6159C">
            <w:pPr>
              <w:pStyle w:val="Tabletext"/>
              <w:rPr>
                <w:rFonts w:eastAsiaTheme="minorEastAsia"/>
                <w:sz w:val="19"/>
                <w:lang w:eastAsia="en-AU"/>
              </w:rPr>
            </w:pPr>
            <w:r w:rsidRPr="000F283C">
              <w:rPr>
                <w:rFonts w:eastAsiaTheme="minorEastAsia"/>
                <w:b/>
                <w:bCs/>
                <w:sz w:val="19"/>
                <w:lang w:eastAsia="en-AU"/>
              </w:rPr>
              <w:t>Receipts</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300.7</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Taxation</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285.7</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295.5</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37.2</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Regulatory fees and fines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41.2</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50.1</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6 012.9</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vertAlign w:val="superscript"/>
                <w:lang w:eastAsia="en-AU"/>
              </w:rPr>
            </w:pPr>
            <w:r w:rsidRPr="000F283C">
              <w:rPr>
                <w:rFonts w:eastAsiaTheme="minorEastAsia"/>
                <w:sz w:val="19"/>
                <w:lang w:eastAsia="en-AU"/>
              </w:rPr>
              <w:t>Grants received</w:t>
            </w:r>
            <w:r w:rsidRPr="000F283C">
              <w:rPr>
                <w:rFonts w:eastAsiaTheme="minorEastAsia"/>
                <w:sz w:val="19"/>
                <w:vertAlign w:val="superscript"/>
                <w:lang w:eastAsia="en-AU"/>
              </w:rPr>
              <w:t>(a)</w:t>
            </w:r>
          </w:p>
        </w:tc>
        <w:tc>
          <w:tcPr>
            <w:tcW w:w="920" w:type="dxa"/>
            <w:tcBorders>
              <w:top w:val="nil"/>
              <w:left w:val="nil"/>
              <w:bottom w:val="nil"/>
              <w:right w:val="nil"/>
            </w:tcBorders>
            <w:shd w:val="solid" w:color="FFFFFF" w:fill="auto"/>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7 022.3</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8 320.1</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479.1</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Sale of goods and services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324.3</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339.8</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66.7</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Interest received</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71.3</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92.7</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7 417.5</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Net transfers from consolidated fund</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6 767.6</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7 577.5</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98.4</w:t>
            </w:r>
          </w:p>
        </w:tc>
        <w:tc>
          <w:tcPr>
            <w:tcW w:w="120" w:type="dxa"/>
            <w:tcBorders>
              <w:top w:val="nil"/>
              <w:left w:val="nil"/>
              <w:bottom w:val="single" w:sz="6" w:space="0" w:color="auto"/>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single" w:sz="6" w:space="0" w:color="auto"/>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Other receipts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109.8</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155.3</w:t>
            </w:r>
          </w:p>
        </w:tc>
      </w:tr>
      <w:tr w:rsidR="00B03921" w:rsidRPr="000F283C" w:rsidTr="00016914">
        <w:trPr>
          <w:cantSplit/>
        </w:trPr>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14 412.5</w:t>
            </w:r>
          </w:p>
        </w:tc>
        <w:tc>
          <w:tcPr>
            <w:tcW w:w="1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Total receipts</w:t>
            </w:r>
          </w:p>
        </w:tc>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14 622.1</w:t>
            </w:r>
          </w:p>
        </w:tc>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16 830.9</w:t>
            </w:r>
          </w:p>
        </w:tc>
      </w:tr>
      <w:tr w:rsidR="00F6159C" w:rsidRPr="000F283C" w:rsidTr="00774B67">
        <w:trPr>
          <w:cantSplit/>
        </w:trPr>
        <w:tc>
          <w:tcPr>
            <w:tcW w:w="9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p>
        </w:tc>
        <w:tc>
          <w:tcPr>
            <w:tcW w:w="1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r w:rsidRPr="000F283C">
              <w:rPr>
                <w:rFonts w:eastAsiaTheme="minorEastAsia"/>
                <w:sz w:val="19"/>
                <w:lang w:eastAsia="en-AU"/>
              </w:rPr>
              <w:t xml:space="preserve"> </w:t>
            </w:r>
          </w:p>
        </w:tc>
        <w:tc>
          <w:tcPr>
            <w:tcW w:w="6720" w:type="dxa"/>
            <w:gridSpan w:val="3"/>
            <w:tcBorders>
              <w:top w:val="nil"/>
              <w:left w:val="nil"/>
              <w:bottom w:val="nil"/>
              <w:right w:val="nil"/>
            </w:tcBorders>
          </w:tcPr>
          <w:p w:rsidR="00F6159C" w:rsidRPr="000F283C" w:rsidRDefault="00F6159C" w:rsidP="00F6159C">
            <w:pPr>
              <w:pStyle w:val="TableofFigures"/>
              <w:jc w:val="left"/>
              <w:rPr>
                <w:rFonts w:eastAsiaTheme="minorEastAsia"/>
                <w:sz w:val="19"/>
                <w:lang w:eastAsia="en-AU"/>
              </w:rPr>
            </w:pPr>
            <w:r w:rsidRPr="000F283C">
              <w:rPr>
                <w:rFonts w:eastAsiaTheme="minorEastAsia"/>
                <w:b/>
                <w:bCs/>
                <w:sz w:val="19"/>
                <w:lang w:eastAsia="en-AU"/>
              </w:rPr>
              <w:t>Payments</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(100.2)</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Employee benefits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(113.1)</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(185.7)</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(8.6)</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Superannuation</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(9.7)</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(14.0)</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(13 009.6)</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vertAlign w:val="superscript"/>
                <w:lang w:eastAsia="en-AU"/>
              </w:rPr>
            </w:pPr>
            <w:r w:rsidRPr="000F283C">
              <w:rPr>
                <w:rFonts w:eastAsiaTheme="minorEastAsia"/>
                <w:sz w:val="19"/>
                <w:lang w:eastAsia="en-AU"/>
              </w:rPr>
              <w:t>Grants paid</w:t>
            </w:r>
            <w:r w:rsidRPr="000F283C">
              <w:rPr>
                <w:rFonts w:eastAsiaTheme="minorEastAsia"/>
                <w:sz w:val="19"/>
                <w:vertAlign w:val="superscript"/>
                <w:lang w:eastAsia="en-AU"/>
              </w:rPr>
              <w:t>(a)</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(12 572.0)</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(13 836.1)</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(1 377.8)</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vertAlign w:val="superscript"/>
                <w:lang w:eastAsia="en-AU"/>
              </w:rPr>
            </w:pPr>
            <w:r w:rsidRPr="000F283C">
              <w:rPr>
                <w:rFonts w:eastAsiaTheme="minorEastAsia"/>
                <w:sz w:val="19"/>
                <w:lang w:eastAsia="en-AU"/>
              </w:rPr>
              <w:t>Supplies and consumables</w:t>
            </w:r>
            <w:r w:rsidRPr="000F283C">
              <w:rPr>
                <w:rFonts w:eastAsiaTheme="minorEastAsia"/>
                <w:sz w:val="19"/>
                <w:vertAlign w:val="superscript"/>
                <w:lang w:eastAsia="en-AU"/>
              </w:rPr>
              <w:t xml:space="preserve"> </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(1 442.9)</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(2 224.6)</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(6.0)</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Interest paid</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(4.2)</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(7.5)</w:t>
            </w:r>
          </w:p>
        </w:tc>
      </w:tr>
      <w:tr w:rsidR="00B03921" w:rsidRPr="000F283C" w:rsidTr="00016914">
        <w:trPr>
          <w:cantSplit/>
        </w:trPr>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(14 502.1)</w:t>
            </w:r>
          </w:p>
        </w:tc>
        <w:tc>
          <w:tcPr>
            <w:tcW w:w="1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single" w:sz="6" w:space="0" w:color="auto"/>
              <w:left w:val="nil"/>
              <w:bottom w:val="single" w:sz="6" w:space="0" w:color="auto"/>
              <w:right w:val="nil"/>
            </w:tcBorders>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Total payments</w:t>
            </w:r>
          </w:p>
        </w:tc>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(14 141.8)</w:t>
            </w:r>
          </w:p>
        </w:tc>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(16 267.9)</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(89.6)</w:t>
            </w:r>
          </w:p>
        </w:tc>
        <w:tc>
          <w:tcPr>
            <w:tcW w:w="1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Net cash flows from operating activities</w:t>
            </w:r>
          </w:p>
        </w:tc>
        <w:tc>
          <w:tcPr>
            <w:tcW w:w="9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480.3</w:t>
            </w:r>
          </w:p>
        </w:tc>
        <w:tc>
          <w:tcPr>
            <w:tcW w:w="9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563.1</w:t>
            </w:r>
          </w:p>
        </w:tc>
      </w:tr>
      <w:tr w:rsidR="00F6159C" w:rsidRPr="000F283C" w:rsidTr="00E950B8">
        <w:trPr>
          <w:cantSplit/>
        </w:trPr>
        <w:tc>
          <w:tcPr>
            <w:tcW w:w="9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r w:rsidRPr="000F283C">
              <w:rPr>
                <w:rFonts w:eastAsiaTheme="minorEastAsia"/>
                <w:sz w:val="19"/>
                <w:lang w:eastAsia="en-AU"/>
              </w:rPr>
              <w:t xml:space="preserve"> </w:t>
            </w:r>
          </w:p>
        </w:tc>
        <w:tc>
          <w:tcPr>
            <w:tcW w:w="120" w:type="dxa"/>
            <w:tcBorders>
              <w:top w:val="nil"/>
              <w:left w:val="nil"/>
              <w:bottom w:val="nil"/>
              <w:right w:val="nil"/>
            </w:tcBorders>
          </w:tcPr>
          <w:p w:rsidR="00F6159C" w:rsidRPr="000F283C" w:rsidRDefault="00F6159C" w:rsidP="00016914">
            <w:pPr>
              <w:pStyle w:val="TableofFigures"/>
              <w:rPr>
                <w:rFonts w:eastAsiaTheme="minorEastAsia"/>
                <w:sz w:val="19"/>
                <w:lang w:eastAsia="en-AU"/>
              </w:rPr>
            </w:pPr>
            <w:r w:rsidRPr="000F283C">
              <w:rPr>
                <w:rFonts w:eastAsiaTheme="minorEastAsia"/>
                <w:sz w:val="19"/>
                <w:lang w:eastAsia="en-AU"/>
              </w:rPr>
              <w:t xml:space="preserve"> </w:t>
            </w:r>
          </w:p>
        </w:tc>
        <w:tc>
          <w:tcPr>
            <w:tcW w:w="6720" w:type="dxa"/>
            <w:gridSpan w:val="3"/>
            <w:tcBorders>
              <w:top w:val="nil"/>
              <w:left w:val="nil"/>
              <w:bottom w:val="nil"/>
              <w:right w:val="nil"/>
            </w:tcBorders>
          </w:tcPr>
          <w:p w:rsidR="00F6159C" w:rsidRPr="000F283C" w:rsidRDefault="00F6159C" w:rsidP="00F6159C">
            <w:pPr>
              <w:pStyle w:val="TableofFigures"/>
              <w:jc w:val="left"/>
              <w:rPr>
                <w:rFonts w:eastAsiaTheme="minorEastAsia"/>
                <w:sz w:val="19"/>
                <w:lang w:eastAsia="en-AU"/>
              </w:rPr>
            </w:pPr>
            <w:r w:rsidRPr="000F283C">
              <w:rPr>
                <w:rFonts w:eastAsiaTheme="minorEastAsia"/>
                <w:b/>
                <w:bCs/>
                <w:sz w:val="19"/>
                <w:lang w:eastAsia="en-AU"/>
              </w:rPr>
              <w:t>Cash flows from investing activities</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(0.2)</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Net proceeds from customer loans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0.6</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34.1</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Proceeds from sale of property, plant and equipment</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61.2</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34.7</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(40.2)</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 xml:space="preserve">Purchases of property, plant and equipment </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(8.0)</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(30.4)</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(6.2)</w:t>
            </w:r>
          </w:p>
        </w:tc>
        <w:tc>
          <w:tcPr>
            <w:tcW w:w="120" w:type="dxa"/>
            <w:tcBorders>
              <w:top w:val="nil"/>
              <w:left w:val="nil"/>
              <w:bottom w:val="single" w:sz="6" w:space="0" w:color="auto"/>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single" w:sz="6" w:space="0" w:color="auto"/>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Other investing activities</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(97.5)</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(66.0)</w:t>
            </w:r>
          </w:p>
        </w:tc>
      </w:tr>
      <w:tr w:rsidR="00B03921" w:rsidRPr="000F283C" w:rsidTr="00016914">
        <w:trPr>
          <w:cantSplit/>
        </w:trPr>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(12.2)</w:t>
            </w:r>
          </w:p>
        </w:tc>
        <w:tc>
          <w:tcPr>
            <w:tcW w:w="120" w:type="dxa"/>
            <w:tcBorders>
              <w:top w:val="nil"/>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Net cash flows from investing activities</w:t>
            </w:r>
          </w:p>
        </w:tc>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(43.7)</w:t>
            </w:r>
          </w:p>
        </w:tc>
        <w:tc>
          <w:tcPr>
            <w:tcW w:w="920" w:type="dxa"/>
            <w:tcBorders>
              <w:top w:val="single" w:sz="6" w:space="0" w:color="auto"/>
              <w:left w:val="nil"/>
              <w:bottom w:val="nil"/>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(61.8)</w:t>
            </w:r>
          </w:p>
        </w:tc>
      </w:tr>
      <w:tr w:rsidR="0075075C" w:rsidRPr="000F283C" w:rsidTr="009D5A49">
        <w:trPr>
          <w:cantSplit/>
        </w:trPr>
        <w:tc>
          <w:tcPr>
            <w:tcW w:w="920" w:type="dxa"/>
            <w:tcBorders>
              <w:top w:val="nil"/>
              <w:left w:val="nil"/>
              <w:bottom w:val="nil"/>
              <w:right w:val="nil"/>
            </w:tcBorders>
          </w:tcPr>
          <w:p w:rsidR="0075075C" w:rsidRPr="000F283C" w:rsidRDefault="0075075C" w:rsidP="00016914">
            <w:pPr>
              <w:pStyle w:val="TableofFigures"/>
              <w:rPr>
                <w:rFonts w:eastAsiaTheme="minorEastAsia"/>
                <w:sz w:val="19"/>
                <w:lang w:eastAsia="en-AU"/>
              </w:rPr>
            </w:pPr>
          </w:p>
        </w:tc>
        <w:tc>
          <w:tcPr>
            <w:tcW w:w="120" w:type="dxa"/>
            <w:tcBorders>
              <w:top w:val="nil"/>
              <w:left w:val="nil"/>
              <w:bottom w:val="nil"/>
              <w:right w:val="nil"/>
            </w:tcBorders>
          </w:tcPr>
          <w:p w:rsidR="0075075C" w:rsidRPr="000F283C" w:rsidRDefault="0075075C" w:rsidP="00016914">
            <w:pPr>
              <w:pStyle w:val="TableofFigures"/>
              <w:rPr>
                <w:rFonts w:eastAsiaTheme="minorEastAsia"/>
                <w:sz w:val="19"/>
                <w:lang w:eastAsia="en-AU"/>
              </w:rPr>
            </w:pPr>
            <w:r w:rsidRPr="000F283C">
              <w:rPr>
                <w:rFonts w:eastAsiaTheme="minorEastAsia"/>
                <w:sz w:val="19"/>
                <w:lang w:eastAsia="en-AU"/>
              </w:rPr>
              <w:t xml:space="preserve"> </w:t>
            </w:r>
          </w:p>
        </w:tc>
        <w:tc>
          <w:tcPr>
            <w:tcW w:w="6720" w:type="dxa"/>
            <w:gridSpan w:val="3"/>
            <w:tcBorders>
              <w:top w:val="nil"/>
              <w:left w:val="nil"/>
              <w:bottom w:val="nil"/>
              <w:right w:val="nil"/>
            </w:tcBorders>
          </w:tcPr>
          <w:p w:rsidR="0075075C" w:rsidRPr="000F283C" w:rsidRDefault="0075075C" w:rsidP="0075075C">
            <w:pPr>
              <w:pStyle w:val="TableofFigures"/>
              <w:jc w:val="left"/>
              <w:rPr>
                <w:rFonts w:eastAsiaTheme="minorEastAsia"/>
                <w:sz w:val="19"/>
                <w:lang w:eastAsia="en-AU"/>
              </w:rPr>
            </w:pPr>
            <w:r w:rsidRPr="000F283C">
              <w:rPr>
                <w:rFonts w:eastAsiaTheme="minorEastAsia"/>
                <w:b/>
                <w:bCs/>
                <w:sz w:val="19"/>
                <w:lang w:eastAsia="en-AU"/>
              </w:rPr>
              <w:t>Cash flows from financing activities</w:t>
            </w:r>
          </w:p>
        </w:tc>
      </w:tr>
      <w:tr w:rsidR="00B03921" w:rsidRPr="000F283C" w:rsidTr="00016914">
        <w:trPr>
          <w:cantSplit/>
        </w:trPr>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(480.1)</w:t>
            </w:r>
          </w:p>
        </w:tc>
        <w:tc>
          <w:tcPr>
            <w:tcW w:w="1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 xml:space="preserve"> </w:t>
            </w:r>
          </w:p>
        </w:tc>
        <w:tc>
          <w:tcPr>
            <w:tcW w:w="4880" w:type="dxa"/>
            <w:tcBorders>
              <w:top w:val="nil"/>
              <w:left w:val="nil"/>
              <w:bottom w:val="nil"/>
              <w:right w:val="nil"/>
            </w:tcBorders>
          </w:tcPr>
          <w:p w:rsidR="00B03921" w:rsidRPr="000F283C" w:rsidRDefault="00B03921" w:rsidP="00016914">
            <w:pPr>
              <w:pStyle w:val="Tabletext"/>
              <w:rPr>
                <w:rFonts w:eastAsiaTheme="minorEastAsia"/>
                <w:sz w:val="19"/>
                <w:lang w:eastAsia="en-AU"/>
              </w:rPr>
            </w:pPr>
            <w:r w:rsidRPr="000F283C">
              <w:rPr>
                <w:rFonts w:eastAsiaTheme="minorEastAsia"/>
                <w:sz w:val="19"/>
                <w:lang w:eastAsia="en-AU"/>
              </w:rPr>
              <w:t xml:space="preserve">Net proceeds (repayments) from borrowings </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(92.7)</w:t>
            </w:r>
          </w:p>
        </w:tc>
        <w:tc>
          <w:tcPr>
            <w:tcW w:w="920" w:type="dxa"/>
            <w:tcBorders>
              <w:top w:val="nil"/>
              <w:left w:val="nil"/>
              <w:bottom w:val="nil"/>
              <w:right w:val="nil"/>
            </w:tcBorders>
          </w:tcPr>
          <w:p w:rsidR="00B03921" w:rsidRPr="000F283C" w:rsidRDefault="00B03921" w:rsidP="00016914">
            <w:pPr>
              <w:pStyle w:val="TableofFigures"/>
              <w:rPr>
                <w:rFonts w:eastAsiaTheme="minorEastAsia"/>
                <w:sz w:val="19"/>
                <w:lang w:eastAsia="en-AU"/>
              </w:rPr>
            </w:pPr>
            <w:r w:rsidRPr="000F283C">
              <w:rPr>
                <w:rFonts w:eastAsiaTheme="minorEastAsia"/>
                <w:sz w:val="19"/>
                <w:lang w:eastAsia="en-AU"/>
              </w:rPr>
              <w:t>(149.1)</w:t>
            </w:r>
          </w:p>
        </w:tc>
      </w:tr>
      <w:tr w:rsidR="00B03921" w:rsidRPr="000F283C" w:rsidTr="00016914">
        <w:trPr>
          <w:cantSplit/>
        </w:trPr>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(480.1)</w:t>
            </w:r>
          </w:p>
        </w:tc>
        <w:tc>
          <w:tcPr>
            <w:tcW w:w="1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single" w:sz="6" w:space="0" w:color="auto"/>
              <w:left w:val="nil"/>
              <w:bottom w:val="single" w:sz="6" w:space="0" w:color="auto"/>
              <w:right w:val="nil"/>
            </w:tcBorders>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 xml:space="preserve">Net cash flows from financing activities </w:t>
            </w:r>
          </w:p>
        </w:tc>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(92.7)</w:t>
            </w:r>
          </w:p>
        </w:tc>
        <w:tc>
          <w:tcPr>
            <w:tcW w:w="920" w:type="dxa"/>
            <w:tcBorders>
              <w:top w:val="single" w:sz="6" w:space="0" w:color="auto"/>
              <w:left w:val="nil"/>
              <w:bottom w:val="single" w:sz="6" w:space="0" w:color="auto"/>
              <w:right w:val="nil"/>
            </w:tcBorders>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(149.1)</w:t>
            </w:r>
          </w:p>
        </w:tc>
      </w:tr>
      <w:tr w:rsidR="00B03921" w:rsidRPr="000F283C" w:rsidTr="00016914">
        <w:trPr>
          <w:cantSplit/>
        </w:trPr>
        <w:tc>
          <w:tcPr>
            <w:tcW w:w="920" w:type="dxa"/>
            <w:tcBorders>
              <w:top w:val="single" w:sz="6" w:space="0" w:color="auto"/>
              <w:left w:val="nil"/>
              <w:bottom w:val="single" w:sz="12" w:space="0" w:color="000000"/>
              <w:right w:val="nil"/>
            </w:tcBorders>
            <w:shd w:val="clear" w:color="auto" w:fill="auto"/>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(581.9)</w:t>
            </w:r>
          </w:p>
        </w:tc>
        <w:tc>
          <w:tcPr>
            <w:tcW w:w="120" w:type="dxa"/>
            <w:tcBorders>
              <w:top w:val="single" w:sz="6" w:space="0" w:color="auto"/>
              <w:left w:val="nil"/>
              <w:bottom w:val="single" w:sz="12" w:space="0" w:color="000000"/>
              <w:right w:val="nil"/>
            </w:tcBorders>
            <w:shd w:val="clear" w:color="auto" w:fill="auto"/>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0F283C" w:rsidRDefault="00B03921" w:rsidP="00016914">
            <w:pPr>
              <w:pStyle w:val="Tabletext"/>
              <w:rPr>
                <w:rFonts w:eastAsiaTheme="minorEastAsia"/>
                <w:b/>
                <w:bCs/>
                <w:sz w:val="19"/>
                <w:lang w:eastAsia="en-AU"/>
              </w:rPr>
            </w:pPr>
            <w:r w:rsidRPr="000F283C">
              <w:rPr>
                <w:rFonts w:eastAsiaTheme="minorEastAsia"/>
                <w:b/>
                <w:bCs/>
                <w:sz w:val="19"/>
                <w:lang w:eastAsia="en-AU"/>
              </w:rPr>
              <w:t>Net cash inflow/(outflow)</w:t>
            </w:r>
          </w:p>
        </w:tc>
        <w:tc>
          <w:tcPr>
            <w:tcW w:w="920" w:type="dxa"/>
            <w:tcBorders>
              <w:top w:val="single" w:sz="6" w:space="0" w:color="auto"/>
              <w:left w:val="nil"/>
              <w:bottom w:val="single" w:sz="12" w:space="0" w:color="000000"/>
              <w:right w:val="nil"/>
            </w:tcBorders>
            <w:shd w:val="clear" w:color="auto" w:fill="auto"/>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344.0</w:t>
            </w:r>
          </w:p>
        </w:tc>
        <w:tc>
          <w:tcPr>
            <w:tcW w:w="920" w:type="dxa"/>
            <w:tcBorders>
              <w:top w:val="single" w:sz="6" w:space="0" w:color="auto"/>
              <w:left w:val="nil"/>
              <w:bottom w:val="single" w:sz="12" w:space="0" w:color="000000"/>
              <w:right w:val="nil"/>
            </w:tcBorders>
            <w:shd w:val="clear" w:color="auto" w:fill="auto"/>
          </w:tcPr>
          <w:p w:rsidR="00B03921" w:rsidRPr="000F283C" w:rsidRDefault="00B03921" w:rsidP="00016914">
            <w:pPr>
              <w:pStyle w:val="TableofFigures"/>
              <w:rPr>
                <w:rFonts w:eastAsiaTheme="minorEastAsia"/>
                <w:b/>
                <w:bCs/>
                <w:sz w:val="19"/>
                <w:lang w:eastAsia="en-AU"/>
              </w:rPr>
            </w:pPr>
            <w:r w:rsidRPr="000F283C">
              <w:rPr>
                <w:rFonts w:eastAsiaTheme="minorEastAsia"/>
                <w:b/>
                <w:bCs/>
                <w:sz w:val="19"/>
                <w:lang w:eastAsia="en-AU"/>
              </w:rPr>
              <w:t xml:space="preserve"> 352.2</w:t>
            </w:r>
          </w:p>
        </w:tc>
      </w:tr>
    </w:tbl>
    <w:p w:rsidR="00B03921" w:rsidRDefault="00B03921" w:rsidP="00016914">
      <w:pPr>
        <w:pStyle w:val="Notes"/>
      </w:pPr>
      <w:r>
        <w:t>Note:</w:t>
      </w:r>
    </w:p>
    <w:p w:rsidR="00B03921" w:rsidRPr="00F10B6E" w:rsidRDefault="00B03921" w:rsidP="00016914">
      <w:pPr>
        <w:pStyle w:val="Notes"/>
      </w:pPr>
      <w:r>
        <w:t>(a)</w:t>
      </w:r>
      <w:r>
        <w:tab/>
        <w:t>The March 2014 comparatives have been restated to reflect more current information.</w:t>
      </w:r>
      <w:r w:rsidRPr="00F10B6E">
        <w:t xml:space="preserve"> </w:t>
      </w:r>
    </w:p>
    <w:p w:rsidR="00B03921" w:rsidRPr="00F10B6E" w:rsidRDefault="00B03921" w:rsidP="00016914">
      <w:pPr>
        <w:pStyle w:val="BodyText"/>
      </w:pPr>
    </w:p>
    <w:p w:rsidR="00B03921" w:rsidRDefault="00B03921" w:rsidP="00016914">
      <w:pPr>
        <w:pStyle w:val="million"/>
        <w:jc w:val="left"/>
      </w:pPr>
    </w:p>
    <w:p w:rsidR="00B03921" w:rsidRPr="00F10B6E" w:rsidRDefault="00B03921" w:rsidP="00016914">
      <w:pPr>
        <w:pStyle w:val="million"/>
      </w:pPr>
    </w:p>
    <w:p w:rsidR="00B03921" w:rsidRDefault="00B03921">
      <w:pPr>
        <w:spacing w:after="0"/>
        <w:rPr>
          <w:rFonts w:ascii="Calibri" w:hAnsi="Calibri"/>
          <w:b/>
        </w:rPr>
      </w:pPr>
      <w:r>
        <w:br w:type="page"/>
      </w:r>
    </w:p>
    <w:p w:rsidR="007F25E4" w:rsidRPr="00F10B6E" w:rsidRDefault="007F25E4" w:rsidP="007F25E4">
      <w:pPr>
        <w:pStyle w:val="Heading2NotesContd"/>
      </w:pPr>
      <w:r>
        <w:t>Note 18</w:t>
      </w:r>
      <w:r w:rsidRPr="00C621D9">
        <w:t xml:space="preserve">: </w:t>
      </w:r>
      <w:r>
        <w:tab/>
      </w:r>
      <w:r w:rsidRPr="00C621D9">
        <w:t xml:space="preserve">Public </w:t>
      </w:r>
      <w:r w:rsidR="00CD6886">
        <w:t>A</w:t>
      </w:r>
      <w:r w:rsidR="00CD6886" w:rsidRPr="00C621D9">
        <w:t>ccount</w:t>
      </w:r>
      <w:r w:rsidR="00CD6886">
        <w:t xml:space="preserve"> </w:t>
      </w:r>
      <w:r w:rsidRPr="007F25E4">
        <w:rPr>
          <w:i/>
        </w:rPr>
        <w:t>(continued)</w:t>
      </w:r>
    </w:p>
    <w:p w:rsidR="00B03921" w:rsidRPr="00F10B6E" w:rsidRDefault="007F25E4" w:rsidP="007F25E4">
      <w:pPr>
        <w:pStyle w:val="Heading5"/>
      </w:pPr>
      <w:r w:rsidRPr="00F10B6E">
        <w:t xml:space="preserve"> </w:t>
      </w:r>
      <w:r w:rsidR="00B03921" w:rsidRPr="00F10B6E">
        <w:t>(c)</w:t>
      </w:r>
      <w:r w:rsidR="00B03921" w:rsidRPr="00F10B6E">
        <w:tab/>
        <w:t>Reconciliation of cash flows to balances held</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37"/>
        <w:gridCol w:w="903"/>
        <w:gridCol w:w="1040"/>
        <w:gridCol w:w="1040"/>
      </w:tblGrid>
      <w:tr w:rsidR="0075075C" w:rsidRPr="00911C44" w:rsidTr="00E73920">
        <w:trPr>
          <w:cantSplit/>
          <w:trHeight w:val="992"/>
          <w:tblHeader/>
        </w:trPr>
        <w:tc>
          <w:tcPr>
            <w:tcW w:w="4640" w:type="dxa"/>
            <w:tcBorders>
              <w:top w:val="single" w:sz="6" w:space="0" w:color="000000"/>
              <w:left w:val="single" w:sz="6" w:space="0" w:color="000000"/>
              <w:right w:val="nil"/>
            </w:tcBorders>
            <w:shd w:val="clear" w:color="000000" w:fill="000000"/>
          </w:tcPr>
          <w:p w:rsidR="0075075C" w:rsidRPr="00911C44" w:rsidRDefault="0075075C" w:rsidP="00016914">
            <w:pPr>
              <w:pStyle w:val="Tabletext"/>
              <w:rPr>
                <w:rFonts w:eastAsiaTheme="minorEastAsia"/>
                <w:lang w:eastAsia="en-AU"/>
              </w:rPr>
            </w:pPr>
          </w:p>
        </w:tc>
        <w:tc>
          <w:tcPr>
            <w:tcW w:w="1040" w:type="dxa"/>
            <w:gridSpan w:val="2"/>
            <w:tcBorders>
              <w:top w:val="single" w:sz="6" w:space="0" w:color="000000"/>
              <w:left w:val="nil"/>
              <w:right w:val="nil"/>
            </w:tcBorders>
            <w:shd w:val="clear" w:color="000000" w:fill="000000"/>
          </w:tcPr>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 xml:space="preserve">Balances </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held at</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30 Jun 2014</w:t>
            </w:r>
          </w:p>
        </w:tc>
        <w:tc>
          <w:tcPr>
            <w:tcW w:w="1040" w:type="dxa"/>
            <w:tcBorders>
              <w:top w:val="single" w:sz="6" w:space="0" w:color="000000"/>
              <w:left w:val="nil"/>
              <w:right w:val="nil"/>
            </w:tcBorders>
            <w:shd w:val="clear" w:color="000000" w:fill="000000"/>
          </w:tcPr>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Mar</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movement</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YTD</w:t>
            </w:r>
          </w:p>
        </w:tc>
        <w:tc>
          <w:tcPr>
            <w:tcW w:w="1040" w:type="dxa"/>
            <w:tcBorders>
              <w:top w:val="single" w:sz="6" w:space="0" w:color="000000"/>
              <w:left w:val="nil"/>
              <w:right w:val="single" w:sz="6" w:space="0" w:color="000000"/>
            </w:tcBorders>
            <w:shd w:val="clear" w:color="000000" w:fill="000000"/>
          </w:tcPr>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 xml:space="preserve">Balances </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held at</w:t>
            </w:r>
          </w:p>
          <w:p w:rsidR="0075075C" w:rsidRPr="00911C44" w:rsidRDefault="0075075C" w:rsidP="00016914">
            <w:pPr>
              <w:pStyle w:val="Tabletextheading"/>
              <w:rPr>
                <w:rFonts w:eastAsiaTheme="minorEastAsia"/>
                <w:iCs/>
                <w:color w:val="FFFFFF"/>
                <w:lang w:eastAsia="en-AU"/>
              </w:rPr>
            </w:pPr>
            <w:r w:rsidRPr="00911C44">
              <w:rPr>
                <w:rFonts w:eastAsiaTheme="minorEastAsia"/>
                <w:iCs/>
                <w:color w:val="FFFFFF"/>
                <w:lang w:eastAsia="en-AU"/>
              </w:rPr>
              <w:t>31 Mar 2015</w:t>
            </w:r>
          </w:p>
        </w:tc>
      </w:tr>
      <w:tr w:rsidR="0075075C" w:rsidRPr="00911C44" w:rsidTr="006D2B4E">
        <w:trPr>
          <w:cantSplit/>
        </w:trPr>
        <w:tc>
          <w:tcPr>
            <w:tcW w:w="7760" w:type="dxa"/>
            <w:gridSpan w:val="5"/>
            <w:tcBorders>
              <w:top w:val="single" w:sz="6" w:space="0" w:color="000000"/>
              <w:left w:val="nil"/>
              <w:bottom w:val="nil"/>
              <w:right w:val="nil"/>
            </w:tcBorders>
          </w:tcPr>
          <w:p w:rsidR="0075075C" w:rsidRPr="00911C44" w:rsidRDefault="0075075C" w:rsidP="0075075C">
            <w:pPr>
              <w:pStyle w:val="TableofFigures"/>
              <w:jc w:val="left"/>
              <w:rPr>
                <w:rFonts w:eastAsiaTheme="minorEastAsia"/>
                <w:b/>
                <w:lang w:eastAsia="en-AU"/>
              </w:rPr>
            </w:pPr>
            <w:r w:rsidRPr="00911C44">
              <w:rPr>
                <w:rFonts w:eastAsiaTheme="minorEastAsia"/>
                <w:b/>
                <w:bCs/>
                <w:lang w:eastAsia="en-AU"/>
              </w:rPr>
              <w:t>Cash and deposits</w:t>
            </w:r>
          </w:p>
        </w:tc>
      </w:tr>
      <w:tr w:rsidR="00B03921" w:rsidRPr="00911C44" w:rsidTr="00016914">
        <w:trPr>
          <w:cantSplit/>
        </w:trPr>
        <w:tc>
          <w:tcPr>
            <w:tcW w:w="4640" w:type="dxa"/>
            <w:tcBorders>
              <w:top w:val="nil"/>
              <w:left w:val="nil"/>
              <w:bottom w:val="nil"/>
              <w:right w:val="nil"/>
            </w:tcBorders>
          </w:tcPr>
          <w:p w:rsidR="00B03921" w:rsidRPr="00911C44" w:rsidRDefault="00B03921" w:rsidP="00016914">
            <w:pPr>
              <w:pStyle w:val="Tabletext"/>
              <w:rPr>
                <w:rFonts w:eastAsiaTheme="minorEastAsia"/>
                <w:lang w:eastAsia="en-AU"/>
              </w:rPr>
            </w:pPr>
            <w:r w:rsidRPr="00911C44">
              <w:rPr>
                <w:rFonts w:eastAsiaTheme="minorEastAsia"/>
                <w:lang w:eastAsia="en-AU"/>
              </w:rPr>
              <w:t>Cash balances outside the Public Account</w:t>
            </w:r>
          </w:p>
        </w:tc>
        <w:tc>
          <w:tcPr>
            <w:tcW w:w="1040" w:type="dxa"/>
            <w:gridSpan w:val="2"/>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0.4</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9.0</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9.3</w:t>
            </w:r>
          </w:p>
        </w:tc>
      </w:tr>
      <w:tr w:rsidR="00B03921" w:rsidRPr="00911C44" w:rsidTr="00016914">
        <w:trPr>
          <w:cantSplit/>
        </w:trPr>
        <w:tc>
          <w:tcPr>
            <w:tcW w:w="4640" w:type="dxa"/>
            <w:tcBorders>
              <w:top w:val="nil"/>
              <w:left w:val="nil"/>
              <w:bottom w:val="nil"/>
              <w:right w:val="nil"/>
            </w:tcBorders>
          </w:tcPr>
          <w:p w:rsidR="00B03921" w:rsidRPr="00911C44" w:rsidRDefault="00B03921" w:rsidP="00016914">
            <w:pPr>
              <w:pStyle w:val="Tabletext"/>
              <w:rPr>
                <w:rFonts w:eastAsiaTheme="minorEastAsia"/>
                <w:lang w:eastAsia="en-AU"/>
              </w:rPr>
            </w:pPr>
            <w:r w:rsidRPr="00911C44">
              <w:rPr>
                <w:rFonts w:eastAsiaTheme="minorEastAsia"/>
                <w:lang w:eastAsia="en-AU"/>
              </w:rPr>
              <w:t>Deposits held with the Public Account – specific trusts</w:t>
            </w:r>
          </w:p>
        </w:tc>
        <w:tc>
          <w:tcPr>
            <w:tcW w:w="1040" w:type="dxa"/>
            <w:gridSpan w:val="2"/>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550.1</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242.1</w:t>
            </w:r>
          </w:p>
        </w:tc>
        <w:tc>
          <w:tcPr>
            <w:tcW w:w="1040" w:type="dxa"/>
            <w:tcBorders>
              <w:top w:val="nil"/>
              <w:left w:val="nil"/>
              <w:bottom w:val="nil"/>
              <w:right w:val="nil"/>
            </w:tcBorders>
            <w:shd w:val="solid" w:color="FFFFFF" w:fill="auto"/>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792.2</w:t>
            </w:r>
          </w:p>
        </w:tc>
      </w:tr>
      <w:tr w:rsidR="00B03921" w:rsidRPr="00911C44" w:rsidTr="00016914">
        <w:trPr>
          <w:cantSplit/>
        </w:trPr>
        <w:tc>
          <w:tcPr>
            <w:tcW w:w="4640" w:type="dxa"/>
            <w:tcBorders>
              <w:top w:val="nil"/>
              <w:left w:val="nil"/>
              <w:bottom w:val="single" w:sz="6" w:space="0" w:color="auto"/>
              <w:right w:val="nil"/>
            </w:tcBorders>
          </w:tcPr>
          <w:p w:rsidR="00B03921" w:rsidRPr="00911C44" w:rsidRDefault="00B03921" w:rsidP="00016914">
            <w:pPr>
              <w:pStyle w:val="Tabletext"/>
              <w:rPr>
                <w:rFonts w:eastAsiaTheme="minorEastAsia"/>
                <w:lang w:eastAsia="en-AU"/>
              </w:rPr>
            </w:pPr>
            <w:r w:rsidRPr="00911C44">
              <w:rPr>
                <w:rFonts w:eastAsiaTheme="minorEastAsia"/>
                <w:lang w:eastAsia="en-AU"/>
              </w:rPr>
              <w:t>Other balances held in the Public Account</w:t>
            </w:r>
          </w:p>
        </w:tc>
        <w:tc>
          <w:tcPr>
            <w:tcW w:w="1040" w:type="dxa"/>
            <w:gridSpan w:val="2"/>
            <w:tcBorders>
              <w:top w:val="nil"/>
              <w:left w:val="nil"/>
              <w:bottom w:val="single" w:sz="6" w:space="0" w:color="auto"/>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2 493.8</w:t>
            </w:r>
          </w:p>
        </w:tc>
        <w:tc>
          <w:tcPr>
            <w:tcW w:w="1040" w:type="dxa"/>
            <w:tcBorders>
              <w:top w:val="nil"/>
              <w:left w:val="nil"/>
              <w:bottom w:val="single" w:sz="6" w:space="0" w:color="auto"/>
              <w:right w:val="nil"/>
            </w:tcBorders>
          </w:tcPr>
          <w:p w:rsidR="00B03921" w:rsidRPr="00911C44" w:rsidRDefault="00B03921" w:rsidP="00016914">
            <w:pPr>
              <w:pStyle w:val="TableofFigures"/>
              <w:rPr>
                <w:rFonts w:eastAsiaTheme="minorEastAsia"/>
                <w:lang w:eastAsia="en-AU"/>
              </w:rPr>
            </w:pPr>
            <w:r>
              <w:rPr>
                <w:rFonts w:eastAsiaTheme="minorEastAsia"/>
                <w:lang w:eastAsia="en-AU"/>
              </w:rPr>
              <w:t>(932.6)</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1 561.2</w:t>
            </w:r>
          </w:p>
        </w:tc>
      </w:tr>
      <w:tr w:rsidR="00B03921" w:rsidRPr="00911C44" w:rsidTr="00016914">
        <w:trPr>
          <w:cantSplit/>
        </w:trPr>
        <w:tc>
          <w:tcPr>
            <w:tcW w:w="4640" w:type="dxa"/>
            <w:tcBorders>
              <w:top w:val="nil"/>
              <w:left w:val="nil"/>
              <w:bottom w:val="nil"/>
              <w:right w:val="nil"/>
            </w:tcBorders>
          </w:tcPr>
          <w:p w:rsidR="00B03921" w:rsidRPr="00911C44" w:rsidRDefault="00B03921" w:rsidP="00016914">
            <w:pPr>
              <w:pStyle w:val="Tabletext"/>
              <w:rPr>
                <w:rFonts w:eastAsiaTheme="minorEastAsia"/>
                <w:b/>
                <w:bCs/>
                <w:lang w:eastAsia="en-AU"/>
              </w:rPr>
            </w:pPr>
            <w:r w:rsidRPr="00911C44">
              <w:rPr>
                <w:rFonts w:eastAsiaTheme="minorEastAsia"/>
                <w:b/>
                <w:bCs/>
                <w:lang w:eastAsia="en-AU"/>
              </w:rPr>
              <w:t>Total cash and deposits</w:t>
            </w:r>
          </w:p>
        </w:tc>
        <w:tc>
          <w:tcPr>
            <w:tcW w:w="1040" w:type="dxa"/>
            <w:gridSpan w:val="2"/>
            <w:tcBorders>
              <w:top w:val="single" w:sz="6" w:space="0" w:color="auto"/>
              <w:left w:val="nil"/>
              <w:bottom w:val="nil"/>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3 044.3</w:t>
            </w:r>
          </w:p>
        </w:tc>
        <w:tc>
          <w:tcPr>
            <w:tcW w:w="1040" w:type="dxa"/>
            <w:tcBorders>
              <w:top w:val="nil"/>
              <w:left w:val="nil"/>
              <w:bottom w:val="nil"/>
              <w:right w:val="nil"/>
            </w:tcBorders>
          </w:tcPr>
          <w:p w:rsidR="00B03921" w:rsidRPr="00911C44" w:rsidRDefault="00B03921" w:rsidP="00016914">
            <w:pPr>
              <w:pStyle w:val="TableofFigures"/>
              <w:rPr>
                <w:rFonts w:eastAsiaTheme="minorEastAsia"/>
                <w:b/>
                <w:bCs/>
                <w:lang w:eastAsia="en-AU"/>
              </w:rPr>
            </w:pPr>
            <w:r>
              <w:rPr>
                <w:rFonts w:eastAsiaTheme="minorEastAsia"/>
                <w:b/>
                <w:bCs/>
                <w:lang w:eastAsia="en-AU"/>
              </w:rPr>
              <w:t>(681.5)</w:t>
            </w:r>
          </w:p>
        </w:tc>
        <w:tc>
          <w:tcPr>
            <w:tcW w:w="1040" w:type="dxa"/>
            <w:tcBorders>
              <w:top w:val="single" w:sz="6" w:space="0" w:color="auto"/>
              <w:left w:val="nil"/>
              <w:bottom w:val="nil"/>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2 362.8</w:t>
            </w:r>
          </w:p>
        </w:tc>
      </w:tr>
      <w:tr w:rsidR="0075075C" w:rsidRPr="00911C44" w:rsidTr="00C22B87">
        <w:trPr>
          <w:cantSplit/>
        </w:trPr>
        <w:tc>
          <w:tcPr>
            <w:tcW w:w="7760" w:type="dxa"/>
            <w:gridSpan w:val="5"/>
            <w:tcBorders>
              <w:top w:val="nil"/>
              <w:left w:val="nil"/>
              <w:bottom w:val="nil"/>
              <w:right w:val="nil"/>
            </w:tcBorders>
          </w:tcPr>
          <w:p w:rsidR="0075075C" w:rsidRPr="00911C44" w:rsidRDefault="0075075C" w:rsidP="0075075C">
            <w:pPr>
              <w:pStyle w:val="TableofFigures"/>
              <w:jc w:val="left"/>
              <w:rPr>
                <w:rFonts w:eastAsiaTheme="minorEastAsia"/>
                <w:b/>
                <w:lang w:eastAsia="en-AU"/>
              </w:rPr>
            </w:pPr>
            <w:r w:rsidRPr="00911C44">
              <w:rPr>
                <w:rFonts w:eastAsiaTheme="minorEastAsia"/>
                <w:b/>
                <w:bCs/>
                <w:lang w:eastAsia="en-AU"/>
              </w:rPr>
              <w:t>Investments</w:t>
            </w:r>
          </w:p>
        </w:tc>
      </w:tr>
      <w:tr w:rsidR="00B03921" w:rsidRPr="00911C44" w:rsidTr="0075075C">
        <w:trPr>
          <w:cantSplit/>
        </w:trPr>
        <w:tc>
          <w:tcPr>
            <w:tcW w:w="4777" w:type="dxa"/>
            <w:gridSpan w:val="2"/>
            <w:tcBorders>
              <w:top w:val="nil"/>
              <w:left w:val="nil"/>
              <w:bottom w:val="nil"/>
              <w:right w:val="nil"/>
            </w:tcBorders>
          </w:tcPr>
          <w:p w:rsidR="00B03921" w:rsidRPr="00911C44" w:rsidRDefault="00B03921" w:rsidP="00016914">
            <w:pPr>
              <w:pStyle w:val="Tabletext"/>
              <w:rPr>
                <w:rFonts w:eastAsiaTheme="minorEastAsia"/>
                <w:lang w:eastAsia="en-AU"/>
              </w:rPr>
            </w:pPr>
            <w:r w:rsidRPr="00911C44">
              <w:rPr>
                <w:rFonts w:eastAsiaTheme="minorEastAsia"/>
                <w:lang w:eastAsia="en-AU"/>
              </w:rPr>
              <w:t xml:space="preserve">Investments held with the Public Account – specific trusts </w:t>
            </w:r>
          </w:p>
        </w:tc>
        <w:tc>
          <w:tcPr>
            <w:tcW w:w="903"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664.3</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107.8</w:t>
            </w:r>
          </w:p>
        </w:tc>
        <w:tc>
          <w:tcPr>
            <w:tcW w:w="1040" w:type="dxa"/>
            <w:tcBorders>
              <w:top w:val="nil"/>
              <w:left w:val="nil"/>
              <w:bottom w:val="nil"/>
              <w:right w:val="nil"/>
            </w:tcBorders>
            <w:shd w:val="solid" w:color="FFFFFF" w:fill="auto"/>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772.1</w:t>
            </w:r>
          </w:p>
        </w:tc>
      </w:tr>
      <w:tr w:rsidR="00B03921" w:rsidRPr="00911C44" w:rsidTr="0075075C">
        <w:trPr>
          <w:cantSplit/>
        </w:trPr>
        <w:tc>
          <w:tcPr>
            <w:tcW w:w="4777" w:type="dxa"/>
            <w:gridSpan w:val="2"/>
            <w:tcBorders>
              <w:top w:val="nil"/>
              <w:left w:val="nil"/>
              <w:bottom w:val="nil"/>
              <w:right w:val="nil"/>
            </w:tcBorders>
          </w:tcPr>
          <w:p w:rsidR="00B03921" w:rsidRPr="00911C44" w:rsidRDefault="00B03921" w:rsidP="00016914">
            <w:pPr>
              <w:pStyle w:val="Tabletext"/>
              <w:rPr>
                <w:rFonts w:eastAsiaTheme="minorEastAsia"/>
                <w:b/>
                <w:bCs/>
                <w:lang w:eastAsia="en-AU"/>
              </w:rPr>
            </w:pPr>
            <w:r w:rsidRPr="00911C44">
              <w:rPr>
                <w:rFonts w:eastAsiaTheme="minorEastAsia"/>
                <w:b/>
                <w:bCs/>
                <w:lang w:eastAsia="en-AU"/>
              </w:rPr>
              <w:t>Total investments</w:t>
            </w:r>
          </w:p>
        </w:tc>
        <w:tc>
          <w:tcPr>
            <w:tcW w:w="903" w:type="dxa"/>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664.3</w:t>
            </w:r>
          </w:p>
        </w:tc>
        <w:tc>
          <w:tcPr>
            <w:tcW w:w="1040" w:type="dxa"/>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107.8</w:t>
            </w:r>
          </w:p>
        </w:tc>
        <w:tc>
          <w:tcPr>
            <w:tcW w:w="1040" w:type="dxa"/>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772.1</w:t>
            </w:r>
          </w:p>
        </w:tc>
      </w:tr>
      <w:tr w:rsidR="00B03921" w:rsidRPr="00911C44" w:rsidTr="0075075C">
        <w:trPr>
          <w:cantSplit/>
        </w:trPr>
        <w:tc>
          <w:tcPr>
            <w:tcW w:w="4777" w:type="dxa"/>
            <w:gridSpan w:val="2"/>
            <w:tcBorders>
              <w:top w:val="single" w:sz="6" w:space="0" w:color="auto"/>
              <w:left w:val="nil"/>
              <w:bottom w:val="nil"/>
              <w:right w:val="nil"/>
            </w:tcBorders>
          </w:tcPr>
          <w:p w:rsidR="00B03921" w:rsidRPr="00911C44" w:rsidRDefault="00B03921" w:rsidP="00016914">
            <w:pPr>
              <w:pStyle w:val="Tabletext"/>
              <w:rPr>
                <w:rFonts w:eastAsiaTheme="minorEastAsia"/>
                <w:b/>
                <w:bCs/>
                <w:lang w:eastAsia="en-AU"/>
              </w:rPr>
            </w:pPr>
            <w:r w:rsidRPr="00911C44">
              <w:rPr>
                <w:rFonts w:eastAsiaTheme="minorEastAsia"/>
                <w:b/>
                <w:bCs/>
                <w:lang w:eastAsia="en-AU"/>
              </w:rPr>
              <w:t>Total fund balances</w:t>
            </w:r>
          </w:p>
        </w:tc>
        <w:tc>
          <w:tcPr>
            <w:tcW w:w="903" w:type="dxa"/>
            <w:tcBorders>
              <w:top w:val="nil"/>
              <w:left w:val="nil"/>
              <w:bottom w:val="nil"/>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3 708.6</w:t>
            </w:r>
          </w:p>
        </w:tc>
        <w:tc>
          <w:tcPr>
            <w:tcW w:w="1040" w:type="dxa"/>
            <w:tcBorders>
              <w:top w:val="nil"/>
              <w:left w:val="nil"/>
              <w:bottom w:val="nil"/>
              <w:right w:val="nil"/>
            </w:tcBorders>
          </w:tcPr>
          <w:p w:rsidR="00B03921" w:rsidRPr="00911C44" w:rsidRDefault="00B03921" w:rsidP="00016914">
            <w:pPr>
              <w:pStyle w:val="TableofFigures"/>
              <w:rPr>
                <w:rFonts w:eastAsiaTheme="minorEastAsia"/>
                <w:b/>
                <w:bCs/>
                <w:lang w:eastAsia="en-AU"/>
              </w:rPr>
            </w:pPr>
            <w:r>
              <w:rPr>
                <w:rFonts w:eastAsiaTheme="minorEastAsia"/>
                <w:b/>
                <w:bCs/>
                <w:lang w:eastAsia="en-AU"/>
              </w:rPr>
              <w:t>(573.8)</w:t>
            </w:r>
          </w:p>
        </w:tc>
        <w:tc>
          <w:tcPr>
            <w:tcW w:w="1040" w:type="dxa"/>
            <w:tcBorders>
              <w:top w:val="nil"/>
              <w:left w:val="nil"/>
              <w:bottom w:val="nil"/>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3 134.8</w:t>
            </w:r>
          </w:p>
        </w:tc>
      </w:tr>
      <w:tr w:rsidR="0075075C" w:rsidRPr="00911C44" w:rsidTr="00E1626E">
        <w:trPr>
          <w:cantSplit/>
        </w:trPr>
        <w:tc>
          <w:tcPr>
            <w:tcW w:w="7760" w:type="dxa"/>
            <w:gridSpan w:val="5"/>
            <w:tcBorders>
              <w:top w:val="nil"/>
              <w:left w:val="nil"/>
              <w:bottom w:val="nil"/>
              <w:right w:val="nil"/>
            </w:tcBorders>
          </w:tcPr>
          <w:p w:rsidR="0075075C" w:rsidRPr="00911C44" w:rsidRDefault="0075075C" w:rsidP="0075075C">
            <w:pPr>
              <w:pStyle w:val="TableofFigures"/>
              <w:jc w:val="left"/>
              <w:rPr>
                <w:rFonts w:eastAsiaTheme="minorEastAsia"/>
                <w:b/>
                <w:lang w:eastAsia="en-AU"/>
              </w:rPr>
            </w:pPr>
            <w:r w:rsidRPr="00911C44">
              <w:rPr>
                <w:rFonts w:eastAsiaTheme="minorEastAsia"/>
                <w:b/>
                <w:bCs/>
                <w:lang w:eastAsia="en-AU"/>
              </w:rPr>
              <w:t>Less funds held outside the Public Account</w:t>
            </w:r>
          </w:p>
        </w:tc>
      </w:tr>
      <w:tr w:rsidR="00B03921" w:rsidRPr="00911C44" w:rsidTr="00016914">
        <w:trPr>
          <w:cantSplit/>
        </w:trPr>
        <w:tc>
          <w:tcPr>
            <w:tcW w:w="4640" w:type="dxa"/>
            <w:tcBorders>
              <w:top w:val="nil"/>
              <w:left w:val="nil"/>
              <w:bottom w:val="nil"/>
              <w:right w:val="nil"/>
            </w:tcBorders>
          </w:tcPr>
          <w:p w:rsidR="00B03921" w:rsidRPr="00911C44" w:rsidRDefault="00B03921" w:rsidP="00016914">
            <w:pPr>
              <w:pStyle w:val="Tabletext"/>
              <w:rPr>
                <w:rFonts w:eastAsiaTheme="minorEastAsia"/>
                <w:lang w:eastAsia="en-AU"/>
              </w:rPr>
            </w:pPr>
            <w:r w:rsidRPr="00911C44">
              <w:rPr>
                <w:rFonts w:eastAsiaTheme="minorEastAsia"/>
                <w:lang w:eastAsia="en-AU"/>
              </w:rPr>
              <w:t xml:space="preserve">Cash </w:t>
            </w:r>
          </w:p>
        </w:tc>
        <w:tc>
          <w:tcPr>
            <w:tcW w:w="1040" w:type="dxa"/>
            <w:gridSpan w:val="2"/>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0.4</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9.0</w:t>
            </w:r>
          </w:p>
        </w:tc>
        <w:tc>
          <w:tcPr>
            <w:tcW w:w="1040" w:type="dxa"/>
            <w:tcBorders>
              <w:top w:val="nil"/>
              <w:left w:val="nil"/>
              <w:bottom w:val="nil"/>
              <w:right w:val="nil"/>
            </w:tcBorders>
          </w:tcPr>
          <w:p w:rsidR="00B03921" w:rsidRPr="00911C44" w:rsidRDefault="00B03921" w:rsidP="00016914">
            <w:pPr>
              <w:pStyle w:val="TableofFigures"/>
              <w:rPr>
                <w:rFonts w:eastAsiaTheme="minorEastAsia"/>
                <w:lang w:eastAsia="en-AU"/>
              </w:rPr>
            </w:pPr>
            <w:r w:rsidRPr="00911C44">
              <w:rPr>
                <w:rFonts w:eastAsiaTheme="minorEastAsia"/>
                <w:lang w:eastAsia="en-AU"/>
              </w:rPr>
              <w:t xml:space="preserve"> 9.3</w:t>
            </w:r>
          </w:p>
        </w:tc>
      </w:tr>
      <w:tr w:rsidR="00B03921" w:rsidRPr="00911C44" w:rsidTr="00016914">
        <w:trPr>
          <w:cantSplit/>
        </w:trPr>
        <w:tc>
          <w:tcPr>
            <w:tcW w:w="4640" w:type="dxa"/>
            <w:tcBorders>
              <w:top w:val="nil"/>
              <w:left w:val="nil"/>
              <w:bottom w:val="single" w:sz="6" w:space="0" w:color="auto"/>
              <w:right w:val="nil"/>
            </w:tcBorders>
          </w:tcPr>
          <w:p w:rsidR="00B03921" w:rsidRPr="00911C44" w:rsidRDefault="00B03921" w:rsidP="00016914">
            <w:pPr>
              <w:pStyle w:val="Tabletext"/>
              <w:rPr>
                <w:rFonts w:eastAsiaTheme="minorEastAsia"/>
                <w:b/>
                <w:bCs/>
                <w:lang w:eastAsia="en-AU"/>
              </w:rPr>
            </w:pPr>
            <w:r w:rsidRPr="00911C44">
              <w:rPr>
                <w:rFonts w:eastAsiaTheme="minorEastAsia"/>
                <w:b/>
                <w:bCs/>
                <w:lang w:eastAsia="en-AU"/>
              </w:rPr>
              <w:t>Total fund balances held outside the Public Account</w:t>
            </w:r>
          </w:p>
        </w:tc>
        <w:tc>
          <w:tcPr>
            <w:tcW w:w="1040" w:type="dxa"/>
            <w:gridSpan w:val="2"/>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0.4</w:t>
            </w:r>
          </w:p>
        </w:tc>
        <w:tc>
          <w:tcPr>
            <w:tcW w:w="1040" w:type="dxa"/>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9.0</w:t>
            </w:r>
          </w:p>
        </w:tc>
        <w:tc>
          <w:tcPr>
            <w:tcW w:w="1040" w:type="dxa"/>
            <w:tcBorders>
              <w:top w:val="nil"/>
              <w:left w:val="nil"/>
              <w:bottom w:val="single" w:sz="6" w:space="0" w:color="auto"/>
              <w:right w:val="nil"/>
            </w:tcBorders>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 xml:space="preserve"> 9.3</w:t>
            </w:r>
          </w:p>
        </w:tc>
      </w:tr>
      <w:tr w:rsidR="00B03921" w:rsidRPr="00911C44" w:rsidTr="00016914">
        <w:trPr>
          <w:cantSplit/>
        </w:trPr>
        <w:tc>
          <w:tcPr>
            <w:tcW w:w="4640" w:type="dxa"/>
            <w:tcBorders>
              <w:top w:val="single" w:sz="6" w:space="0" w:color="auto"/>
              <w:left w:val="nil"/>
              <w:bottom w:val="single" w:sz="12" w:space="0" w:color="000000"/>
              <w:right w:val="nil"/>
            </w:tcBorders>
            <w:shd w:val="clear" w:color="auto" w:fill="auto"/>
          </w:tcPr>
          <w:p w:rsidR="00B03921" w:rsidRPr="00911C44" w:rsidRDefault="00B03921" w:rsidP="00016914">
            <w:pPr>
              <w:pStyle w:val="Tabletext"/>
              <w:rPr>
                <w:rFonts w:eastAsiaTheme="minorEastAsia"/>
                <w:b/>
                <w:bCs/>
                <w:vertAlign w:val="superscript"/>
                <w:lang w:eastAsia="en-AU"/>
              </w:rPr>
            </w:pPr>
            <w:r w:rsidRPr="00911C44">
              <w:rPr>
                <w:rFonts w:eastAsiaTheme="minorEastAsia"/>
                <w:b/>
                <w:bCs/>
                <w:lang w:eastAsia="en-AU"/>
              </w:rPr>
              <w:t>Total funds held in the Public Account</w:t>
            </w:r>
            <w:r w:rsidRPr="00911C44">
              <w:rPr>
                <w:rFonts w:eastAsiaTheme="minorEastAsia"/>
                <w:b/>
                <w:bCs/>
                <w:vertAlign w:val="superscript"/>
                <w:lang w:eastAsia="en-AU"/>
              </w:rPr>
              <w:t>(a)</w:t>
            </w:r>
          </w:p>
        </w:tc>
        <w:tc>
          <w:tcPr>
            <w:tcW w:w="1040" w:type="dxa"/>
            <w:gridSpan w:val="2"/>
            <w:tcBorders>
              <w:top w:val="single" w:sz="6" w:space="0" w:color="auto"/>
              <w:left w:val="nil"/>
              <w:bottom w:val="single" w:sz="12" w:space="0" w:color="000000"/>
              <w:right w:val="nil"/>
            </w:tcBorders>
            <w:shd w:val="clear" w:color="auto" w:fill="auto"/>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3 708.2</w:t>
            </w:r>
          </w:p>
        </w:tc>
        <w:tc>
          <w:tcPr>
            <w:tcW w:w="1040" w:type="dxa"/>
            <w:tcBorders>
              <w:top w:val="single" w:sz="6" w:space="0" w:color="auto"/>
              <w:left w:val="nil"/>
              <w:bottom w:val="single" w:sz="12" w:space="0" w:color="000000"/>
              <w:right w:val="nil"/>
            </w:tcBorders>
            <w:shd w:val="clear" w:color="auto" w:fill="auto"/>
          </w:tcPr>
          <w:p w:rsidR="00B03921" w:rsidRPr="00911C44" w:rsidRDefault="00B03921" w:rsidP="00016914">
            <w:pPr>
              <w:pStyle w:val="TableofFigures"/>
              <w:rPr>
                <w:rFonts w:eastAsiaTheme="minorEastAsia"/>
                <w:b/>
                <w:bCs/>
                <w:lang w:eastAsia="en-AU"/>
              </w:rPr>
            </w:pPr>
            <w:r>
              <w:rPr>
                <w:rFonts w:eastAsiaTheme="minorEastAsia"/>
                <w:b/>
                <w:bCs/>
                <w:lang w:eastAsia="en-AU"/>
              </w:rPr>
              <w:t>(582.7)</w:t>
            </w:r>
          </w:p>
        </w:tc>
        <w:tc>
          <w:tcPr>
            <w:tcW w:w="1040" w:type="dxa"/>
            <w:tcBorders>
              <w:top w:val="single" w:sz="6" w:space="0" w:color="auto"/>
              <w:left w:val="nil"/>
              <w:bottom w:val="single" w:sz="12" w:space="0" w:color="000000"/>
              <w:right w:val="nil"/>
            </w:tcBorders>
            <w:shd w:val="clear" w:color="auto" w:fill="auto"/>
          </w:tcPr>
          <w:p w:rsidR="00B03921" w:rsidRPr="00911C44" w:rsidRDefault="00B03921" w:rsidP="00016914">
            <w:pPr>
              <w:pStyle w:val="TableofFigures"/>
              <w:rPr>
                <w:rFonts w:eastAsiaTheme="minorEastAsia"/>
                <w:b/>
                <w:bCs/>
                <w:lang w:eastAsia="en-AU"/>
              </w:rPr>
            </w:pPr>
            <w:r w:rsidRPr="00911C44">
              <w:rPr>
                <w:rFonts w:eastAsiaTheme="minorEastAsia"/>
                <w:b/>
                <w:bCs/>
                <w:lang w:eastAsia="en-AU"/>
              </w:rPr>
              <w:t>3 125.5</w:t>
            </w:r>
          </w:p>
        </w:tc>
      </w:tr>
    </w:tbl>
    <w:p w:rsidR="00B03921" w:rsidRDefault="00B03921" w:rsidP="00016914">
      <w:pPr>
        <w:pStyle w:val="Notes"/>
      </w:pPr>
      <w:r>
        <w:t>Note:</w:t>
      </w:r>
    </w:p>
    <w:p w:rsidR="00B03921" w:rsidRPr="00F10B6E" w:rsidRDefault="00B03921" w:rsidP="00016914">
      <w:pPr>
        <w:pStyle w:val="Notes"/>
      </w:pPr>
      <w:r>
        <w:t xml:space="preserve">(a) </w:t>
      </w:r>
      <w:r>
        <w:tab/>
        <w:t>See Note 18 (d) below for details of securities and investments including amounts held in the Public Account on behalf of trust accounts.</w:t>
      </w:r>
    </w:p>
    <w:p w:rsidR="00B03921" w:rsidRDefault="00B03921" w:rsidP="00016914">
      <w:pPr>
        <w:pStyle w:val="BodyText"/>
      </w:pPr>
    </w:p>
    <w:p w:rsidR="00B03921" w:rsidRDefault="00B03921" w:rsidP="00016914">
      <w:pPr>
        <w:pStyle w:val="BodyText"/>
      </w:pPr>
    </w:p>
    <w:p w:rsidR="00B03921" w:rsidRDefault="00B03921" w:rsidP="00016914">
      <w:pPr>
        <w:pStyle w:val="Heading5"/>
      </w:pPr>
      <w:r w:rsidRPr="00F10B6E">
        <w:t>(d)</w:t>
      </w:r>
      <w:r w:rsidRPr="00F10B6E">
        <w:tab/>
        <w:t>Details of securities held</w:t>
      </w:r>
    </w:p>
    <w:p w:rsidR="00B03921"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75075C" w:rsidRPr="006F7EC6" w:rsidTr="00250638">
        <w:trPr>
          <w:trHeight w:val="747"/>
        </w:trPr>
        <w:tc>
          <w:tcPr>
            <w:tcW w:w="920" w:type="dxa"/>
            <w:tcBorders>
              <w:top w:val="single" w:sz="6" w:space="0" w:color="000000"/>
              <w:left w:val="single" w:sz="6" w:space="0" w:color="000000"/>
              <w:right w:val="nil"/>
            </w:tcBorders>
            <w:shd w:val="clear" w:color="000000" w:fill="000000"/>
          </w:tcPr>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2013-14</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 xml:space="preserve"> Actual </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to Mar</w:t>
            </w:r>
          </w:p>
        </w:tc>
        <w:tc>
          <w:tcPr>
            <w:tcW w:w="120" w:type="dxa"/>
            <w:tcBorders>
              <w:top w:val="single" w:sz="6" w:space="0" w:color="000000"/>
              <w:left w:val="nil"/>
              <w:right w:val="nil"/>
            </w:tcBorders>
            <w:shd w:val="clear" w:color="000000" w:fill="000000"/>
          </w:tcPr>
          <w:p w:rsidR="0075075C" w:rsidRPr="006F7EC6" w:rsidRDefault="0075075C" w:rsidP="00016914">
            <w:pPr>
              <w:pStyle w:val="Tabletextheading"/>
              <w:rPr>
                <w:rFonts w:eastAsiaTheme="minorEastAsia"/>
                <w:color w:val="FFFFFF"/>
                <w:lang w:eastAsia="en-AU"/>
              </w:rPr>
            </w:pPr>
          </w:p>
        </w:tc>
        <w:tc>
          <w:tcPr>
            <w:tcW w:w="4880" w:type="dxa"/>
            <w:tcBorders>
              <w:top w:val="single" w:sz="6" w:space="0" w:color="000000"/>
              <w:left w:val="nil"/>
              <w:right w:val="nil"/>
            </w:tcBorders>
            <w:shd w:val="clear" w:color="000000" w:fill="000000"/>
          </w:tcPr>
          <w:p w:rsidR="0075075C" w:rsidRPr="006F7EC6" w:rsidRDefault="0075075C" w:rsidP="00016914">
            <w:pPr>
              <w:pStyle w:val="Tabletext"/>
              <w:rPr>
                <w:rFonts w:eastAsiaTheme="minorEastAsia"/>
                <w:i/>
                <w:lang w:eastAsia="en-AU"/>
              </w:rPr>
            </w:pPr>
          </w:p>
        </w:tc>
        <w:tc>
          <w:tcPr>
            <w:tcW w:w="920" w:type="dxa"/>
            <w:tcBorders>
              <w:top w:val="single" w:sz="6" w:space="0" w:color="000000"/>
              <w:left w:val="nil"/>
              <w:right w:val="nil"/>
            </w:tcBorders>
            <w:shd w:val="clear" w:color="000000" w:fill="000000"/>
          </w:tcPr>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2014-15</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Opening</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1 Jul</w:t>
            </w:r>
          </w:p>
        </w:tc>
        <w:tc>
          <w:tcPr>
            <w:tcW w:w="920" w:type="dxa"/>
            <w:tcBorders>
              <w:top w:val="single" w:sz="6" w:space="0" w:color="000000"/>
              <w:left w:val="nil"/>
              <w:right w:val="single" w:sz="6" w:space="0" w:color="000000"/>
            </w:tcBorders>
            <w:shd w:val="clear" w:color="000000" w:fill="000000"/>
          </w:tcPr>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 xml:space="preserve">   </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 xml:space="preserve">Actual </w:t>
            </w:r>
          </w:p>
          <w:p w:rsidR="0075075C" w:rsidRPr="006F7EC6" w:rsidRDefault="0075075C" w:rsidP="00016914">
            <w:pPr>
              <w:pStyle w:val="Tabletextheading"/>
              <w:rPr>
                <w:rFonts w:eastAsiaTheme="minorEastAsia"/>
                <w:color w:val="FFFFFF"/>
                <w:lang w:eastAsia="en-AU"/>
              </w:rPr>
            </w:pPr>
            <w:r w:rsidRPr="006F7EC6">
              <w:rPr>
                <w:rFonts w:eastAsiaTheme="minorEastAsia"/>
                <w:color w:val="FFFFFF"/>
                <w:lang w:eastAsia="en-AU"/>
              </w:rPr>
              <w:t>31 Mar</w:t>
            </w:r>
          </w:p>
        </w:tc>
      </w:tr>
      <w:tr w:rsidR="00B03921" w:rsidRPr="006F7EC6" w:rsidTr="00016914">
        <w:tc>
          <w:tcPr>
            <w:tcW w:w="920" w:type="dxa"/>
            <w:tcBorders>
              <w:top w:val="single" w:sz="6" w:space="0" w:color="000000"/>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1 272.3</w:t>
            </w:r>
          </w:p>
        </w:tc>
        <w:tc>
          <w:tcPr>
            <w:tcW w:w="120" w:type="dxa"/>
            <w:tcBorders>
              <w:top w:val="single" w:sz="6" w:space="0" w:color="000000"/>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w:t>
            </w:r>
          </w:p>
        </w:tc>
        <w:tc>
          <w:tcPr>
            <w:tcW w:w="4880" w:type="dxa"/>
            <w:tcBorders>
              <w:top w:val="single" w:sz="6" w:space="0" w:color="000000"/>
              <w:left w:val="nil"/>
              <w:bottom w:val="nil"/>
              <w:right w:val="nil"/>
            </w:tcBorders>
          </w:tcPr>
          <w:p w:rsidR="00B03921" w:rsidRPr="006F7EC6" w:rsidRDefault="00B03921" w:rsidP="00016914">
            <w:pPr>
              <w:pStyle w:val="Tabletext"/>
              <w:rPr>
                <w:rFonts w:eastAsiaTheme="minorEastAsia"/>
                <w:lang w:eastAsia="en-AU"/>
              </w:rPr>
            </w:pPr>
            <w:r w:rsidRPr="006F7EC6">
              <w:rPr>
                <w:rFonts w:eastAsiaTheme="minorEastAsia"/>
                <w:lang w:eastAsia="en-AU"/>
              </w:rPr>
              <w:t xml:space="preserve">Amounts invested on behalf of specific trust accounts </w:t>
            </w:r>
          </w:p>
        </w:tc>
        <w:tc>
          <w:tcPr>
            <w:tcW w:w="920" w:type="dxa"/>
            <w:tcBorders>
              <w:top w:val="single" w:sz="6" w:space="0" w:color="000000"/>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1 214.4</w:t>
            </w:r>
          </w:p>
        </w:tc>
        <w:tc>
          <w:tcPr>
            <w:tcW w:w="920" w:type="dxa"/>
            <w:tcBorders>
              <w:top w:val="single" w:sz="6" w:space="0" w:color="000000"/>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1 564.3</w:t>
            </w:r>
          </w:p>
        </w:tc>
      </w:tr>
      <w:tr w:rsidR="00B03921" w:rsidRPr="006F7EC6" w:rsidTr="00016914">
        <w:tc>
          <w:tcPr>
            <w:tcW w:w="920" w:type="dxa"/>
            <w:tcBorders>
              <w:top w:val="nil"/>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1 719.5</w:t>
            </w:r>
          </w:p>
        </w:tc>
        <w:tc>
          <w:tcPr>
            <w:tcW w:w="1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w:t>
            </w:r>
          </w:p>
        </w:tc>
        <w:tc>
          <w:tcPr>
            <w:tcW w:w="4880" w:type="dxa"/>
            <w:tcBorders>
              <w:top w:val="nil"/>
              <w:left w:val="nil"/>
              <w:bottom w:val="single" w:sz="6" w:space="0" w:color="auto"/>
              <w:right w:val="nil"/>
            </w:tcBorders>
          </w:tcPr>
          <w:p w:rsidR="00B03921" w:rsidRPr="006F7EC6" w:rsidRDefault="00B03921" w:rsidP="00016914">
            <w:pPr>
              <w:pStyle w:val="Tabletext"/>
              <w:rPr>
                <w:rFonts w:eastAsiaTheme="minorEastAsia"/>
                <w:lang w:eastAsia="en-AU"/>
              </w:rPr>
            </w:pPr>
            <w:r w:rsidRPr="006F7EC6">
              <w:rPr>
                <w:rFonts w:eastAsiaTheme="minorEastAsia"/>
                <w:lang w:eastAsia="en-AU"/>
              </w:rPr>
              <w:t>General account balances</w:t>
            </w:r>
          </w:p>
        </w:tc>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2 493.8</w:t>
            </w:r>
          </w:p>
        </w:tc>
        <w:tc>
          <w:tcPr>
            <w:tcW w:w="920" w:type="dxa"/>
            <w:tcBorders>
              <w:top w:val="nil"/>
              <w:left w:val="nil"/>
              <w:bottom w:val="nil"/>
              <w:right w:val="nil"/>
            </w:tcBorders>
            <w:shd w:val="solid" w:color="FFFFFF" w:fill="auto"/>
          </w:tcPr>
          <w:p w:rsidR="00B03921" w:rsidRPr="006F7EC6" w:rsidRDefault="00B03921" w:rsidP="00016914">
            <w:pPr>
              <w:pStyle w:val="TableofFigures"/>
              <w:rPr>
                <w:rFonts w:eastAsiaTheme="minorEastAsia"/>
                <w:lang w:eastAsia="en-AU"/>
              </w:rPr>
            </w:pPr>
            <w:r w:rsidRPr="006F7EC6">
              <w:rPr>
                <w:rFonts w:eastAsiaTheme="minorEastAsia"/>
                <w:lang w:eastAsia="en-AU"/>
              </w:rPr>
              <w:t>1 561.2</w:t>
            </w:r>
          </w:p>
        </w:tc>
      </w:tr>
      <w:tr w:rsidR="00B03921" w:rsidRPr="006F7EC6" w:rsidTr="00016914">
        <w:tc>
          <w:tcPr>
            <w:tcW w:w="920" w:type="dxa"/>
            <w:tcBorders>
              <w:top w:val="single" w:sz="6" w:space="0" w:color="auto"/>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2 991.8</w:t>
            </w:r>
          </w:p>
        </w:tc>
        <w:tc>
          <w:tcPr>
            <w:tcW w:w="120" w:type="dxa"/>
            <w:tcBorders>
              <w:top w:val="nil"/>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 xml:space="preserve">           </w:t>
            </w:r>
          </w:p>
        </w:tc>
        <w:tc>
          <w:tcPr>
            <w:tcW w:w="4880" w:type="dxa"/>
            <w:tcBorders>
              <w:top w:val="nil"/>
              <w:left w:val="nil"/>
              <w:bottom w:val="nil"/>
              <w:right w:val="nil"/>
            </w:tcBorders>
          </w:tcPr>
          <w:p w:rsidR="00B03921" w:rsidRPr="006F7EC6" w:rsidRDefault="00B03921" w:rsidP="00016914">
            <w:pPr>
              <w:pStyle w:val="Tabletext"/>
              <w:rPr>
                <w:rFonts w:eastAsiaTheme="minorEastAsia"/>
                <w:b/>
                <w:bCs/>
                <w:lang w:eastAsia="en-AU"/>
              </w:rPr>
            </w:pPr>
            <w:r w:rsidRPr="006F7EC6">
              <w:rPr>
                <w:rFonts w:eastAsiaTheme="minorEastAsia"/>
                <w:b/>
                <w:bCs/>
                <w:lang w:eastAsia="en-AU"/>
              </w:rPr>
              <w:t xml:space="preserve">Total </w:t>
            </w:r>
            <w:r w:rsidR="00CD6886" w:rsidRPr="006F7EC6">
              <w:rPr>
                <w:rFonts w:eastAsiaTheme="minorEastAsia"/>
                <w:b/>
                <w:bCs/>
                <w:lang w:eastAsia="en-AU"/>
              </w:rPr>
              <w:t>Public Account</w:t>
            </w:r>
          </w:p>
        </w:tc>
        <w:tc>
          <w:tcPr>
            <w:tcW w:w="920" w:type="dxa"/>
            <w:tcBorders>
              <w:top w:val="single" w:sz="6" w:space="0" w:color="auto"/>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3 708.2</w:t>
            </w:r>
          </w:p>
        </w:tc>
        <w:tc>
          <w:tcPr>
            <w:tcW w:w="920" w:type="dxa"/>
            <w:tcBorders>
              <w:top w:val="single" w:sz="6" w:space="0" w:color="auto"/>
              <w:left w:val="nil"/>
              <w:bottom w:val="nil"/>
              <w:right w:val="nil"/>
            </w:tcBorders>
            <w:shd w:val="solid" w:color="FFFFFF" w:fill="auto"/>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3 125.5</w:t>
            </w:r>
          </w:p>
        </w:tc>
      </w:tr>
      <w:tr w:rsidR="0075075C" w:rsidRPr="006F7EC6" w:rsidTr="004B5C68">
        <w:tc>
          <w:tcPr>
            <w:tcW w:w="920" w:type="dxa"/>
            <w:tcBorders>
              <w:top w:val="nil"/>
              <w:left w:val="nil"/>
              <w:bottom w:val="nil"/>
              <w:right w:val="nil"/>
            </w:tcBorders>
          </w:tcPr>
          <w:p w:rsidR="0075075C" w:rsidRPr="006F7EC6" w:rsidRDefault="0075075C" w:rsidP="00016914">
            <w:pPr>
              <w:pStyle w:val="TableofFigures"/>
              <w:rPr>
                <w:rFonts w:eastAsiaTheme="minorEastAsia"/>
                <w:lang w:eastAsia="en-AU"/>
              </w:rPr>
            </w:pPr>
            <w:r w:rsidRPr="006F7EC6">
              <w:rPr>
                <w:rFonts w:eastAsiaTheme="minorEastAsia"/>
                <w:lang w:eastAsia="en-AU"/>
              </w:rPr>
              <w:t xml:space="preserve"> </w:t>
            </w:r>
          </w:p>
        </w:tc>
        <w:tc>
          <w:tcPr>
            <w:tcW w:w="120" w:type="dxa"/>
            <w:tcBorders>
              <w:top w:val="nil"/>
              <w:left w:val="nil"/>
              <w:bottom w:val="nil"/>
              <w:right w:val="nil"/>
            </w:tcBorders>
          </w:tcPr>
          <w:p w:rsidR="0075075C" w:rsidRPr="006F7EC6" w:rsidRDefault="0075075C" w:rsidP="00016914">
            <w:pPr>
              <w:pStyle w:val="TableofFigures"/>
              <w:rPr>
                <w:rFonts w:eastAsiaTheme="minorEastAsia"/>
                <w:lang w:eastAsia="en-AU"/>
              </w:rPr>
            </w:pPr>
            <w:r w:rsidRPr="006F7EC6">
              <w:rPr>
                <w:rFonts w:eastAsiaTheme="minorEastAsia"/>
                <w:lang w:eastAsia="en-AU"/>
              </w:rPr>
              <w:t xml:space="preserve">           </w:t>
            </w:r>
          </w:p>
        </w:tc>
        <w:tc>
          <w:tcPr>
            <w:tcW w:w="6720" w:type="dxa"/>
            <w:gridSpan w:val="3"/>
            <w:tcBorders>
              <w:top w:val="nil"/>
              <w:left w:val="nil"/>
              <w:bottom w:val="nil"/>
              <w:right w:val="nil"/>
            </w:tcBorders>
          </w:tcPr>
          <w:p w:rsidR="0075075C" w:rsidRPr="006F7EC6" w:rsidRDefault="0075075C" w:rsidP="0075075C">
            <w:pPr>
              <w:pStyle w:val="TableofFigures"/>
              <w:jc w:val="left"/>
              <w:rPr>
                <w:rFonts w:eastAsiaTheme="minorEastAsia"/>
                <w:lang w:eastAsia="en-AU"/>
              </w:rPr>
            </w:pPr>
            <w:r w:rsidRPr="006F7EC6">
              <w:rPr>
                <w:rFonts w:eastAsiaTheme="minorEastAsia"/>
                <w:b/>
                <w:bCs/>
                <w:lang w:eastAsia="en-AU"/>
              </w:rPr>
              <w:t>Represented by:</w:t>
            </w:r>
          </w:p>
        </w:tc>
      </w:tr>
      <w:tr w:rsidR="00B03921" w:rsidRPr="006F7EC6" w:rsidTr="00016914">
        <w:tc>
          <w:tcPr>
            <w:tcW w:w="920" w:type="dxa"/>
            <w:tcBorders>
              <w:top w:val="nil"/>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1 272.3</w:t>
            </w:r>
          </w:p>
        </w:tc>
        <w:tc>
          <w:tcPr>
            <w:tcW w:w="120" w:type="dxa"/>
            <w:tcBorders>
              <w:top w:val="nil"/>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w:t>
            </w:r>
          </w:p>
        </w:tc>
        <w:tc>
          <w:tcPr>
            <w:tcW w:w="4880" w:type="dxa"/>
            <w:tcBorders>
              <w:top w:val="nil"/>
              <w:left w:val="nil"/>
              <w:bottom w:val="nil"/>
              <w:right w:val="nil"/>
            </w:tcBorders>
          </w:tcPr>
          <w:p w:rsidR="00B03921" w:rsidRPr="006F7EC6" w:rsidRDefault="00B03921" w:rsidP="00016914">
            <w:pPr>
              <w:pStyle w:val="Tabletext"/>
              <w:rPr>
                <w:rFonts w:eastAsiaTheme="minorEastAsia"/>
                <w:lang w:eastAsia="en-AU"/>
              </w:rPr>
            </w:pPr>
            <w:r w:rsidRPr="006F7EC6">
              <w:rPr>
                <w:rFonts w:eastAsiaTheme="minorEastAsia"/>
                <w:lang w:eastAsia="en-AU"/>
              </w:rPr>
              <w:t>Stocks and securities</w:t>
            </w:r>
          </w:p>
        </w:tc>
        <w:tc>
          <w:tcPr>
            <w:tcW w:w="920" w:type="dxa"/>
            <w:tcBorders>
              <w:top w:val="nil"/>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1 214.0</w:t>
            </w:r>
          </w:p>
        </w:tc>
        <w:tc>
          <w:tcPr>
            <w:tcW w:w="920" w:type="dxa"/>
            <w:tcBorders>
              <w:top w:val="nil"/>
              <w:left w:val="nil"/>
              <w:bottom w:val="nil"/>
              <w:right w:val="nil"/>
            </w:tcBorders>
            <w:shd w:val="solid" w:color="FFFFFF" w:fill="auto"/>
          </w:tcPr>
          <w:p w:rsidR="00B03921" w:rsidRPr="006F7EC6" w:rsidRDefault="00B03921" w:rsidP="00016914">
            <w:pPr>
              <w:pStyle w:val="TableofFigures"/>
              <w:rPr>
                <w:rFonts w:eastAsiaTheme="minorEastAsia"/>
                <w:lang w:eastAsia="en-AU"/>
              </w:rPr>
            </w:pPr>
            <w:r w:rsidRPr="006F7EC6">
              <w:rPr>
                <w:rFonts w:eastAsiaTheme="minorEastAsia"/>
                <w:lang w:eastAsia="en-AU"/>
              </w:rPr>
              <w:t>1 564.3</w:t>
            </w:r>
          </w:p>
        </w:tc>
      </w:tr>
      <w:tr w:rsidR="00B03921" w:rsidRPr="006F7EC6" w:rsidTr="00016914">
        <w:tc>
          <w:tcPr>
            <w:tcW w:w="920" w:type="dxa"/>
            <w:tcBorders>
              <w:top w:val="nil"/>
              <w:left w:val="nil"/>
              <w:bottom w:val="nil"/>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1 535.4</w:t>
            </w:r>
          </w:p>
        </w:tc>
        <w:tc>
          <w:tcPr>
            <w:tcW w:w="1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w:t>
            </w:r>
          </w:p>
        </w:tc>
        <w:tc>
          <w:tcPr>
            <w:tcW w:w="4880" w:type="dxa"/>
            <w:tcBorders>
              <w:top w:val="nil"/>
              <w:left w:val="nil"/>
              <w:bottom w:val="single" w:sz="6" w:space="0" w:color="auto"/>
              <w:right w:val="nil"/>
            </w:tcBorders>
          </w:tcPr>
          <w:p w:rsidR="00B03921" w:rsidRPr="006F7EC6" w:rsidRDefault="00B03921" w:rsidP="00016914">
            <w:pPr>
              <w:pStyle w:val="Tabletext"/>
              <w:rPr>
                <w:rFonts w:eastAsiaTheme="minorEastAsia"/>
                <w:lang w:eastAsia="en-AU"/>
              </w:rPr>
            </w:pPr>
            <w:r w:rsidRPr="006F7EC6">
              <w:rPr>
                <w:rFonts w:eastAsiaTheme="minorEastAsia"/>
                <w:lang w:eastAsia="en-AU"/>
              </w:rPr>
              <w:t>Cash and investments</w:t>
            </w:r>
          </w:p>
        </w:tc>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2 279.0</w:t>
            </w:r>
          </w:p>
        </w:tc>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1 351.9</w:t>
            </w:r>
          </w:p>
        </w:tc>
      </w:tr>
      <w:tr w:rsidR="00B03921" w:rsidRPr="006F7EC6" w:rsidTr="00016914">
        <w:tc>
          <w:tcPr>
            <w:tcW w:w="920" w:type="dxa"/>
            <w:tcBorders>
              <w:top w:val="single" w:sz="6" w:space="0" w:color="auto"/>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2 807.7</w:t>
            </w:r>
          </w:p>
        </w:tc>
        <w:tc>
          <w:tcPr>
            <w:tcW w:w="120" w:type="dxa"/>
            <w:tcBorders>
              <w:top w:val="nil"/>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 xml:space="preserve">           </w:t>
            </w:r>
          </w:p>
        </w:tc>
        <w:tc>
          <w:tcPr>
            <w:tcW w:w="4880" w:type="dxa"/>
            <w:tcBorders>
              <w:top w:val="nil"/>
              <w:left w:val="nil"/>
              <w:bottom w:val="nil"/>
              <w:right w:val="nil"/>
            </w:tcBorders>
          </w:tcPr>
          <w:p w:rsidR="00B03921" w:rsidRPr="006F7EC6" w:rsidRDefault="00B03921" w:rsidP="00016914">
            <w:pPr>
              <w:pStyle w:val="Tabletext"/>
              <w:rPr>
                <w:rFonts w:eastAsiaTheme="minorEastAsia"/>
                <w:b/>
                <w:bCs/>
                <w:lang w:eastAsia="en-AU"/>
              </w:rPr>
            </w:pPr>
            <w:r w:rsidRPr="006F7EC6">
              <w:rPr>
                <w:rFonts w:eastAsiaTheme="minorEastAsia"/>
                <w:b/>
                <w:bCs/>
                <w:lang w:eastAsia="en-AU"/>
              </w:rPr>
              <w:t>Total stock, securities, cash and investments</w:t>
            </w:r>
          </w:p>
        </w:tc>
        <w:tc>
          <w:tcPr>
            <w:tcW w:w="920" w:type="dxa"/>
            <w:tcBorders>
              <w:top w:val="nil"/>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3 493.0</w:t>
            </w:r>
          </w:p>
        </w:tc>
        <w:tc>
          <w:tcPr>
            <w:tcW w:w="920" w:type="dxa"/>
            <w:tcBorders>
              <w:top w:val="nil"/>
              <w:left w:val="nil"/>
              <w:bottom w:val="nil"/>
              <w:right w:val="nil"/>
            </w:tcBorders>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2 916.3</w:t>
            </w:r>
          </w:p>
        </w:tc>
      </w:tr>
      <w:tr w:rsidR="0075075C" w:rsidRPr="006F7EC6" w:rsidTr="005468ED">
        <w:tc>
          <w:tcPr>
            <w:tcW w:w="920" w:type="dxa"/>
            <w:tcBorders>
              <w:top w:val="nil"/>
              <w:left w:val="nil"/>
              <w:bottom w:val="nil"/>
              <w:right w:val="nil"/>
            </w:tcBorders>
          </w:tcPr>
          <w:p w:rsidR="0075075C" w:rsidRPr="006F7EC6" w:rsidRDefault="0075075C" w:rsidP="00016914">
            <w:pPr>
              <w:pStyle w:val="TableofFigures"/>
              <w:rPr>
                <w:rFonts w:eastAsiaTheme="minorEastAsia"/>
                <w:lang w:eastAsia="en-AU"/>
              </w:rPr>
            </w:pPr>
            <w:r w:rsidRPr="006F7EC6">
              <w:rPr>
                <w:rFonts w:eastAsiaTheme="minorEastAsia"/>
                <w:lang w:eastAsia="en-AU"/>
              </w:rPr>
              <w:t xml:space="preserve"> </w:t>
            </w:r>
          </w:p>
        </w:tc>
        <w:tc>
          <w:tcPr>
            <w:tcW w:w="120" w:type="dxa"/>
            <w:tcBorders>
              <w:top w:val="nil"/>
              <w:left w:val="nil"/>
              <w:bottom w:val="nil"/>
              <w:right w:val="nil"/>
            </w:tcBorders>
          </w:tcPr>
          <w:p w:rsidR="0075075C" w:rsidRPr="006F7EC6" w:rsidRDefault="0075075C" w:rsidP="00016914">
            <w:pPr>
              <w:pStyle w:val="TableofFigures"/>
              <w:rPr>
                <w:rFonts w:eastAsiaTheme="minorEastAsia"/>
                <w:lang w:eastAsia="en-AU"/>
              </w:rPr>
            </w:pPr>
            <w:r w:rsidRPr="006F7EC6">
              <w:rPr>
                <w:rFonts w:eastAsiaTheme="minorEastAsia"/>
                <w:lang w:eastAsia="en-AU"/>
              </w:rPr>
              <w:t xml:space="preserve">           </w:t>
            </w:r>
          </w:p>
        </w:tc>
        <w:tc>
          <w:tcPr>
            <w:tcW w:w="6720" w:type="dxa"/>
            <w:gridSpan w:val="3"/>
            <w:tcBorders>
              <w:top w:val="nil"/>
              <w:left w:val="nil"/>
              <w:bottom w:val="nil"/>
              <w:right w:val="nil"/>
            </w:tcBorders>
          </w:tcPr>
          <w:p w:rsidR="0075075C" w:rsidRPr="006F7EC6" w:rsidRDefault="0075075C" w:rsidP="0075075C">
            <w:pPr>
              <w:pStyle w:val="TableofFigures"/>
              <w:jc w:val="left"/>
              <w:rPr>
                <w:rFonts w:eastAsiaTheme="minorEastAsia"/>
                <w:lang w:eastAsia="en-AU"/>
              </w:rPr>
            </w:pPr>
            <w:r w:rsidRPr="006F7EC6">
              <w:rPr>
                <w:rFonts w:eastAsiaTheme="minorEastAsia"/>
                <w:lang w:eastAsia="en-AU"/>
              </w:rPr>
              <w:t xml:space="preserve">Add cash advanced for:  </w:t>
            </w:r>
          </w:p>
        </w:tc>
      </w:tr>
      <w:tr w:rsidR="00B03921" w:rsidRPr="006F7EC6" w:rsidTr="00016914">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184.1</w:t>
            </w:r>
          </w:p>
        </w:tc>
        <w:tc>
          <w:tcPr>
            <w:tcW w:w="1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w:t>
            </w:r>
          </w:p>
        </w:tc>
        <w:tc>
          <w:tcPr>
            <w:tcW w:w="4880" w:type="dxa"/>
            <w:tcBorders>
              <w:top w:val="nil"/>
              <w:left w:val="nil"/>
              <w:bottom w:val="single" w:sz="6" w:space="0" w:color="auto"/>
              <w:right w:val="nil"/>
            </w:tcBorders>
          </w:tcPr>
          <w:p w:rsidR="00B03921" w:rsidRPr="006F7EC6" w:rsidRDefault="00B03921" w:rsidP="00016914">
            <w:pPr>
              <w:pStyle w:val="Tabletext"/>
              <w:rPr>
                <w:rFonts w:eastAsiaTheme="minorEastAsia"/>
                <w:lang w:eastAsia="en-AU"/>
              </w:rPr>
            </w:pPr>
            <w:r w:rsidRPr="006F7EC6">
              <w:rPr>
                <w:rFonts w:eastAsiaTheme="minorEastAsia"/>
                <w:lang w:eastAsia="en-AU"/>
              </w:rPr>
              <w:t xml:space="preserve">Advances pursuant to sections 36 and 37 of the </w:t>
            </w:r>
            <w:r w:rsidRPr="00CD6886">
              <w:rPr>
                <w:rFonts w:eastAsiaTheme="minorEastAsia"/>
                <w:i/>
                <w:lang w:eastAsia="en-AU"/>
              </w:rPr>
              <w:t>Financial Management Act 1994</w:t>
            </w:r>
          </w:p>
        </w:tc>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215.3</w:t>
            </w:r>
          </w:p>
        </w:tc>
        <w:tc>
          <w:tcPr>
            <w:tcW w:w="920" w:type="dxa"/>
            <w:tcBorders>
              <w:top w:val="nil"/>
              <w:left w:val="nil"/>
              <w:bottom w:val="single" w:sz="6" w:space="0" w:color="auto"/>
              <w:right w:val="nil"/>
            </w:tcBorders>
          </w:tcPr>
          <w:p w:rsidR="00B03921" w:rsidRPr="006F7EC6" w:rsidRDefault="00B03921" w:rsidP="00016914">
            <w:pPr>
              <w:pStyle w:val="TableofFigures"/>
              <w:rPr>
                <w:rFonts w:eastAsiaTheme="minorEastAsia"/>
                <w:lang w:eastAsia="en-AU"/>
              </w:rPr>
            </w:pPr>
            <w:r w:rsidRPr="006F7EC6">
              <w:rPr>
                <w:rFonts w:eastAsiaTheme="minorEastAsia"/>
                <w:lang w:eastAsia="en-AU"/>
              </w:rPr>
              <w:t xml:space="preserve"> 209.2</w:t>
            </w:r>
          </w:p>
        </w:tc>
      </w:tr>
      <w:tr w:rsidR="00B03921" w:rsidRPr="006F7EC6" w:rsidTr="00016914">
        <w:tc>
          <w:tcPr>
            <w:tcW w:w="920" w:type="dxa"/>
            <w:tcBorders>
              <w:top w:val="single" w:sz="6" w:space="0" w:color="auto"/>
              <w:left w:val="nil"/>
              <w:bottom w:val="single" w:sz="12" w:space="0" w:color="000000"/>
              <w:right w:val="nil"/>
            </w:tcBorders>
            <w:shd w:val="clear" w:color="auto" w:fill="auto"/>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2 991.8</w:t>
            </w:r>
          </w:p>
        </w:tc>
        <w:tc>
          <w:tcPr>
            <w:tcW w:w="120" w:type="dxa"/>
            <w:tcBorders>
              <w:top w:val="single" w:sz="6" w:space="0" w:color="auto"/>
              <w:left w:val="nil"/>
              <w:bottom w:val="single" w:sz="12" w:space="0" w:color="000000"/>
              <w:right w:val="nil"/>
            </w:tcBorders>
            <w:shd w:val="clear" w:color="auto" w:fill="auto"/>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B03921" w:rsidRPr="006F7EC6" w:rsidRDefault="00B03921" w:rsidP="00016914">
            <w:pPr>
              <w:pStyle w:val="Tabletext"/>
              <w:rPr>
                <w:rFonts w:eastAsiaTheme="minorEastAsia"/>
                <w:b/>
                <w:bCs/>
                <w:lang w:eastAsia="en-AU"/>
              </w:rPr>
            </w:pPr>
            <w:r w:rsidRPr="006F7EC6">
              <w:rPr>
                <w:rFonts w:eastAsiaTheme="minorEastAsia"/>
                <w:b/>
                <w:bCs/>
                <w:lang w:eastAsia="en-AU"/>
              </w:rPr>
              <w:t xml:space="preserve">Total </w:t>
            </w:r>
            <w:r w:rsidR="00CD6886" w:rsidRPr="006F7EC6">
              <w:rPr>
                <w:rFonts w:eastAsiaTheme="minorEastAsia"/>
                <w:b/>
                <w:bCs/>
                <w:lang w:eastAsia="en-AU"/>
              </w:rPr>
              <w:t>Public Account</w:t>
            </w:r>
          </w:p>
        </w:tc>
        <w:tc>
          <w:tcPr>
            <w:tcW w:w="920" w:type="dxa"/>
            <w:tcBorders>
              <w:top w:val="single" w:sz="6" w:space="0" w:color="auto"/>
              <w:left w:val="nil"/>
              <w:bottom w:val="single" w:sz="12" w:space="0" w:color="000000"/>
              <w:right w:val="nil"/>
            </w:tcBorders>
            <w:shd w:val="clear" w:color="auto" w:fill="auto"/>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3 708.2</w:t>
            </w:r>
          </w:p>
        </w:tc>
        <w:tc>
          <w:tcPr>
            <w:tcW w:w="920" w:type="dxa"/>
            <w:tcBorders>
              <w:top w:val="single" w:sz="6" w:space="0" w:color="auto"/>
              <w:left w:val="nil"/>
              <w:bottom w:val="single" w:sz="12" w:space="0" w:color="000000"/>
              <w:right w:val="nil"/>
            </w:tcBorders>
            <w:shd w:val="clear" w:color="auto" w:fill="auto"/>
          </w:tcPr>
          <w:p w:rsidR="00B03921" w:rsidRPr="006F7EC6" w:rsidRDefault="00B03921" w:rsidP="00016914">
            <w:pPr>
              <w:pStyle w:val="TableofFigures"/>
              <w:rPr>
                <w:rFonts w:eastAsiaTheme="minorEastAsia"/>
                <w:b/>
                <w:bCs/>
                <w:lang w:eastAsia="en-AU"/>
              </w:rPr>
            </w:pPr>
            <w:r w:rsidRPr="006F7EC6">
              <w:rPr>
                <w:rFonts w:eastAsiaTheme="minorEastAsia"/>
                <w:b/>
                <w:bCs/>
                <w:lang w:eastAsia="en-AU"/>
              </w:rPr>
              <w:t>3 125.5</w:t>
            </w:r>
          </w:p>
        </w:tc>
      </w:tr>
    </w:tbl>
    <w:p w:rsidR="00B03921" w:rsidRPr="002346A3" w:rsidRDefault="00B03921" w:rsidP="00016914">
      <w:pPr>
        <w:pStyle w:val="million"/>
      </w:pPr>
      <w:r w:rsidRPr="002346A3">
        <w:t xml:space="preserve"> </w:t>
      </w:r>
    </w:p>
    <w:p w:rsidR="00B03921" w:rsidRPr="002346A3" w:rsidRDefault="00B03921" w:rsidP="00016914">
      <w:pPr>
        <w:pStyle w:val="BodyText"/>
      </w:pPr>
    </w:p>
    <w:p w:rsidR="00B03921" w:rsidRPr="00F10B6E" w:rsidRDefault="00B03921" w:rsidP="00016914">
      <w:pPr>
        <w:pStyle w:val="BodyText"/>
      </w:pPr>
    </w:p>
    <w:p w:rsidR="00B03921" w:rsidRPr="00903C96" w:rsidRDefault="00B03921" w:rsidP="00016914">
      <w:pPr>
        <w:pStyle w:val="Heading1"/>
      </w:pPr>
      <w:bookmarkStart w:id="300" w:name="_Toc418274785"/>
      <w:r w:rsidRPr="00903C96">
        <w:t>Results quarter by quarter – Victorian general government sector</w:t>
      </w:r>
      <w:bookmarkEnd w:id="300"/>
    </w:p>
    <w:p w:rsidR="00B03921" w:rsidRPr="00F10B6E" w:rsidRDefault="00B03921" w:rsidP="00016914">
      <w:pPr>
        <w:pStyle w:val="Tableheading"/>
      </w:pPr>
      <w:r w:rsidRPr="00F10B6E">
        <w:t>Table B.5:</w:t>
      </w:r>
      <w:r w:rsidRPr="00F10B6E">
        <w:tab/>
        <w:t>Operating statement for the past five quarters</w:t>
      </w:r>
    </w:p>
    <w:p w:rsidR="00B03921" w:rsidRPr="00B52D5F" w:rsidRDefault="00B03921" w:rsidP="00016914">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gridCol w:w="46"/>
      </w:tblGrid>
      <w:tr w:rsidR="0075075C" w:rsidRPr="00B52D5F" w:rsidTr="00956E48">
        <w:trPr>
          <w:gridAfter w:val="1"/>
          <w:wAfter w:w="46" w:type="dxa"/>
          <w:trHeight w:val="503"/>
          <w:tblHeader/>
        </w:trPr>
        <w:tc>
          <w:tcPr>
            <w:tcW w:w="2790" w:type="dxa"/>
            <w:tcBorders>
              <w:top w:val="single" w:sz="6" w:space="0" w:color="auto"/>
              <w:left w:val="single" w:sz="6" w:space="0" w:color="auto"/>
            </w:tcBorders>
            <w:shd w:val="clear" w:color="000000" w:fill="000000"/>
          </w:tcPr>
          <w:p w:rsidR="0075075C" w:rsidRPr="00B52D5F" w:rsidRDefault="0075075C" w:rsidP="00016914">
            <w:pPr>
              <w:pStyle w:val="Tabletext"/>
              <w:rPr>
                <w:rFonts w:eastAsiaTheme="minorEastAsia"/>
                <w:i/>
                <w:lang w:eastAsia="en-AU"/>
              </w:rPr>
            </w:pPr>
            <w:r w:rsidRPr="00B52D5F">
              <w:rPr>
                <w:rFonts w:eastAsiaTheme="minorEastAsia"/>
                <w:i/>
                <w:lang w:eastAsia="en-AU"/>
              </w:rPr>
              <w:t xml:space="preserve"> </w:t>
            </w:r>
          </w:p>
          <w:p w:rsidR="0075075C" w:rsidRPr="00B52D5F" w:rsidRDefault="0075075C" w:rsidP="00016914">
            <w:pPr>
              <w:pStyle w:val="Tabletext"/>
              <w:rPr>
                <w:rFonts w:eastAsiaTheme="minorEastAsia"/>
                <w:i/>
                <w:lang w:eastAsia="en-AU"/>
              </w:rPr>
            </w:pPr>
            <w:r w:rsidRPr="00B52D5F">
              <w:rPr>
                <w:rFonts w:eastAsiaTheme="minorEastAsia"/>
                <w:i/>
                <w:lang w:eastAsia="en-AU"/>
              </w:rPr>
              <w:t xml:space="preserve"> </w:t>
            </w:r>
          </w:p>
        </w:tc>
        <w:tc>
          <w:tcPr>
            <w:tcW w:w="994" w:type="dxa"/>
            <w:tcBorders>
              <w:top w:val="single" w:sz="6" w:space="0" w:color="auto"/>
            </w:tcBorders>
            <w:shd w:val="clear" w:color="000000" w:fill="000000"/>
          </w:tcPr>
          <w:p w:rsidR="0075075C" w:rsidRDefault="0075075C" w:rsidP="00016914">
            <w:pPr>
              <w:pStyle w:val="Tabletextheading"/>
              <w:rPr>
                <w:rFonts w:eastAsiaTheme="minorEastAsia"/>
                <w:color w:val="FFFFFF"/>
                <w:lang w:eastAsia="en-AU"/>
              </w:rPr>
            </w:pP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Mar</w:t>
            </w:r>
          </w:p>
        </w:tc>
        <w:tc>
          <w:tcPr>
            <w:tcW w:w="994" w:type="dxa"/>
            <w:tcBorders>
              <w:top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2013-14</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Jun</w:t>
            </w:r>
          </w:p>
        </w:tc>
        <w:tc>
          <w:tcPr>
            <w:tcW w:w="994" w:type="dxa"/>
            <w:tcBorders>
              <w:top w:val="single" w:sz="6" w:space="0" w:color="auto"/>
            </w:tcBorders>
            <w:shd w:val="clear" w:color="000000" w:fill="000000"/>
          </w:tcPr>
          <w:p w:rsidR="0075075C" w:rsidRDefault="0075075C" w:rsidP="00016914">
            <w:pPr>
              <w:pStyle w:val="Tabletextheading"/>
              <w:rPr>
                <w:rFonts w:eastAsiaTheme="minorEastAsia"/>
                <w:color w:val="FFFFFF"/>
                <w:lang w:eastAsia="en-AU"/>
              </w:rPr>
            </w:pPr>
          </w:p>
          <w:p w:rsidR="0075075C" w:rsidRPr="00B52D5F" w:rsidRDefault="0075075C" w:rsidP="00016914">
            <w:pPr>
              <w:pStyle w:val="Tabletextheading"/>
              <w:rPr>
                <w:rFonts w:eastAsiaTheme="minorEastAsia"/>
                <w:color w:val="FFFFFF"/>
                <w:lang w:eastAsia="en-AU"/>
              </w:rPr>
            </w:pPr>
            <w:r>
              <w:rPr>
                <w:rFonts w:eastAsiaTheme="minorEastAsia"/>
                <w:color w:val="FFFFFF"/>
                <w:lang w:eastAsia="en-AU"/>
              </w:rPr>
              <w:t>Sep</w:t>
            </w:r>
          </w:p>
        </w:tc>
        <w:tc>
          <w:tcPr>
            <w:tcW w:w="994" w:type="dxa"/>
            <w:tcBorders>
              <w:top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2014-15</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Dec</w:t>
            </w:r>
          </w:p>
        </w:tc>
        <w:tc>
          <w:tcPr>
            <w:tcW w:w="994" w:type="dxa"/>
            <w:tcBorders>
              <w:top w:val="single" w:sz="6" w:space="0" w:color="auto"/>
              <w:right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Mar</w:t>
            </w:r>
          </w:p>
        </w:tc>
      </w:tr>
      <w:tr w:rsidR="0075075C" w:rsidRPr="00B52D5F" w:rsidTr="0034523E">
        <w:trPr>
          <w:gridAfter w:val="1"/>
          <w:wAfter w:w="46" w:type="dxa"/>
        </w:trPr>
        <w:tc>
          <w:tcPr>
            <w:tcW w:w="7760" w:type="dxa"/>
            <w:gridSpan w:val="6"/>
            <w:tcBorders>
              <w:top w:val="single" w:sz="6" w:space="0" w:color="auto"/>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Revenue from transactions</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Taxation revenue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5 092.9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3 704.2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4 710.7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4 053.6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5 476.1</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Interest revenue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201.4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209.1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205.1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203.1</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Dividends and income tax equivalent and rate equivalent revenue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107.7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115.1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615.8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63.0</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Sales of goods and services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1 347.8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1 951.8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1 656.6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1 675.8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1 711.3</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Grants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6 304.5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7 558.2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5 665.0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6 056.7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6 742.1</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revenue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487.8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795.3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566.4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588.3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496.4</w:t>
            </w:r>
          </w:p>
        </w:tc>
      </w:tr>
      <w:tr w:rsidR="00B03921" w:rsidRPr="00B52D5F" w:rsidTr="00016914">
        <w:trPr>
          <w:gridAfter w:val="1"/>
          <w:wAfter w:w="46" w:type="dxa"/>
        </w:trPr>
        <w:tc>
          <w:tcPr>
            <w:tcW w:w="2790" w:type="dxa"/>
            <w:tcBorders>
              <w:top w:val="single" w:sz="6" w:space="0" w:color="auto"/>
              <w:left w:val="nil"/>
              <w:bottom w:val="nil"/>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revenue from transactions</w:t>
            </w:r>
          </w:p>
        </w:tc>
        <w:tc>
          <w:tcPr>
            <w:tcW w:w="994"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13 542.1</w:t>
            </w:r>
          </w:p>
        </w:tc>
        <w:tc>
          <w:tcPr>
            <w:tcW w:w="994"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14 333.8</w:t>
            </w:r>
          </w:p>
        </w:tc>
        <w:tc>
          <w:tcPr>
            <w:tcW w:w="994"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12 854.7</w:t>
            </w:r>
          </w:p>
        </w:tc>
        <w:tc>
          <w:tcPr>
            <w:tcW w:w="994"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13 190.2</w:t>
            </w:r>
          </w:p>
        </w:tc>
        <w:tc>
          <w:tcPr>
            <w:tcW w:w="994" w:type="dxa"/>
            <w:tcBorders>
              <w:top w:val="single" w:sz="6" w:space="0" w:color="auto"/>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14 692.0</w:t>
            </w:r>
          </w:p>
        </w:tc>
      </w:tr>
      <w:tr w:rsidR="0075075C" w:rsidRPr="00B52D5F" w:rsidTr="00097085">
        <w:trPr>
          <w:gridAfter w:val="1"/>
          <w:wAfter w:w="46" w:type="dxa"/>
        </w:trPr>
        <w:tc>
          <w:tcPr>
            <w:tcW w:w="7760" w:type="dxa"/>
            <w:gridSpan w:val="6"/>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Expenses from transactions</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Employee expenses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4 424.1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4 705.5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4 510.1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4 808.9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4 628.2</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Net superannuation interest expense</w:t>
            </w:r>
            <w:r w:rsidRPr="00B52D5F">
              <w:rPr>
                <w:rFonts w:eastAsiaTheme="minorEastAsia"/>
                <w:vertAlign w:val="superscript"/>
                <w:lang w:eastAsia="en-AU"/>
              </w:rPr>
              <w:t>(a)</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265.1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268.0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258.1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253.5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250.2</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Other superannuation</w:t>
            </w:r>
            <w:r w:rsidRPr="00B52D5F">
              <w:rPr>
                <w:rFonts w:eastAsiaTheme="minorEastAsia"/>
                <w:vertAlign w:val="superscript"/>
                <w:lang w:eastAsia="en-AU"/>
              </w:rPr>
              <w:t>(a)</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432.9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446.6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483.9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550.9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482.6</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Depreciation</w:t>
            </w:r>
            <w:r w:rsidRPr="00B52D5F">
              <w:rPr>
                <w:rFonts w:eastAsiaTheme="minorEastAsia"/>
                <w:vertAlign w:val="superscript"/>
                <w:lang w:eastAsia="en-AU"/>
              </w:rPr>
              <w:t>(b)</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594.2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615.9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601.0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611.5</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Interest expense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519.6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557.0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523.4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524.7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511.0</w:t>
            </w:r>
          </w:p>
        </w:tc>
      </w:tr>
      <w:tr w:rsidR="00B03921" w:rsidRPr="00B52D5F" w:rsidTr="00016914">
        <w:trPr>
          <w:gridAfter w:val="1"/>
          <w:wAfter w:w="46" w:type="dxa"/>
        </w:trPr>
        <w:tc>
          <w:tcPr>
            <w:tcW w:w="279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Grants and other transfers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2 359.6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1 319.7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2 002.6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2 127.6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2 646.3</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operating expenses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3 730.4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5 322.7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4 063.3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4 275.0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4 155.3</w:t>
            </w:r>
          </w:p>
        </w:tc>
      </w:tr>
      <w:tr w:rsidR="00B03921" w:rsidRPr="00B52D5F" w:rsidTr="00016914">
        <w:trPr>
          <w:gridAfter w:val="1"/>
          <w:wAfter w:w="46" w:type="dxa"/>
        </w:trPr>
        <w:tc>
          <w:tcPr>
            <w:tcW w:w="279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expenses from transaction</w:t>
            </w:r>
            <w:r w:rsidRPr="006833E8">
              <w:rPr>
                <w:rFonts w:eastAsiaTheme="minorEastAsia"/>
                <w:b/>
                <w:bCs/>
                <w:lang w:eastAsia="en-AU"/>
              </w:rPr>
              <w:t>s</w:t>
            </w:r>
            <w:r w:rsidRPr="006833E8">
              <w:rPr>
                <w:rFonts w:eastAsiaTheme="minorEastAsia"/>
                <w:b/>
                <w:bCs/>
                <w:vertAlign w:val="superscript"/>
                <w:lang w:eastAsia="en-AU"/>
              </w:rPr>
              <w:t>(a)(b)</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12 326.0</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13 235.3</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12 437.9</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13 141.6</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13 285.2</w:t>
            </w:r>
          </w:p>
        </w:tc>
      </w:tr>
      <w:tr w:rsidR="00B03921" w:rsidRPr="00B52D5F" w:rsidTr="00016914">
        <w:trPr>
          <w:gridAfter w:val="1"/>
          <w:wAfter w:w="46" w:type="dxa"/>
        </w:trPr>
        <w:tc>
          <w:tcPr>
            <w:tcW w:w="2790"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result from transactions – net operating balance</w:t>
            </w:r>
            <w:r w:rsidRPr="006833E8">
              <w:rPr>
                <w:rFonts w:eastAsiaTheme="minorEastAsia"/>
                <w:b/>
                <w:bCs/>
                <w:vertAlign w:val="superscript"/>
                <w:lang w:eastAsia="en-AU"/>
              </w:rPr>
              <w:t>(a)(b)</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1 216.1</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1 098.5</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416.8</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48.5</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1 406.8</w:t>
            </w:r>
          </w:p>
        </w:tc>
      </w:tr>
      <w:tr w:rsidR="0075075C" w:rsidRPr="00B52D5F" w:rsidTr="002A54E5">
        <w:tc>
          <w:tcPr>
            <w:tcW w:w="7806" w:type="dxa"/>
            <w:gridSpan w:val="7"/>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Other economic flows included in net result</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gain/(loss) on disposal of non-financial assets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1.3</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21.0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21.2</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gain/(loss) on financial assets or liabilities at fair value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19.3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46.3</w:t>
            </w:r>
          </w:p>
        </w:tc>
      </w:tr>
      <w:tr w:rsidR="00B03921" w:rsidRPr="00B52D5F" w:rsidTr="00016914">
        <w:trPr>
          <w:gridAfter w:val="1"/>
          <w:wAfter w:w="46" w:type="dxa"/>
        </w:trPr>
        <w:tc>
          <w:tcPr>
            <w:tcW w:w="279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Share of net profit/(loss) from associates/joint venture entities, excluding dividends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(0.1)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0.1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Pr>
                <w:rFonts w:eastAsiaTheme="minorEastAsia"/>
                <w:lang w:eastAsia="en-AU"/>
              </w:rPr>
              <w:t>..</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gains/(losses) from other economic flows</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(954.7)</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(105.8)</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(90.1)</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(243.3)</w:t>
            </w:r>
          </w:p>
        </w:tc>
        <w:tc>
          <w:tcPr>
            <w:tcW w:w="994" w:type="dxa"/>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(161.6)</w:t>
            </w:r>
          </w:p>
        </w:tc>
      </w:tr>
      <w:tr w:rsidR="00B03921" w:rsidRPr="00B52D5F" w:rsidTr="00016914">
        <w:trPr>
          <w:gridAfter w:val="1"/>
          <w:wAfter w:w="46" w:type="dxa"/>
        </w:trPr>
        <w:tc>
          <w:tcPr>
            <w:tcW w:w="279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lang w:eastAsia="en-AU"/>
              </w:rPr>
            </w:pPr>
            <w:r w:rsidRPr="00B52D5F">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(947.5)</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(146.4)</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(65.8)</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(206.8)</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(94.0)</w:t>
            </w:r>
          </w:p>
        </w:tc>
      </w:tr>
      <w:tr w:rsidR="00B03921" w:rsidRPr="00B52D5F" w:rsidTr="00016914">
        <w:trPr>
          <w:gridAfter w:val="1"/>
          <w:wAfter w:w="46" w:type="dxa"/>
        </w:trPr>
        <w:tc>
          <w:tcPr>
            <w:tcW w:w="279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resu</w:t>
            </w:r>
            <w:r w:rsidRPr="006833E8">
              <w:rPr>
                <w:rFonts w:eastAsiaTheme="minorEastAsia"/>
                <w:b/>
                <w:bCs/>
                <w:lang w:eastAsia="en-AU"/>
              </w:rPr>
              <w:t>lt</w:t>
            </w:r>
            <w:r w:rsidRPr="006833E8">
              <w:rPr>
                <w:rFonts w:eastAsiaTheme="minorEastAsia"/>
                <w:b/>
                <w:bCs/>
                <w:vertAlign w:val="superscript"/>
                <w:lang w:eastAsia="en-AU"/>
              </w:rPr>
              <w:t>(a)(b)</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268.6</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952.1</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351.0</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(158.3)</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1 312.8</w:t>
            </w:r>
          </w:p>
        </w:tc>
      </w:tr>
    </w:tbl>
    <w:p w:rsidR="006833E8" w:rsidRDefault="006833E8"/>
    <w:p w:rsidR="006833E8" w:rsidRPr="00F10B6E" w:rsidRDefault="006833E8" w:rsidP="006833E8">
      <w:pPr>
        <w:pStyle w:val="Tableheading"/>
      </w:pPr>
      <w:r w:rsidRPr="00F10B6E">
        <w:t>Table B.5:</w:t>
      </w:r>
      <w:r w:rsidRPr="00F10B6E">
        <w:tab/>
        <w:t>Operating statement for the past five quarters</w:t>
      </w:r>
      <w:r>
        <w:t xml:space="preserve"> </w:t>
      </w:r>
      <w:r w:rsidRPr="006833E8">
        <w:rPr>
          <w:i/>
        </w:rPr>
        <w:t>(continued)</w:t>
      </w:r>
    </w:p>
    <w:p w:rsidR="006833E8" w:rsidRPr="00B52D5F" w:rsidRDefault="006833E8" w:rsidP="006833E8">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16"/>
        <w:gridCol w:w="978"/>
        <w:gridCol w:w="22"/>
        <w:gridCol w:w="972"/>
        <w:gridCol w:w="28"/>
        <w:gridCol w:w="966"/>
        <w:gridCol w:w="34"/>
        <w:gridCol w:w="960"/>
        <w:gridCol w:w="40"/>
        <w:gridCol w:w="954"/>
        <w:gridCol w:w="46"/>
      </w:tblGrid>
      <w:tr w:rsidR="006833E8" w:rsidRPr="00B52D5F" w:rsidTr="006833E8">
        <w:trPr>
          <w:trHeight w:val="503"/>
          <w:tblHeader/>
        </w:trPr>
        <w:tc>
          <w:tcPr>
            <w:tcW w:w="2806" w:type="dxa"/>
            <w:gridSpan w:val="2"/>
            <w:tcBorders>
              <w:top w:val="single" w:sz="6" w:space="0" w:color="auto"/>
              <w:left w:val="single" w:sz="6" w:space="0" w:color="auto"/>
            </w:tcBorders>
            <w:shd w:val="clear" w:color="000000" w:fill="000000"/>
          </w:tcPr>
          <w:p w:rsidR="006833E8" w:rsidRPr="00B52D5F" w:rsidRDefault="006833E8" w:rsidP="00ED63AC">
            <w:pPr>
              <w:pStyle w:val="Tabletext"/>
              <w:rPr>
                <w:rFonts w:eastAsiaTheme="minorEastAsia"/>
                <w:i/>
                <w:lang w:eastAsia="en-AU"/>
              </w:rPr>
            </w:pPr>
            <w:r w:rsidRPr="00B52D5F">
              <w:rPr>
                <w:rFonts w:eastAsiaTheme="minorEastAsia"/>
                <w:i/>
                <w:lang w:eastAsia="en-AU"/>
              </w:rPr>
              <w:t xml:space="preserve"> </w:t>
            </w:r>
          </w:p>
          <w:p w:rsidR="006833E8" w:rsidRPr="00B52D5F" w:rsidRDefault="006833E8" w:rsidP="00ED63AC">
            <w:pPr>
              <w:pStyle w:val="Tabletext"/>
              <w:rPr>
                <w:rFonts w:eastAsiaTheme="minorEastAsia"/>
                <w:i/>
                <w:lang w:eastAsia="en-AU"/>
              </w:rPr>
            </w:pPr>
            <w:r w:rsidRPr="00B52D5F">
              <w:rPr>
                <w:rFonts w:eastAsiaTheme="minorEastAsia"/>
                <w:i/>
                <w:lang w:eastAsia="en-AU"/>
              </w:rPr>
              <w:t xml:space="preserve"> </w:t>
            </w:r>
          </w:p>
        </w:tc>
        <w:tc>
          <w:tcPr>
            <w:tcW w:w="1000" w:type="dxa"/>
            <w:gridSpan w:val="2"/>
            <w:tcBorders>
              <w:top w:val="single" w:sz="6" w:space="0" w:color="auto"/>
            </w:tcBorders>
            <w:shd w:val="clear" w:color="000000" w:fill="000000"/>
          </w:tcPr>
          <w:p w:rsidR="006833E8" w:rsidRDefault="006833E8" w:rsidP="00ED63AC">
            <w:pPr>
              <w:pStyle w:val="Tabletextheading"/>
              <w:rPr>
                <w:rFonts w:eastAsiaTheme="minorEastAsia"/>
                <w:color w:val="FFFFFF"/>
                <w:lang w:eastAsia="en-AU"/>
              </w:rPr>
            </w:pPr>
          </w:p>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Mar</w:t>
            </w:r>
          </w:p>
        </w:tc>
        <w:tc>
          <w:tcPr>
            <w:tcW w:w="1000" w:type="dxa"/>
            <w:gridSpan w:val="2"/>
            <w:tcBorders>
              <w:top w:val="single" w:sz="6" w:space="0" w:color="auto"/>
            </w:tcBorders>
            <w:shd w:val="clear" w:color="000000" w:fill="000000"/>
          </w:tcPr>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2013-14</w:t>
            </w:r>
          </w:p>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Jun</w:t>
            </w:r>
          </w:p>
        </w:tc>
        <w:tc>
          <w:tcPr>
            <w:tcW w:w="1000" w:type="dxa"/>
            <w:gridSpan w:val="2"/>
            <w:tcBorders>
              <w:top w:val="single" w:sz="6" w:space="0" w:color="auto"/>
            </w:tcBorders>
            <w:shd w:val="clear" w:color="000000" w:fill="000000"/>
          </w:tcPr>
          <w:p w:rsidR="006833E8" w:rsidRDefault="006833E8" w:rsidP="00ED63AC">
            <w:pPr>
              <w:pStyle w:val="Tabletextheading"/>
              <w:rPr>
                <w:rFonts w:eastAsiaTheme="minorEastAsia"/>
                <w:color w:val="FFFFFF"/>
                <w:lang w:eastAsia="en-AU"/>
              </w:rPr>
            </w:pPr>
          </w:p>
          <w:p w:rsidR="006833E8" w:rsidRPr="00B52D5F" w:rsidRDefault="006833E8" w:rsidP="00ED63AC">
            <w:pPr>
              <w:pStyle w:val="Tabletextheading"/>
              <w:rPr>
                <w:rFonts w:eastAsiaTheme="minorEastAsia"/>
                <w:color w:val="FFFFFF"/>
                <w:lang w:eastAsia="en-AU"/>
              </w:rPr>
            </w:pPr>
            <w:r>
              <w:rPr>
                <w:rFonts w:eastAsiaTheme="minorEastAsia"/>
                <w:color w:val="FFFFFF"/>
                <w:lang w:eastAsia="en-AU"/>
              </w:rPr>
              <w:t>Sep</w:t>
            </w:r>
          </w:p>
        </w:tc>
        <w:tc>
          <w:tcPr>
            <w:tcW w:w="1000" w:type="dxa"/>
            <w:gridSpan w:val="2"/>
            <w:tcBorders>
              <w:top w:val="single" w:sz="6" w:space="0" w:color="auto"/>
            </w:tcBorders>
            <w:shd w:val="clear" w:color="000000" w:fill="000000"/>
          </w:tcPr>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2014-15</w:t>
            </w:r>
          </w:p>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Dec</w:t>
            </w:r>
          </w:p>
        </w:tc>
        <w:tc>
          <w:tcPr>
            <w:tcW w:w="1000" w:type="dxa"/>
            <w:gridSpan w:val="2"/>
            <w:tcBorders>
              <w:top w:val="single" w:sz="6" w:space="0" w:color="auto"/>
              <w:right w:val="single" w:sz="6" w:space="0" w:color="auto"/>
            </w:tcBorders>
            <w:shd w:val="clear" w:color="000000" w:fill="000000"/>
          </w:tcPr>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 xml:space="preserve"> </w:t>
            </w:r>
          </w:p>
          <w:p w:rsidR="006833E8" w:rsidRPr="00B52D5F" w:rsidRDefault="006833E8" w:rsidP="00ED63AC">
            <w:pPr>
              <w:pStyle w:val="Tabletextheading"/>
              <w:rPr>
                <w:rFonts w:eastAsiaTheme="minorEastAsia"/>
                <w:color w:val="FFFFFF"/>
                <w:lang w:eastAsia="en-AU"/>
              </w:rPr>
            </w:pPr>
            <w:r w:rsidRPr="00B52D5F">
              <w:rPr>
                <w:rFonts w:eastAsiaTheme="minorEastAsia"/>
                <w:color w:val="FFFFFF"/>
                <w:lang w:eastAsia="en-AU"/>
              </w:rPr>
              <w:t>Mar</w:t>
            </w:r>
          </w:p>
        </w:tc>
      </w:tr>
      <w:tr w:rsidR="0075075C" w:rsidRPr="00B52D5F" w:rsidTr="007847CD">
        <w:tc>
          <w:tcPr>
            <w:tcW w:w="7806" w:type="dxa"/>
            <w:gridSpan w:val="12"/>
            <w:tcBorders>
              <w:top w:val="nil"/>
              <w:left w:val="nil"/>
              <w:bottom w:val="nil"/>
              <w:right w:val="nil"/>
            </w:tcBorders>
          </w:tcPr>
          <w:p w:rsidR="0075075C" w:rsidRPr="00B52D5F" w:rsidRDefault="0075075C" w:rsidP="006833E8">
            <w:pPr>
              <w:pStyle w:val="Tabletext"/>
              <w:ind w:left="181" w:hanging="181"/>
              <w:rPr>
                <w:rFonts w:eastAsiaTheme="minorEastAsia"/>
                <w:b/>
                <w:lang w:eastAsia="en-AU"/>
              </w:rPr>
            </w:pPr>
            <w:r w:rsidRPr="00B52D5F">
              <w:rPr>
                <w:rFonts w:eastAsiaTheme="minorEastAsia"/>
                <w:b/>
                <w:bCs/>
                <w:lang w:eastAsia="en-AU"/>
              </w:rPr>
              <w:t>Other economic flows – other comprehensive income</w:t>
            </w:r>
          </w:p>
        </w:tc>
      </w:tr>
      <w:tr w:rsidR="0075075C" w:rsidRPr="00B52D5F" w:rsidTr="00567D79">
        <w:tc>
          <w:tcPr>
            <w:tcW w:w="7806" w:type="dxa"/>
            <w:gridSpan w:val="12"/>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Items that will not be reclassified to net result</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Changes in non-financial assets revaluation surplus</w:t>
            </w:r>
            <w:r w:rsidRPr="00B52D5F">
              <w:rPr>
                <w:rFonts w:eastAsiaTheme="minorEastAsia"/>
                <w:vertAlign w:val="superscript"/>
                <w:lang w:eastAsia="en-AU"/>
              </w:rPr>
              <w:t>(b)</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(383.2)</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2 338.3</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(369.9)</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37.1</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256.7</w:t>
            </w:r>
          </w:p>
        </w:tc>
      </w:tr>
      <w:tr w:rsidR="00B03921" w:rsidRPr="00B52D5F" w:rsidTr="00016914">
        <w:trPr>
          <w:gridAfter w:val="1"/>
          <w:wAfter w:w="46" w:type="dxa"/>
        </w:trPr>
        <w:tc>
          <w:tcPr>
            <w:tcW w:w="2790" w:type="dxa"/>
            <w:tcBorders>
              <w:top w:val="nil"/>
              <w:left w:val="nil"/>
              <w:bottom w:val="nil"/>
              <w:right w:val="nil"/>
            </w:tcBorders>
            <w:shd w:val="solid" w:color="FFFFFF" w:fill="auto"/>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Remeasurement of superannuation defined benefit plans</w:t>
            </w:r>
            <w:r w:rsidRPr="00B52D5F">
              <w:rPr>
                <w:rFonts w:eastAsiaTheme="minorEastAsia"/>
                <w:vertAlign w:val="superscript"/>
                <w:lang w:eastAsia="en-AU"/>
              </w:rPr>
              <w:t>(a)</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(422.9)</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(2 294.6)</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121.2</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(2 585.6)</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(1 971.2)</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Net gain/(loss) on equity investments in other sector entities at proportional share of the carrying amount of net assets </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2 702.9</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2.7</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movements in equity</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358.7</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145.4</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405.8</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(21.3)</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sidRPr="00B52D5F">
              <w:rPr>
                <w:rFonts w:eastAsiaTheme="minorEastAsia"/>
                <w:lang w:eastAsia="en-AU"/>
              </w:rPr>
              <w:t xml:space="preserve">(1 </w:t>
            </w:r>
            <w:r w:rsidRPr="00B52D5F">
              <w:rPr>
                <w:rFonts w:eastAsiaTheme="minorEastAsia" w:cs="Calibri"/>
                <w:color w:val="000000"/>
                <w:lang w:eastAsia="en-AU"/>
              </w:rPr>
              <w:t>010.8)</w:t>
            </w:r>
          </w:p>
        </w:tc>
      </w:tr>
      <w:tr w:rsidR="0075075C" w:rsidRPr="00B52D5F" w:rsidTr="00CD5BCA">
        <w:tc>
          <w:tcPr>
            <w:tcW w:w="7806" w:type="dxa"/>
            <w:gridSpan w:val="12"/>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Items that may be reclassified subsequently to net result</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Net gain/(loss) on financial assets at fair value</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(0.8)</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(33.6)</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(2.2)</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(32.0)</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(12.2)</w:t>
            </w:r>
          </w:p>
        </w:tc>
      </w:tr>
      <w:tr w:rsidR="00B03921" w:rsidRPr="00B52D5F" w:rsidTr="00016914">
        <w:trPr>
          <w:gridAfter w:val="1"/>
          <w:wAfter w:w="46" w:type="dxa"/>
        </w:trPr>
        <w:tc>
          <w:tcPr>
            <w:tcW w:w="279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other economic flows – other comprehensive income</w:t>
            </w:r>
            <w:r w:rsidRPr="006833E8">
              <w:rPr>
                <w:rFonts w:eastAsiaTheme="minorEastAsia"/>
                <w:b/>
                <w:bCs/>
                <w:vertAlign w:val="superscript"/>
                <w:lang w:eastAsia="en-AU"/>
              </w:rPr>
              <w:t>(a)(b)</w:t>
            </w:r>
          </w:p>
        </w:tc>
        <w:tc>
          <w:tcPr>
            <w:tcW w:w="994" w:type="dxa"/>
            <w:gridSpan w:val="2"/>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(448.2)</w:t>
            </w:r>
          </w:p>
        </w:tc>
        <w:tc>
          <w:tcPr>
            <w:tcW w:w="994" w:type="dxa"/>
            <w:gridSpan w:val="2"/>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2 858.4</w:t>
            </w:r>
          </w:p>
        </w:tc>
        <w:tc>
          <w:tcPr>
            <w:tcW w:w="994" w:type="dxa"/>
            <w:gridSpan w:val="2"/>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154.9</w:t>
            </w:r>
          </w:p>
        </w:tc>
        <w:tc>
          <w:tcPr>
            <w:tcW w:w="994" w:type="dxa"/>
            <w:gridSpan w:val="2"/>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(2 599.2)</w:t>
            </w:r>
          </w:p>
        </w:tc>
        <w:tc>
          <w:tcPr>
            <w:tcW w:w="994" w:type="dxa"/>
            <w:gridSpan w:val="2"/>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(2 737.5)</w:t>
            </w:r>
          </w:p>
        </w:tc>
      </w:tr>
      <w:tr w:rsidR="00B03921" w:rsidRPr="00B52D5F" w:rsidTr="00016914">
        <w:trPr>
          <w:gridAfter w:val="1"/>
          <w:wAfter w:w="46" w:type="dxa"/>
        </w:trPr>
        <w:tc>
          <w:tcPr>
            <w:tcW w:w="2790"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Comprehensive result – total change in net wort</w:t>
            </w:r>
            <w:r w:rsidRPr="006833E8">
              <w:rPr>
                <w:rFonts w:eastAsiaTheme="minorEastAsia"/>
                <w:b/>
                <w:bCs/>
                <w:lang w:eastAsia="en-AU"/>
              </w:rPr>
              <w:t>h</w:t>
            </w:r>
            <w:r w:rsidRPr="006833E8">
              <w:rPr>
                <w:rFonts w:eastAsiaTheme="minorEastAsia"/>
                <w:b/>
                <w:bCs/>
                <w:vertAlign w:val="superscript"/>
                <w:lang w:eastAsia="en-AU"/>
              </w:rPr>
              <w:t>(a)(b)</w:t>
            </w:r>
          </w:p>
        </w:tc>
        <w:tc>
          <w:tcPr>
            <w:tcW w:w="994" w:type="dxa"/>
            <w:gridSpan w:val="2"/>
            <w:tcBorders>
              <w:top w:val="nil"/>
              <w:left w:val="nil"/>
              <w:bottom w:val="single" w:sz="12" w:space="0" w:color="auto"/>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(179.6)</w:t>
            </w:r>
          </w:p>
        </w:tc>
        <w:tc>
          <w:tcPr>
            <w:tcW w:w="994" w:type="dxa"/>
            <w:gridSpan w:val="2"/>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3 810.5</w:t>
            </w:r>
          </w:p>
        </w:tc>
        <w:tc>
          <w:tcPr>
            <w:tcW w:w="994" w:type="dxa"/>
            <w:gridSpan w:val="2"/>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505.9</w:t>
            </w:r>
          </w:p>
        </w:tc>
        <w:tc>
          <w:tcPr>
            <w:tcW w:w="994" w:type="dxa"/>
            <w:gridSpan w:val="2"/>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(2 757.4)</w:t>
            </w:r>
          </w:p>
        </w:tc>
        <w:tc>
          <w:tcPr>
            <w:tcW w:w="994" w:type="dxa"/>
            <w:gridSpan w:val="2"/>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(1 424.8)</w:t>
            </w:r>
          </w:p>
        </w:tc>
      </w:tr>
      <w:tr w:rsidR="0075075C" w:rsidRPr="00B52D5F" w:rsidTr="005058D4">
        <w:trPr>
          <w:gridAfter w:val="1"/>
          <w:wAfter w:w="46" w:type="dxa"/>
          <w:trHeight w:hRule="exact" w:val="120"/>
        </w:trPr>
        <w:tc>
          <w:tcPr>
            <w:tcW w:w="7760" w:type="dxa"/>
            <w:gridSpan w:val="11"/>
            <w:tcBorders>
              <w:top w:val="nil"/>
              <w:left w:val="nil"/>
              <w:bottom w:val="nil"/>
              <w:right w:val="nil"/>
            </w:tcBorders>
          </w:tcPr>
          <w:p w:rsidR="0075075C" w:rsidRPr="00B52D5F" w:rsidRDefault="0075075C" w:rsidP="00016914">
            <w:pPr>
              <w:pStyle w:val="TableofFigures"/>
              <w:rPr>
                <w:rFonts w:eastAsiaTheme="minorEastAsia"/>
                <w:lang w:eastAsia="en-AU"/>
              </w:rPr>
            </w:pPr>
          </w:p>
        </w:tc>
      </w:tr>
      <w:tr w:rsidR="0075075C" w:rsidRPr="00B52D5F" w:rsidTr="002B4C1B">
        <w:trPr>
          <w:gridAfter w:val="1"/>
          <w:wAfter w:w="46" w:type="dxa"/>
        </w:trPr>
        <w:tc>
          <w:tcPr>
            <w:tcW w:w="7760" w:type="dxa"/>
            <w:gridSpan w:val="11"/>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KEY FISCAL AGGREGATES</w:t>
            </w:r>
          </w:p>
        </w:tc>
      </w:tr>
      <w:tr w:rsidR="00B03921" w:rsidRPr="00B52D5F" w:rsidTr="00016914">
        <w:trPr>
          <w:gridAfter w:val="1"/>
          <w:wAfter w:w="46" w:type="dxa"/>
        </w:trPr>
        <w:tc>
          <w:tcPr>
            <w:tcW w:w="2790" w:type="dxa"/>
            <w:tcBorders>
              <w:top w:val="nil"/>
              <w:left w:val="nil"/>
              <w:bottom w:val="nil"/>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operating balance</w:t>
            </w:r>
            <w:r w:rsidRPr="00C84B54">
              <w:rPr>
                <w:rFonts w:eastAsiaTheme="minorEastAsia"/>
                <w:bCs/>
                <w:vertAlign w:val="superscript"/>
                <w:lang w:eastAsia="en-AU"/>
              </w:rPr>
              <w:t>(a)(b)</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1 216.1</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1 098.5</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416.8</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48.5</w:t>
            </w:r>
          </w:p>
        </w:tc>
        <w:tc>
          <w:tcPr>
            <w:tcW w:w="994" w:type="dxa"/>
            <w:gridSpan w:val="2"/>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1 406.8</w:t>
            </w:r>
          </w:p>
        </w:tc>
      </w:tr>
      <w:tr w:rsidR="00B03921" w:rsidRPr="00B52D5F" w:rsidTr="00016914">
        <w:trPr>
          <w:gridAfter w:val="1"/>
          <w:wAfter w:w="46" w:type="dxa"/>
        </w:trPr>
        <w:tc>
          <w:tcPr>
            <w:tcW w:w="279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Less: Net acquisition of </w:t>
            </w:r>
            <w:r w:rsidR="0075075C">
              <w:rPr>
                <w:rFonts w:eastAsiaTheme="minorEastAsia"/>
                <w:lang w:eastAsia="en-AU"/>
              </w:rPr>
              <w:br/>
            </w:r>
            <w:r w:rsidRPr="00B52D5F">
              <w:rPr>
                <w:rFonts w:eastAsiaTheme="minorEastAsia"/>
                <w:lang w:eastAsia="en-AU"/>
              </w:rPr>
              <w:t>non-financial assets from transactions</w:t>
            </w:r>
          </w:p>
        </w:tc>
        <w:tc>
          <w:tcPr>
            <w:tcW w:w="994" w:type="dxa"/>
            <w:gridSpan w:val="2"/>
            <w:tcBorders>
              <w:top w:val="nil"/>
              <w:left w:val="nil"/>
              <w:bottom w:val="single" w:sz="6" w:space="0" w:color="auto"/>
              <w:right w:val="nil"/>
            </w:tcBorders>
          </w:tcPr>
          <w:p w:rsidR="00B03921" w:rsidRPr="00B52D5F" w:rsidRDefault="00B03921" w:rsidP="00016914">
            <w:pPr>
              <w:pStyle w:val="TableofFigures"/>
              <w:rPr>
                <w:rFonts w:eastAsiaTheme="minorEastAsia" w:cs="Calibri"/>
                <w:color w:val="000000"/>
                <w:lang w:eastAsia="en-AU"/>
              </w:rPr>
            </w:pPr>
            <w:r>
              <w:rPr>
                <w:rFonts w:eastAsiaTheme="minorEastAsia"/>
                <w:lang w:eastAsia="en-AU"/>
              </w:rPr>
              <w:t>(14.6)</w:t>
            </w:r>
          </w:p>
        </w:tc>
        <w:tc>
          <w:tcPr>
            <w:tcW w:w="994" w:type="dxa"/>
            <w:gridSpan w:val="2"/>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127.3</w:t>
            </w:r>
          </w:p>
        </w:tc>
        <w:tc>
          <w:tcPr>
            <w:tcW w:w="994" w:type="dxa"/>
            <w:gridSpan w:val="2"/>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85.8</w:t>
            </w:r>
          </w:p>
        </w:tc>
        <w:tc>
          <w:tcPr>
            <w:tcW w:w="994" w:type="dxa"/>
            <w:gridSpan w:val="2"/>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378.5</w:t>
            </w:r>
          </w:p>
        </w:tc>
        <w:tc>
          <w:tcPr>
            <w:tcW w:w="994" w:type="dxa"/>
            <w:gridSpan w:val="2"/>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95.5</w:t>
            </w:r>
          </w:p>
        </w:tc>
      </w:tr>
      <w:tr w:rsidR="00B03921" w:rsidRPr="00B52D5F" w:rsidTr="00016914">
        <w:trPr>
          <w:gridAfter w:val="1"/>
          <w:wAfter w:w="46" w:type="dxa"/>
        </w:trPr>
        <w:tc>
          <w:tcPr>
            <w:tcW w:w="2790" w:type="dxa"/>
            <w:tcBorders>
              <w:top w:val="single" w:sz="6" w:space="0" w:color="auto"/>
              <w:left w:val="nil"/>
              <w:bottom w:val="single" w:sz="12" w:space="0" w:color="000000"/>
              <w:right w:val="nil"/>
            </w:tcBorders>
            <w:shd w:val="solid" w:color="FFFFFF"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lending/(borrowing)</w:t>
            </w:r>
            <w:r w:rsidRPr="006833E8">
              <w:rPr>
                <w:rFonts w:eastAsiaTheme="minorEastAsia"/>
                <w:b/>
                <w:bCs/>
                <w:vertAlign w:val="superscript"/>
                <w:lang w:eastAsia="en-AU"/>
              </w:rPr>
              <w:t>(a)(b)</w:t>
            </w:r>
          </w:p>
        </w:tc>
        <w:tc>
          <w:tcPr>
            <w:tcW w:w="994" w:type="dxa"/>
            <w:gridSpan w:val="2"/>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1 230.8</w:t>
            </w:r>
          </w:p>
        </w:tc>
        <w:tc>
          <w:tcPr>
            <w:tcW w:w="994" w:type="dxa"/>
            <w:gridSpan w:val="2"/>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971.2</w:t>
            </w:r>
          </w:p>
        </w:tc>
        <w:tc>
          <w:tcPr>
            <w:tcW w:w="994" w:type="dxa"/>
            <w:gridSpan w:val="2"/>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 xml:space="preserve"> 330.9</w:t>
            </w:r>
          </w:p>
        </w:tc>
        <w:tc>
          <w:tcPr>
            <w:tcW w:w="994" w:type="dxa"/>
            <w:gridSpan w:val="2"/>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cs="Calibri"/>
                <w:b/>
                <w:bCs/>
                <w:color w:val="000000"/>
                <w:lang w:eastAsia="en-AU"/>
              </w:rPr>
            </w:pPr>
            <w:r>
              <w:rPr>
                <w:rFonts w:eastAsiaTheme="minorEastAsia"/>
                <w:b/>
                <w:bCs/>
                <w:lang w:eastAsia="en-AU"/>
              </w:rPr>
              <w:t>(329.9)</w:t>
            </w:r>
          </w:p>
        </w:tc>
        <w:tc>
          <w:tcPr>
            <w:tcW w:w="994" w:type="dxa"/>
            <w:gridSpan w:val="2"/>
            <w:tcBorders>
              <w:top w:val="single" w:sz="6" w:space="0" w:color="auto"/>
              <w:left w:val="nil"/>
              <w:bottom w:val="single" w:sz="12" w:space="0" w:color="000000"/>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1 311.3</w:t>
            </w:r>
          </w:p>
        </w:tc>
      </w:tr>
    </w:tbl>
    <w:p w:rsidR="00B03921" w:rsidRDefault="00B03921" w:rsidP="00016914">
      <w:pPr>
        <w:pStyle w:val="Notes"/>
      </w:pPr>
      <w:r w:rsidRPr="00245E74">
        <w:t>The accompanying notes form part of these financial statements.</w:t>
      </w:r>
    </w:p>
    <w:p w:rsidR="00B03921" w:rsidRDefault="00B03921" w:rsidP="00016914">
      <w:pPr>
        <w:pStyle w:val="Notes"/>
      </w:pPr>
    </w:p>
    <w:p w:rsidR="00B03921" w:rsidRDefault="00B03921" w:rsidP="00016914">
      <w:pPr>
        <w:pStyle w:val="Notes"/>
      </w:pPr>
      <w:r>
        <w:t>Notes:</w:t>
      </w:r>
    </w:p>
    <w:p w:rsidR="00B03921" w:rsidRDefault="00B03921" w:rsidP="00016914">
      <w:pPr>
        <w:pStyle w:val="Notes"/>
      </w:pPr>
      <w:r>
        <w:t>(a)</w:t>
      </w:r>
      <w:r>
        <w:tab/>
        <w:t>The comparative figures have been restated to reflect a change in accounting policy associated with the calculation of the tax liability component  of the unfunded superannuation liability.</w:t>
      </w:r>
    </w:p>
    <w:p w:rsidR="00B03921" w:rsidRDefault="00B03921" w:rsidP="00016914">
      <w:pPr>
        <w:pStyle w:val="Notes"/>
      </w:pPr>
      <w:r>
        <w:t>(b)</w:t>
      </w:r>
      <w:r>
        <w:tab/>
        <w:t>The comparative figures have been restated to reflect a change in accounting policy associated with the valuation of school building assets.</w:t>
      </w:r>
    </w:p>
    <w:p w:rsidR="00B03921" w:rsidRDefault="00B03921" w:rsidP="00016914">
      <w:pPr>
        <w:pStyle w:val="Notes"/>
      </w:pPr>
    </w:p>
    <w:p w:rsidR="00B03921" w:rsidRPr="00F10B6E" w:rsidRDefault="00B03921" w:rsidP="00016914">
      <w:pPr>
        <w:pStyle w:val="million"/>
      </w:pPr>
    </w:p>
    <w:p w:rsidR="00B03921" w:rsidRDefault="00B03921">
      <w:pPr>
        <w:spacing w:after="0"/>
        <w:rPr>
          <w:rFonts w:ascii="Calibri" w:hAnsi="Calibri"/>
          <w:b/>
        </w:rPr>
      </w:pPr>
      <w:r>
        <w:br w:type="page"/>
      </w:r>
    </w:p>
    <w:p w:rsidR="00B03921" w:rsidRPr="00F10B6E" w:rsidRDefault="00B03921" w:rsidP="00016914">
      <w:pPr>
        <w:pStyle w:val="Heading5"/>
      </w:pPr>
      <w:r w:rsidRPr="00F10B6E">
        <w:t>Table B.6:</w:t>
      </w:r>
      <w:r w:rsidRPr="00F10B6E">
        <w:tab/>
        <w:t>Balance sheet as at the end of the quarter</w:t>
      </w:r>
    </w:p>
    <w:p w:rsidR="00B03921" w:rsidRPr="00B52D5F" w:rsidRDefault="00B03921" w:rsidP="00016914">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75075C" w:rsidRPr="00B52D5F" w:rsidTr="00A11E70">
        <w:trPr>
          <w:trHeight w:val="503"/>
          <w:tblHeader/>
        </w:trPr>
        <w:tc>
          <w:tcPr>
            <w:tcW w:w="2790" w:type="dxa"/>
            <w:tcBorders>
              <w:top w:val="single" w:sz="6" w:space="0" w:color="auto"/>
              <w:left w:val="single" w:sz="6" w:space="0" w:color="auto"/>
            </w:tcBorders>
            <w:shd w:val="clear" w:color="000000" w:fill="000000"/>
          </w:tcPr>
          <w:p w:rsidR="0075075C" w:rsidRPr="00B52D5F" w:rsidRDefault="0075075C" w:rsidP="00016914">
            <w:pPr>
              <w:pStyle w:val="Tabletext"/>
              <w:rPr>
                <w:rFonts w:eastAsiaTheme="minorEastAsia"/>
                <w:i/>
                <w:lang w:eastAsia="en-AU"/>
              </w:rPr>
            </w:pPr>
            <w:r w:rsidRPr="00B52D5F">
              <w:rPr>
                <w:rFonts w:eastAsiaTheme="minorEastAsia"/>
                <w:i/>
                <w:lang w:eastAsia="en-AU"/>
              </w:rPr>
              <w:t xml:space="preserve"> </w:t>
            </w:r>
          </w:p>
          <w:p w:rsidR="0075075C" w:rsidRPr="00B52D5F" w:rsidRDefault="0075075C" w:rsidP="00016914">
            <w:pPr>
              <w:pStyle w:val="Tabletext"/>
              <w:rPr>
                <w:rFonts w:eastAsiaTheme="minorEastAsia"/>
                <w:i/>
                <w:lang w:eastAsia="en-AU"/>
              </w:rPr>
            </w:pPr>
            <w:r w:rsidRPr="00B52D5F">
              <w:rPr>
                <w:rFonts w:eastAsiaTheme="minorEastAsia"/>
                <w:i/>
                <w:lang w:eastAsia="en-AU"/>
              </w:rPr>
              <w:t xml:space="preserve"> </w:t>
            </w:r>
          </w:p>
        </w:tc>
        <w:tc>
          <w:tcPr>
            <w:tcW w:w="994" w:type="dxa"/>
            <w:tcBorders>
              <w:top w:val="single" w:sz="6" w:space="0" w:color="auto"/>
            </w:tcBorders>
            <w:shd w:val="clear" w:color="000000" w:fill="000000"/>
          </w:tcPr>
          <w:p w:rsidR="0075075C" w:rsidRDefault="0075075C" w:rsidP="00016914">
            <w:pPr>
              <w:pStyle w:val="Tabletextheading"/>
              <w:rPr>
                <w:rFonts w:eastAsiaTheme="minorEastAsia"/>
                <w:color w:val="FFFFFF"/>
                <w:lang w:eastAsia="en-AU"/>
              </w:rPr>
            </w:pPr>
          </w:p>
          <w:p w:rsidR="0075075C" w:rsidRPr="00B52D5F" w:rsidRDefault="0075075C" w:rsidP="00016914">
            <w:pPr>
              <w:pStyle w:val="Tabletextheading"/>
              <w:rPr>
                <w:rFonts w:eastAsiaTheme="minorEastAsia"/>
                <w:color w:val="FFFFFF"/>
                <w:szCs w:val="22"/>
                <w:lang w:eastAsia="en-AU"/>
              </w:rPr>
            </w:pPr>
            <w:r w:rsidRPr="00B52D5F">
              <w:rPr>
                <w:rFonts w:eastAsiaTheme="minorEastAsia"/>
                <w:color w:val="FFFFFF"/>
                <w:lang w:eastAsia="en-AU"/>
              </w:rPr>
              <w:t>Mar</w:t>
            </w:r>
          </w:p>
        </w:tc>
        <w:tc>
          <w:tcPr>
            <w:tcW w:w="994" w:type="dxa"/>
            <w:tcBorders>
              <w:top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2013-14</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Jun</w:t>
            </w:r>
          </w:p>
        </w:tc>
        <w:tc>
          <w:tcPr>
            <w:tcW w:w="994" w:type="dxa"/>
            <w:tcBorders>
              <w:top w:val="single" w:sz="6" w:space="0" w:color="auto"/>
            </w:tcBorders>
            <w:shd w:val="clear" w:color="000000" w:fill="000000"/>
          </w:tcPr>
          <w:p w:rsidR="0075075C" w:rsidRDefault="0075075C" w:rsidP="0075075C">
            <w:pPr>
              <w:pStyle w:val="Tabletextheading"/>
              <w:rPr>
                <w:rFonts w:eastAsiaTheme="minorEastAsia"/>
                <w:color w:val="FFFFFF"/>
                <w:lang w:eastAsia="en-AU"/>
              </w:rPr>
            </w:pPr>
          </w:p>
          <w:p w:rsidR="0075075C" w:rsidRPr="00B52D5F" w:rsidRDefault="0075075C" w:rsidP="0075075C">
            <w:pPr>
              <w:pStyle w:val="Tabletextheading"/>
              <w:rPr>
                <w:rFonts w:eastAsiaTheme="minorEastAsia"/>
                <w:color w:val="FFFFFF"/>
                <w:szCs w:val="22"/>
                <w:lang w:eastAsia="en-AU"/>
              </w:rPr>
            </w:pPr>
            <w:r w:rsidRPr="00B52D5F">
              <w:rPr>
                <w:rFonts w:eastAsiaTheme="minorEastAsia"/>
                <w:color w:val="FFFFFF"/>
                <w:lang w:eastAsia="en-AU"/>
              </w:rPr>
              <w:t>Sep</w:t>
            </w:r>
          </w:p>
        </w:tc>
        <w:tc>
          <w:tcPr>
            <w:tcW w:w="994" w:type="dxa"/>
            <w:tcBorders>
              <w:top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2014-15</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Dec</w:t>
            </w:r>
          </w:p>
        </w:tc>
        <w:tc>
          <w:tcPr>
            <w:tcW w:w="994" w:type="dxa"/>
            <w:tcBorders>
              <w:top w:val="single" w:sz="6" w:space="0" w:color="auto"/>
              <w:right w:val="single" w:sz="6" w:space="0" w:color="auto"/>
            </w:tcBorders>
            <w:shd w:val="clear" w:color="000000" w:fill="000000"/>
          </w:tcPr>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 xml:space="preserve"> </w:t>
            </w:r>
          </w:p>
          <w:p w:rsidR="0075075C" w:rsidRPr="00B52D5F" w:rsidRDefault="0075075C" w:rsidP="00016914">
            <w:pPr>
              <w:pStyle w:val="Tabletextheading"/>
              <w:rPr>
                <w:rFonts w:eastAsiaTheme="minorEastAsia"/>
                <w:color w:val="FFFFFF"/>
                <w:lang w:eastAsia="en-AU"/>
              </w:rPr>
            </w:pPr>
            <w:r w:rsidRPr="00B52D5F">
              <w:rPr>
                <w:rFonts w:eastAsiaTheme="minorEastAsia"/>
                <w:color w:val="FFFFFF"/>
                <w:lang w:eastAsia="en-AU"/>
              </w:rPr>
              <w:t>Mar</w:t>
            </w:r>
          </w:p>
        </w:tc>
      </w:tr>
      <w:tr w:rsidR="0075075C" w:rsidRPr="00B52D5F" w:rsidTr="00076CC6">
        <w:tc>
          <w:tcPr>
            <w:tcW w:w="7760" w:type="dxa"/>
            <w:gridSpan w:val="6"/>
            <w:tcBorders>
              <w:top w:val="single" w:sz="6" w:space="0" w:color="auto"/>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Assets</w:t>
            </w:r>
          </w:p>
        </w:tc>
      </w:tr>
      <w:tr w:rsidR="0075075C" w:rsidRPr="00B52D5F" w:rsidTr="00CE2867">
        <w:tc>
          <w:tcPr>
            <w:tcW w:w="7760" w:type="dxa"/>
            <w:gridSpan w:val="6"/>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Financial assets</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Cash and deposits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3 064.7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4 500.9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4 095.4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4 089.5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4 527.2</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Advances paid</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4 593.5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4 586.9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4 575.9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4 577.9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4 573.3</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Receivables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5 893.4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4 940.6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5 168.6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5 003.4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6 729.0</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Investments, loans and placements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4 166.0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3 117.6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3 158.2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3 432.0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3 478.7</w:t>
            </w:r>
          </w:p>
        </w:tc>
      </w:tr>
      <w:tr w:rsidR="00B03921" w:rsidRPr="00B52D5F" w:rsidTr="00016914">
        <w:tc>
          <w:tcPr>
            <w:tcW w:w="2790" w:type="dxa"/>
            <w:tcBorders>
              <w:top w:val="nil"/>
              <w:left w:val="nil"/>
              <w:bottom w:val="nil"/>
              <w:right w:val="nil"/>
            </w:tcBorders>
            <w:shd w:val="solid" w:color="FFFFFF" w:fill="auto"/>
          </w:tcPr>
          <w:p w:rsidR="00B03921" w:rsidRPr="00B52D5F" w:rsidRDefault="00B03921" w:rsidP="00016914">
            <w:pPr>
              <w:pStyle w:val="Tabletext"/>
              <w:rPr>
                <w:rFonts w:eastAsiaTheme="minorEastAsia"/>
                <w:lang w:eastAsia="en-AU"/>
              </w:rPr>
            </w:pPr>
            <w:r w:rsidRPr="00B52D5F">
              <w:rPr>
                <w:rFonts w:eastAsiaTheme="minorEastAsia"/>
                <w:lang w:eastAsia="en-AU"/>
              </w:rPr>
              <w:t xml:space="preserve">Investments accounted for using equity method </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49.4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44.1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44.1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47.0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46.9</w:t>
            </w:r>
          </w:p>
        </w:tc>
      </w:tr>
      <w:tr w:rsidR="00B03921" w:rsidRPr="00B52D5F" w:rsidTr="00016914">
        <w:tc>
          <w:tcPr>
            <w:tcW w:w="2790" w:type="dxa"/>
            <w:tcBorders>
              <w:top w:val="nil"/>
              <w:left w:val="nil"/>
              <w:bottom w:val="single" w:sz="6" w:space="0" w:color="auto"/>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Investments in other sector entities</w:t>
            </w:r>
            <w:r w:rsidRPr="00B52D5F">
              <w:rPr>
                <w:rFonts w:eastAsiaTheme="minorEastAsia"/>
                <w:vertAlign w:val="superscript"/>
                <w:lang w:eastAsia="en-AU"/>
              </w:rPr>
              <w:t>(a)</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72 586.7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75 869.2</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75 875.3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76 169.5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76 357.5</w:t>
            </w:r>
          </w:p>
        </w:tc>
      </w:tr>
      <w:tr w:rsidR="00B03921" w:rsidRPr="00B52D5F" w:rsidTr="00016914">
        <w:tc>
          <w:tcPr>
            <w:tcW w:w="2790" w:type="dxa"/>
            <w:tcBorders>
              <w:top w:val="single" w:sz="6" w:space="0" w:color="auto"/>
              <w:left w:val="nil"/>
              <w:bottom w:val="single" w:sz="6" w:space="0" w:color="auto"/>
              <w:right w:val="nil"/>
            </w:tcBorders>
            <w:shd w:val="solid" w:color="FFFFFF"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financial assets</w:t>
            </w:r>
            <w:r w:rsidRPr="00C84B54">
              <w:rPr>
                <w:rFonts w:eastAsiaTheme="minorEastAsia"/>
                <w:bCs/>
                <w:vertAlign w:val="superscript"/>
                <w:lang w:eastAsia="en-AU"/>
              </w:rPr>
              <w:t>(a)</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90 353.7</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93 059.4</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92 917.6</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93 319.2</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95 712.5</w:t>
            </w:r>
          </w:p>
        </w:tc>
      </w:tr>
      <w:tr w:rsidR="0075075C" w:rsidRPr="00B52D5F" w:rsidTr="00A80AED">
        <w:tc>
          <w:tcPr>
            <w:tcW w:w="7760" w:type="dxa"/>
            <w:gridSpan w:val="6"/>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Non-financial assets</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Inventories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183.2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176.6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153.7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148.1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147.1</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Non-financial assets held for sale</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55.8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142.5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168.1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166.9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151.5</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Land, buildings, infrastructure, plant and equipment</w:t>
            </w:r>
            <w:r w:rsidRPr="00B52D5F">
              <w:rPr>
                <w:rFonts w:eastAsiaTheme="minorEastAsia"/>
                <w:vertAlign w:val="superscript"/>
                <w:lang w:eastAsia="en-AU"/>
              </w:rPr>
              <w:t>(b)</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102 645.8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105 161.7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105 199.6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105 480.0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104 847.4</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non-financial assets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1 145.9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1 204.8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1 383.6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1 480.3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1 325.0</w:t>
            </w:r>
          </w:p>
        </w:tc>
      </w:tr>
      <w:tr w:rsidR="00B03921" w:rsidRPr="00B52D5F" w:rsidTr="00016914">
        <w:tc>
          <w:tcPr>
            <w:tcW w:w="2790" w:type="dxa"/>
            <w:tcBorders>
              <w:top w:val="single" w:sz="6" w:space="0" w:color="auto"/>
              <w:left w:val="nil"/>
              <w:bottom w:val="single" w:sz="6"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non-financial assets</w:t>
            </w:r>
            <w:r w:rsidRPr="00C84B54">
              <w:rPr>
                <w:rFonts w:eastAsiaTheme="minorEastAsia"/>
                <w:bCs/>
                <w:vertAlign w:val="superscript"/>
                <w:lang w:eastAsia="en-AU"/>
              </w:rPr>
              <w:t>(b)</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104 030.8</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106 685.6</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106 905.1</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107 275.3</w:t>
            </w:r>
          </w:p>
        </w:tc>
        <w:tc>
          <w:tcPr>
            <w:tcW w:w="994" w:type="dxa"/>
            <w:tcBorders>
              <w:top w:val="single" w:sz="6" w:space="0" w:color="auto"/>
              <w:left w:val="nil"/>
              <w:bottom w:val="single" w:sz="6"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106 470.9</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assets</w:t>
            </w:r>
            <w:r w:rsidRPr="00C84B54">
              <w:rPr>
                <w:rFonts w:eastAsiaTheme="minorEastAsia"/>
                <w:bCs/>
                <w:vertAlign w:val="superscript"/>
                <w:lang w:eastAsia="en-AU"/>
              </w:rPr>
              <w:t>(a)(b)</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194 384.5</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199 744.9</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199 822.6</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200 594.5</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202 183.4</w:t>
            </w:r>
          </w:p>
        </w:tc>
      </w:tr>
      <w:tr w:rsidR="0075075C" w:rsidRPr="00B52D5F" w:rsidTr="001C160F">
        <w:trPr>
          <w:trHeight w:hRule="exact" w:val="120"/>
        </w:trPr>
        <w:tc>
          <w:tcPr>
            <w:tcW w:w="7760" w:type="dxa"/>
            <w:gridSpan w:val="6"/>
            <w:tcBorders>
              <w:top w:val="nil"/>
              <w:left w:val="nil"/>
              <w:bottom w:val="nil"/>
              <w:right w:val="nil"/>
            </w:tcBorders>
          </w:tcPr>
          <w:p w:rsidR="0075075C" w:rsidRPr="00B52D5F" w:rsidRDefault="0075075C" w:rsidP="00016914">
            <w:pPr>
              <w:pStyle w:val="TableofFigures"/>
              <w:rPr>
                <w:rFonts w:eastAsiaTheme="minorEastAsia"/>
                <w:b/>
                <w:lang w:eastAsia="en-AU"/>
              </w:rPr>
            </w:pPr>
          </w:p>
        </w:tc>
      </w:tr>
      <w:tr w:rsidR="0075075C" w:rsidRPr="00B52D5F" w:rsidTr="00D5237F">
        <w:tc>
          <w:tcPr>
            <w:tcW w:w="7760" w:type="dxa"/>
            <w:gridSpan w:val="6"/>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Liabilities</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Deposits held and advances received</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591.0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426.5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454.2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423.9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529.0</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Payables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5 291.8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5 746.5</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5 303.2</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6 004.3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6 375.8</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Borrowing</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33 889.6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32 953.6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32 846.6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33 018.1</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33 286.1</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Employee benefits</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5 264.6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5 302.7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5 500.0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5 436.0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5 637.4</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Superannuation</w:t>
            </w:r>
            <w:r w:rsidRPr="00B52D5F">
              <w:rPr>
                <w:rFonts w:eastAsiaTheme="minorEastAsia"/>
                <w:vertAlign w:val="superscript"/>
                <w:lang w:eastAsia="en-AU"/>
              </w:rPr>
              <w:t>(c)</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23 903.9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26 252.9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26 181.4</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28 843.6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30 881.1</w:t>
            </w:r>
          </w:p>
        </w:tc>
      </w:tr>
      <w:tr w:rsidR="00B03921" w:rsidRPr="00B52D5F" w:rsidTr="00016914">
        <w:tc>
          <w:tcPr>
            <w:tcW w:w="279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Other provisions</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611.0</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630.6</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599.2</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688.0</w:t>
            </w:r>
          </w:p>
        </w:tc>
        <w:tc>
          <w:tcPr>
            <w:tcW w:w="994" w:type="dxa"/>
            <w:tcBorders>
              <w:top w:val="nil"/>
              <w:left w:val="nil"/>
              <w:bottom w:val="single" w:sz="6" w:space="0" w:color="auto"/>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718.0</w:t>
            </w:r>
          </w:p>
        </w:tc>
      </w:tr>
      <w:tr w:rsidR="00B03921" w:rsidRPr="00B52D5F" w:rsidTr="00016914">
        <w:tc>
          <w:tcPr>
            <w:tcW w:w="2790" w:type="dxa"/>
            <w:tcBorders>
              <w:top w:val="nil"/>
              <w:left w:val="nil"/>
              <w:bottom w:val="nil"/>
              <w:right w:val="nil"/>
            </w:tcBorders>
            <w:shd w:val="solid" w:color="FFFFFF" w:fill="auto"/>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Total liabilities</w:t>
            </w:r>
            <w:r w:rsidRPr="00C84B54">
              <w:rPr>
                <w:rFonts w:eastAsiaTheme="minorEastAsia"/>
                <w:bCs/>
                <w:vertAlign w:val="superscript"/>
                <w:lang w:eastAsia="en-AU"/>
              </w:rPr>
              <w:t>(c)</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69 551.9</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71 312.8</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70 884.6</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74 413.9</w:t>
            </w:r>
          </w:p>
        </w:tc>
        <w:tc>
          <w:tcPr>
            <w:tcW w:w="994" w:type="dxa"/>
            <w:tcBorders>
              <w:top w:val="nil"/>
              <w:left w:val="nil"/>
              <w:bottom w:val="nil"/>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77 427.6</w:t>
            </w:r>
          </w:p>
        </w:tc>
      </w:tr>
      <w:tr w:rsidR="00B03921" w:rsidRPr="00B52D5F" w:rsidTr="00016914">
        <w:tc>
          <w:tcPr>
            <w:tcW w:w="2790" w:type="dxa"/>
            <w:tcBorders>
              <w:top w:val="nil"/>
              <w:left w:val="nil"/>
              <w:bottom w:val="single" w:sz="12"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assets</w:t>
            </w:r>
            <w:r w:rsidRPr="00C84B54">
              <w:rPr>
                <w:rFonts w:eastAsiaTheme="minorEastAsia"/>
                <w:bCs/>
                <w:vertAlign w:val="superscript"/>
                <w:lang w:eastAsia="en-AU"/>
              </w:rPr>
              <w:t>(a)(b)(c)</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124 832.6</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128 432.2</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128 938.0</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126 180.6</w:t>
            </w:r>
          </w:p>
        </w:tc>
        <w:tc>
          <w:tcPr>
            <w:tcW w:w="994" w:type="dxa"/>
            <w:tcBorders>
              <w:top w:val="nil"/>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124 755.9</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Accumulated surplus/(deficit)</w:t>
            </w:r>
            <w:r w:rsidRPr="00B52D5F">
              <w:rPr>
                <w:rFonts w:eastAsiaTheme="minorEastAsia"/>
                <w:vertAlign w:val="superscript"/>
                <w:lang w:eastAsia="en-AU"/>
              </w:rPr>
              <w:t>(b)(c)</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44 793.6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43 531.3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44 401.7</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41 621.0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39 989.0</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Reserves</w:t>
            </w:r>
            <w:r w:rsidRPr="00B52D5F">
              <w:rPr>
                <w:rFonts w:eastAsiaTheme="minorEastAsia"/>
                <w:vertAlign w:val="superscript"/>
                <w:lang w:eastAsia="en-AU"/>
              </w:rPr>
              <w:t>(a)(b)</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79 988.9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84 850.9</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84 486.3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84 509.6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84 716.8</w:t>
            </w:r>
          </w:p>
        </w:tc>
      </w:tr>
      <w:tr w:rsidR="00B03921" w:rsidRPr="00B52D5F" w:rsidTr="00016914">
        <w:tc>
          <w:tcPr>
            <w:tcW w:w="2790" w:type="dxa"/>
            <w:tcBorders>
              <w:top w:val="nil"/>
              <w:left w:val="nil"/>
              <w:bottom w:val="single" w:sz="6" w:space="0" w:color="auto"/>
              <w:right w:val="nil"/>
            </w:tcBorders>
          </w:tcPr>
          <w:p w:rsidR="00B03921" w:rsidRPr="00B52D5F" w:rsidRDefault="00B03921" w:rsidP="00016914">
            <w:pPr>
              <w:pStyle w:val="Tabletext"/>
              <w:rPr>
                <w:rFonts w:eastAsiaTheme="minorEastAsia"/>
                <w:lang w:eastAsia="en-AU"/>
              </w:rPr>
            </w:pPr>
            <w:r w:rsidRPr="00B52D5F">
              <w:rPr>
                <w:rFonts w:eastAsiaTheme="minorEastAsia"/>
                <w:lang w:eastAsia="en-AU"/>
              </w:rPr>
              <w:t>Non-controlling interest</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 xml:space="preserve"> 50.0</w:t>
            </w:r>
          </w:p>
        </w:tc>
      </w:tr>
      <w:tr w:rsidR="00B03921" w:rsidRPr="00B52D5F" w:rsidTr="00016914">
        <w:tc>
          <w:tcPr>
            <w:tcW w:w="2790" w:type="dxa"/>
            <w:tcBorders>
              <w:top w:val="single" w:sz="6" w:space="0" w:color="auto"/>
              <w:left w:val="nil"/>
              <w:bottom w:val="single" w:sz="12" w:space="0" w:color="auto"/>
              <w:right w:val="nil"/>
            </w:tcBorders>
          </w:tcPr>
          <w:p w:rsidR="00B03921" w:rsidRPr="00B52D5F" w:rsidRDefault="00B03921" w:rsidP="00016914">
            <w:pPr>
              <w:pStyle w:val="Tabletext"/>
              <w:rPr>
                <w:rFonts w:eastAsiaTheme="minorEastAsia"/>
                <w:b/>
                <w:bCs/>
                <w:vertAlign w:val="superscript"/>
                <w:lang w:eastAsia="en-AU"/>
              </w:rPr>
            </w:pPr>
            <w:r w:rsidRPr="00B52D5F">
              <w:rPr>
                <w:rFonts w:eastAsiaTheme="minorEastAsia"/>
                <w:b/>
                <w:bCs/>
                <w:lang w:eastAsia="en-AU"/>
              </w:rPr>
              <w:t>Net worth</w:t>
            </w:r>
            <w:r w:rsidRPr="00C84B54">
              <w:rPr>
                <w:rFonts w:eastAsiaTheme="minorEastAsia"/>
                <w:bCs/>
                <w:vertAlign w:val="superscript"/>
                <w:lang w:eastAsia="en-AU"/>
              </w:rPr>
              <w:t>(a)(b)(c)</w:t>
            </w:r>
          </w:p>
        </w:tc>
        <w:tc>
          <w:tcPr>
            <w:tcW w:w="99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124 832.6</w:t>
            </w:r>
          </w:p>
        </w:tc>
        <w:tc>
          <w:tcPr>
            <w:tcW w:w="99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128 432.2</w:t>
            </w:r>
          </w:p>
        </w:tc>
        <w:tc>
          <w:tcPr>
            <w:tcW w:w="99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128 938.0</w:t>
            </w:r>
          </w:p>
        </w:tc>
        <w:tc>
          <w:tcPr>
            <w:tcW w:w="99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126 180.6</w:t>
            </w:r>
          </w:p>
        </w:tc>
        <w:tc>
          <w:tcPr>
            <w:tcW w:w="994" w:type="dxa"/>
            <w:tcBorders>
              <w:top w:val="single" w:sz="6" w:space="0" w:color="auto"/>
              <w:left w:val="nil"/>
              <w:bottom w:val="single" w:sz="12" w:space="0" w:color="auto"/>
              <w:right w:val="nil"/>
            </w:tcBorders>
          </w:tcPr>
          <w:p w:rsidR="00B03921" w:rsidRPr="00B52D5F" w:rsidRDefault="00B03921" w:rsidP="00016914">
            <w:pPr>
              <w:pStyle w:val="TableofFigures"/>
              <w:rPr>
                <w:rFonts w:eastAsiaTheme="minorEastAsia"/>
                <w:b/>
                <w:bCs/>
                <w:lang w:eastAsia="en-AU"/>
              </w:rPr>
            </w:pPr>
            <w:r w:rsidRPr="00B52D5F">
              <w:rPr>
                <w:rFonts w:eastAsiaTheme="minorEastAsia"/>
                <w:b/>
                <w:bCs/>
                <w:lang w:eastAsia="en-AU"/>
              </w:rPr>
              <w:t>124 755.9</w:t>
            </w:r>
          </w:p>
        </w:tc>
      </w:tr>
      <w:tr w:rsidR="0075075C" w:rsidRPr="00B52D5F" w:rsidTr="002F00C6">
        <w:trPr>
          <w:trHeight w:hRule="exact" w:val="120"/>
        </w:trPr>
        <w:tc>
          <w:tcPr>
            <w:tcW w:w="7760" w:type="dxa"/>
            <w:gridSpan w:val="6"/>
            <w:tcBorders>
              <w:top w:val="nil"/>
              <w:left w:val="nil"/>
              <w:bottom w:val="nil"/>
              <w:right w:val="nil"/>
            </w:tcBorders>
          </w:tcPr>
          <w:p w:rsidR="0075075C" w:rsidRPr="00B52D5F" w:rsidRDefault="0075075C" w:rsidP="00016914">
            <w:pPr>
              <w:pStyle w:val="TableofFigures"/>
              <w:rPr>
                <w:rFonts w:eastAsiaTheme="minorEastAsia"/>
                <w:b/>
                <w:lang w:eastAsia="en-AU"/>
              </w:rPr>
            </w:pPr>
          </w:p>
        </w:tc>
      </w:tr>
      <w:tr w:rsidR="0075075C" w:rsidRPr="00B52D5F" w:rsidTr="007B4478">
        <w:tc>
          <w:tcPr>
            <w:tcW w:w="7760" w:type="dxa"/>
            <w:gridSpan w:val="6"/>
            <w:tcBorders>
              <w:top w:val="nil"/>
              <w:left w:val="nil"/>
              <w:bottom w:val="nil"/>
              <w:right w:val="nil"/>
            </w:tcBorders>
          </w:tcPr>
          <w:p w:rsidR="0075075C" w:rsidRPr="00B52D5F" w:rsidRDefault="0075075C" w:rsidP="0075075C">
            <w:pPr>
              <w:pStyle w:val="Tabletext"/>
              <w:rPr>
                <w:rFonts w:eastAsiaTheme="minorEastAsia"/>
                <w:b/>
                <w:lang w:eastAsia="en-AU"/>
              </w:rPr>
            </w:pPr>
            <w:r w:rsidRPr="00B52D5F">
              <w:rPr>
                <w:rFonts w:eastAsiaTheme="minorEastAsia"/>
                <w:b/>
                <w:bCs/>
                <w:lang w:eastAsia="en-AU"/>
              </w:rPr>
              <w:t>FISCAL AGGREGATES</w:t>
            </w:r>
          </w:p>
        </w:tc>
      </w:tr>
      <w:tr w:rsidR="00B03921" w:rsidRPr="00B52D5F" w:rsidTr="00016914">
        <w:tc>
          <w:tcPr>
            <w:tcW w:w="2790" w:type="dxa"/>
            <w:tcBorders>
              <w:top w:val="nil"/>
              <w:left w:val="nil"/>
              <w:bottom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Net financial worth</w:t>
            </w:r>
            <w:r w:rsidRPr="00B52D5F">
              <w:rPr>
                <w:rFonts w:eastAsiaTheme="minorEastAsia"/>
                <w:vertAlign w:val="superscript"/>
                <w:lang w:eastAsia="en-AU"/>
              </w:rPr>
              <w:t>(a)(b)(c)</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20 801.8</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21 746.6</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22 033.0</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18 905.3</w:t>
            </w:r>
          </w:p>
        </w:tc>
        <w:tc>
          <w:tcPr>
            <w:tcW w:w="994" w:type="dxa"/>
            <w:tcBorders>
              <w:top w:val="nil"/>
              <w:left w:val="nil"/>
              <w:bottom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18 284.9</w:t>
            </w:r>
          </w:p>
        </w:tc>
      </w:tr>
      <w:tr w:rsidR="00B03921" w:rsidRPr="00B52D5F" w:rsidTr="00016914">
        <w:tc>
          <w:tcPr>
            <w:tcW w:w="2790" w:type="dxa"/>
            <w:tcBorders>
              <w:top w:val="nil"/>
              <w:left w:val="nil"/>
              <w:right w:val="nil"/>
            </w:tcBorders>
          </w:tcPr>
          <w:p w:rsidR="00B03921" w:rsidRPr="00B52D5F" w:rsidRDefault="00B03921" w:rsidP="00016914">
            <w:pPr>
              <w:pStyle w:val="Tabletext"/>
              <w:rPr>
                <w:rFonts w:eastAsiaTheme="minorEastAsia"/>
                <w:vertAlign w:val="superscript"/>
                <w:lang w:eastAsia="en-AU"/>
              </w:rPr>
            </w:pPr>
            <w:r w:rsidRPr="00B52D5F">
              <w:rPr>
                <w:rFonts w:eastAsiaTheme="minorEastAsia"/>
                <w:lang w:eastAsia="en-AU"/>
              </w:rPr>
              <w:t>Net financial liabilities</w:t>
            </w:r>
            <w:r w:rsidRPr="00B52D5F">
              <w:rPr>
                <w:rFonts w:eastAsiaTheme="minorEastAsia"/>
                <w:vertAlign w:val="superscript"/>
                <w:lang w:eastAsia="en-AU"/>
              </w:rPr>
              <w:t>(a)(b)(c)</w:t>
            </w:r>
          </w:p>
        </w:tc>
        <w:tc>
          <w:tcPr>
            <w:tcW w:w="994"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51 784.9</w:t>
            </w:r>
          </w:p>
        </w:tc>
        <w:tc>
          <w:tcPr>
            <w:tcW w:w="994"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54 122.6</w:t>
            </w:r>
          </w:p>
        </w:tc>
        <w:tc>
          <w:tcPr>
            <w:tcW w:w="994"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53 842.4</w:t>
            </w:r>
          </w:p>
        </w:tc>
        <w:tc>
          <w:tcPr>
            <w:tcW w:w="994"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57 264.2</w:t>
            </w:r>
          </w:p>
        </w:tc>
        <w:tc>
          <w:tcPr>
            <w:tcW w:w="994" w:type="dxa"/>
            <w:tcBorders>
              <w:top w:val="nil"/>
              <w:left w:val="nil"/>
              <w:right w:val="nil"/>
            </w:tcBorders>
          </w:tcPr>
          <w:p w:rsidR="00B03921" w:rsidRPr="00B52D5F" w:rsidRDefault="00B03921" w:rsidP="00016914">
            <w:pPr>
              <w:pStyle w:val="TableofFigures"/>
              <w:rPr>
                <w:rFonts w:eastAsiaTheme="minorEastAsia"/>
                <w:lang w:eastAsia="en-AU"/>
              </w:rPr>
            </w:pPr>
            <w:r w:rsidRPr="00B52D5F">
              <w:rPr>
                <w:rFonts w:eastAsiaTheme="minorEastAsia"/>
                <w:lang w:eastAsia="en-AU"/>
              </w:rPr>
              <w:t>58 072.5</w:t>
            </w:r>
          </w:p>
        </w:tc>
      </w:tr>
      <w:tr w:rsidR="00B03921" w:rsidRPr="00B52D5F" w:rsidTr="00016914">
        <w:tc>
          <w:tcPr>
            <w:tcW w:w="2790" w:type="dxa"/>
            <w:tcBorders>
              <w:top w:val="nil"/>
              <w:left w:val="nil"/>
              <w:bottom w:val="single" w:sz="12" w:space="0" w:color="000000"/>
              <w:right w:val="nil"/>
            </w:tcBorders>
            <w:shd w:val="clear" w:color="auto" w:fill="auto"/>
          </w:tcPr>
          <w:p w:rsidR="00B03921" w:rsidRPr="00B52D5F" w:rsidRDefault="00B03921" w:rsidP="00016914">
            <w:pPr>
              <w:pStyle w:val="Tabletext"/>
              <w:rPr>
                <w:rFonts w:eastAsiaTheme="minorEastAsia"/>
                <w:lang w:eastAsia="en-AU"/>
              </w:rPr>
            </w:pPr>
            <w:r w:rsidRPr="00B52D5F">
              <w:rPr>
                <w:rFonts w:eastAsiaTheme="minorEastAsia"/>
                <w:lang w:eastAsia="en-AU"/>
              </w:rPr>
              <w:t>Net debt</w:t>
            </w:r>
          </w:p>
        </w:tc>
        <w:tc>
          <w:tcPr>
            <w:tcW w:w="994"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22 656.3</w:t>
            </w:r>
          </w:p>
        </w:tc>
        <w:tc>
          <w:tcPr>
            <w:tcW w:w="994"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21 174.6</w:t>
            </w:r>
          </w:p>
        </w:tc>
        <w:tc>
          <w:tcPr>
            <w:tcW w:w="994"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21 471.3</w:t>
            </w:r>
          </w:p>
        </w:tc>
        <w:tc>
          <w:tcPr>
            <w:tcW w:w="994"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21 342.7</w:t>
            </w:r>
          </w:p>
        </w:tc>
        <w:tc>
          <w:tcPr>
            <w:tcW w:w="994" w:type="dxa"/>
            <w:tcBorders>
              <w:top w:val="nil"/>
              <w:left w:val="nil"/>
              <w:bottom w:val="single" w:sz="12" w:space="0" w:color="000000"/>
              <w:right w:val="nil"/>
            </w:tcBorders>
            <w:shd w:val="clear" w:color="auto" w:fill="auto"/>
          </w:tcPr>
          <w:p w:rsidR="00B03921" w:rsidRPr="00B52D5F" w:rsidRDefault="00B03921" w:rsidP="00016914">
            <w:pPr>
              <w:pStyle w:val="TableofFigures"/>
              <w:rPr>
                <w:rFonts w:eastAsiaTheme="minorEastAsia"/>
                <w:lang w:eastAsia="en-AU"/>
              </w:rPr>
            </w:pPr>
            <w:r w:rsidRPr="00B52D5F">
              <w:rPr>
                <w:rFonts w:eastAsiaTheme="minorEastAsia"/>
                <w:lang w:eastAsia="en-AU"/>
              </w:rPr>
              <w:t>21 236.0</w:t>
            </w:r>
          </w:p>
        </w:tc>
      </w:tr>
    </w:tbl>
    <w:p w:rsidR="00B03921" w:rsidRPr="0075075C" w:rsidRDefault="00B03921" w:rsidP="0075075C">
      <w:pPr>
        <w:pStyle w:val="Notes"/>
      </w:pPr>
      <w:r w:rsidRPr="0075075C">
        <w:t xml:space="preserve">Notes: </w:t>
      </w:r>
    </w:p>
    <w:p w:rsidR="00B03921" w:rsidRPr="0075075C" w:rsidRDefault="00B03921" w:rsidP="0075075C">
      <w:pPr>
        <w:pStyle w:val="Notes"/>
        <w:rPr>
          <w:rStyle w:val="TableheadingChar"/>
          <w:b w:val="0"/>
          <w:sz w:val="15"/>
        </w:rPr>
      </w:pPr>
      <w:r w:rsidRPr="0075075C">
        <w:rPr>
          <w:rStyle w:val="TableheadingChar"/>
          <w:b w:val="0"/>
          <w:sz w:val="15"/>
        </w:rPr>
        <w:t>(a)</w:t>
      </w:r>
      <w:r w:rsidRPr="0075075C">
        <w:rPr>
          <w:rStyle w:val="TableheadingChar"/>
          <w:b w:val="0"/>
          <w:sz w:val="15"/>
        </w:rPr>
        <w:tab/>
        <w:t>The comparative figures have been restated to more accurately reflect the balances.</w:t>
      </w:r>
    </w:p>
    <w:p w:rsidR="00B03921" w:rsidRPr="0075075C" w:rsidRDefault="00B03921" w:rsidP="0075075C">
      <w:pPr>
        <w:pStyle w:val="Notes"/>
        <w:rPr>
          <w:rStyle w:val="TableheadingChar"/>
          <w:b w:val="0"/>
          <w:sz w:val="15"/>
        </w:rPr>
      </w:pPr>
      <w:r w:rsidRPr="0075075C">
        <w:rPr>
          <w:rStyle w:val="TableheadingChar"/>
          <w:b w:val="0"/>
          <w:sz w:val="15"/>
        </w:rPr>
        <w:t>(b)</w:t>
      </w:r>
      <w:r w:rsidRPr="0075075C">
        <w:rPr>
          <w:rStyle w:val="TableheadingChar"/>
          <w:b w:val="0"/>
          <w:sz w:val="15"/>
        </w:rPr>
        <w:tab/>
        <w:t>The comparative figures have been restated to reflect a change in accounting policy associated with the valuation of school building assets.</w:t>
      </w:r>
    </w:p>
    <w:p w:rsidR="00B03921" w:rsidRPr="0075075C" w:rsidRDefault="00B03921" w:rsidP="0075075C">
      <w:pPr>
        <w:pStyle w:val="Notes"/>
        <w:rPr>
          <w:rStyle w:val="TableheadingChar"/>
          <w:b w:val="0"/>
          <w:sz w:val="15"/>
        </w:rPr>
      </w:pPr>
      <w:r w:rsidRPr="0075075C">
        <w:rPr>
          <w:rStyle w:val="TableheadingChar"/>
          <w:b w:val="0"/>
          <w:sz w:val="15"/>
        </w:rPr>
        <w:t>(c)</w:t>
      </w:r>
      <w:r w:rsidRPr="0075075C">
        <w:rPr>
          <w:rStyle w:val="TableheadingChar"/>
          <w:b w:val="0"/>
          <w:sz w:val="15"/>
        </w:rPr>
        <w:tab/>
        <w:t>The comparative figures have been restated to reflect a change in accounting policy associated with the calculation of the tax liability component of the unfunded superannuation liability.</w:t>
      </w:r>
    </w:p>
    <w:p w:rsidR="00B03921" w:rsidRPr="00F10B6E" w:rsidRDefault="00B03921" w:rsidP="00016914">
      <w:pPr>
        <w:pStyle w:val="Tableheading"/>
      </w:pPr>
      <w:r w:rsidRPr="00F10B6E">
        <w:t>Table B.7:</w:t>
      </w:r>
      <w:r w:rsidRPr="00F10B6E">
        <w:tab/>
        <w:t>Statement of cash flows for the past five quarters</w:t>
      </w:r>
    </w:p>
    <w:p w:rsidR="00B03921" w:rsidRPr="0003757B" w:rsidRDefault="00B03921" w:rsidP="00016914">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gridCol w:w="46"/>
      </w:tblGrid>
      <w:tr w:rsidR="0075075C" w:rsidRPr="0003757B" w:rsidTr="00644708">
        <w:trPr>
          <w:gridAfter w:val="1"/>
          <w:wAfter w:w="46" w:type="dxa"/>
          <w:trHeight w:val="479"/>
          <w:tblHeader/>
        </w:trPr>
        <w:tc>
          <w:tcPr>
            <w:tcW w:w="2790" w:type="dxa"/>
            <w:tcBorders>
              <w:top w:val="single" w:sz="6" w:space="0" w:color="auto"/>
              <w:left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tc>
        <w:tc>
          <w:tcPr>
            <w:tcW w:w="994" w:type="dxa"/>
            <w:tcBorders>
              <w:top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Mar</w:t>
            </w:r>
          </w:p>
        </w:tc>
        <w:tc>
          <w:tcPr>
            <w:tcW w:w="994" w:type="dxa"/>
            <w:tcBorders>
              <w:top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2013-14</w:t>
            </w:r>
          </w:p>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Jun</w:t>
            </w:r>
          </w:p>
        </w:tc>
        <w:tc>
          <w:tcPr>
            <w:tcW w:w="994" w:type="dxa"/>
            <w:tcBorders>
              <w:top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75075C" w:rsidRPr="0003757B" w:rsidRDefault="0075075C" w:rsidP="0075075C">
            <w:pPr>
              <w:pStyle w:val="Tabletextheading"/>
              <w:rPr>
                <w:rFonts w:eastAsiaTheme="minorEastAsia"/>
                <w:color w:val="FFFFFF"/>
                <w:sz w:val="19"/>
                <w:lang w:eastAsia="en-AU"/>
              </w:rPr>
            </w:pPr>
            <w:r w:rsidRPr="0003757B">
              <w:rPr>
                <w:rFonts w:eastAsiaTheme="minorEastAsia"/>
                <w:color w:val="FFFFFF"/>
                <w:sz w:val="19"/>
                <w:lang w:eastAsia="en-AU"/>
              </w:rPr>
              <w:t>Sep</w:t>
            </w:r>
          </w:p>
        </w:tc>
        <w:tc>
          <w:tcPr>
            <w:tcW w:w="994" w:type="dxa"/>
            <w:tcBorders>
              <w:top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2014-15</w:t>
            </w:r>
          </w:p>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Dec</w:t>
            </w:r>
          </w:p>
        </w:tc>
        <w:tc>
          <w:tcPr>
            <w:tcW w:w="994" w:type="dxa"/>
            <w:tcBorders>
              <w:top w:val="single" w:sz="6" w:space="0" w:color="auto"/>
              <w:right w:val="single" w:sz="6" w:space="0" w:color="auto"/>
            </w:tcBorders>
            <w:shd w:val="clear" w:color="000000" w:fill="000000"/>
          </w:tcPr>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75075C" w:rsidRPr="0003757B" w:rsidRDefault="0075075C" w:rsidP="00016914">
            <w:pPr>
              <w:pStyle w:val="Tabletextheading"/>
              <w:rPr>
                <w:rFonts w:eastAsiaTheme="minorEastAsia"/>
                <w:color w:val="FFFFFF"/>
                <w:sz w:val="19"/>
                <w:lang w:eastAsia="en-AU"/>
              </w:rPr>
            </w:pPr>
            <w:r w:rsidRPr="0003757B">
              <w:rPr>
                <w:rFonts w:eastAsiaTheme="minorEastAsia"/>
                <w:color w:val="FFFFFF"/>
                <w:sz w:val="19"/>
                <w:lang w:eastAsia="en-AU"/>
              </w:rPr>
              <w:t>Mar</w:t>
            </w:r>
          </w:p>
        </w:tc>
      </w:tr>
      <w:tr w:rsidR="0075075C" w:rsidRPr="0003757B" w:rsidTr="00F21B6C">
        <w:tc>
          <w:tcPr>
            <w:tcW w:w="7806" w:type="dxa"/>
            <w:gridSpan w:val="7"/>
            <w:tcBorders>
              <w:top w:val="single" w:sz="6" w:space="0" w:color="auto"/>
              <w:left w:val="nil"/>
              <w:bottom w:val="nil"/>
              <w:right w:val="nil"/>
            </w:tcBorders>
          </w:tcPr>
          <w:p w:rsidR="0075075C" w:rsidRPr="0003757B" w:rsidRDefault="0075075C" w:rsidP="0075075C">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Cash flows from operating activities</w:t>
            </w:r>
          </w:p>
        </w:tc>
      </w:tr>
      <w:tr w:rsidR="0075075C" w:rsidRPr="0003757B" w:rsidTr="00FB5254">
        <w:trPr>
          <w:gridAfter w:val="1"/>
          <w:wAfter w:w="46" w:type="dxa"/>
        </w:trPr>
        <w:tc>
          <w:tcPr>
            <w:tcW w:w="7760" w:type="dxa"/>
            <w:gridSpan w:val="6"/>
            <w:tcBorders>
              <w:top w:val="nil"/>
              <w:left w:val="nil"/>
              <w:bottom w:val="nil"/>
              <w:right w:val="nil"/>
            </w:tcBorders>
          </w:tcPr>
          <w:p w:rsidR="0075075C" w:rsidRPr="0003757B" w:rsidRDefault="0075075C" w:rsidP="0075075C">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Receipts</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Taxes received</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4 032.7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4 414.2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4 585.6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4 780.5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4 276.6</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Grants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6 303.4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7 557.0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5 664.0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6 055.9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6 697.6</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vertAlign w:val="superscript"/>
                <w:lang w:eastAsia="en-AU"/>
              </w:rPr>
            </w:pPr>
            <w:r w:rsidRPr="0003757B">
              <w:rPr>
                <w:rFonts w:ascii="Calibri" w:eastAsiaTheme="minorEastAsia" w:hAnsi="Calibri" w:cs="Calibri"/>
                <w:sz w:val="19"/>
                <w:lang w:eastAsia="en-AU"/>
              </w:rPr>
              <w:t>Sales of goods and services</w:t>
            </w:r>
            <w:r w:rsidRPr="0003757B">
              <w:rPr>
                <w:rFonts w:ascii="Calibri" w:eastAsiaTheme="minorEastAsia" w:hAnsi="Calibri" w:cs="Calibri"/>
                <w:sz w:val="19"/>
                <w:vertAlign w:val="superscript"/>
                <w:lang w:eastAsia="en-AU"/>
              </w:rPr>
              <w:t>(a)</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1 802.0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1 628.4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1 804.8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2 102.4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1 503.0</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Interest received</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177.2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218.8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194.4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190.6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192.7</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Dividends and income tax equivalent and rate equivalent receipts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111.3</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93.6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57.1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619.1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70.7</w:t>
            </w:r>
          </w:p>
        </w:tc>
      </w:tr>
      <w:tr w:rsidR="00B03921" w:rsidRPr="0003757B" w:rsidTr="00016914">
        <w:trPr>
          <w:gridAfter w:val="1"/>
          <w:wAfter w:w="46" w:type="dxa"/>
        </w:trPr>
        <w:tc>
          <w:tcPr>
            <w:tcW w:w="2790" w:type="dxa"/>
            <w:tcBorders>
              <w:top w:val="nil"/>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Other receipts</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472.1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767.5</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411.6</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590.5</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163.5</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Total receipts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12 898.6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14 679.4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12 717.6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14 339.0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12 904.1</w:t>
            </w:r>
          </w:p>
        </w:tc>
      </w:tr>
      <w:tr w:rsidR="0075075C" w:rsidRPr="0003757B" w:rsidTr="001E71BE">
        <w:trPr>
          <w:gridAfter w:val="1"/>
          <w:wAfter w:w="46" w:type="dxa"/>
        </w:trPr>
        <w:tc>
          <w:tcPr>
            <w:tcW w:w="7760" w:type="dxa"/>
            <w:gridSpan w:val="6"/>
            <w:tcBorders>
              <w:top w:val="nil"/>
              <w:left w:val="nil"/>
              <w:bottom w:val="nil"/>
              <w:right w:val="nil"/>
            </w:tcBorders>
          </w:tcPr>
          <w:p w:rsidR="0075075C" w:rsidRPr="0003757B" w:rsidRDefault="0075075C" w:rsidP="0075075C">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Payments</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Payments for employees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(4 283.0)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(4 718.9)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(4 312.8)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(4 917.4)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(4 481.6)</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Superannuation</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(639.1)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(660.2)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(692.2)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(727.9)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(666.6)</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Interest paid</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(523.7)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(537.0)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(510.0)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(510.3)</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(513.0)</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Grants and subsidies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(2 428.9)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(1 159.8)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(2 180.4)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(2 135.6)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(2 633.8)</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vertAlign w:val="superscript"/>
                <w:lang w:eastAsia="en-AU"/>
              </w:rPr>
            </w:pPr>
            <w:r w:rsidRPr="0003757B">
              <w:rPr>
                <w:rFonts w:ascii="Calibri" w:eastAsiaTheme="minorEastAsia" w:hAnsi="Calibri" w:cs="Calibri"/>
                <w:sz w:val="19"/>
                <w:lang w:eastAsia="en-AU"/>
              </w:rPr>
              <w:t>Goods and services</w:t>
            </w:r>
            <w:r w:rsidRPr="0003757B">
              <w:rPr>
                <w:rFonts w:ascii="Calibri" w:eastAsiaTheme="minorEastAsia" w:hAnsi="Calibri" w:cs="Calibri"/>
                <w:sz w:val="19"/>
                <w:vertAlign w:val="superscript"/>
                <w:lang w:eastAsia="en-AU"/>
              </w:rPr>
              <w:t>(a)</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(4 162.6)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(3 896.3)</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(4 514.6)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(4 420.1)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(3 527.4)</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Other payments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(147.7)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(738.6)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(175.6)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(163.2)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(137.6)</w:t>
            </w:r>
          </w:p>
        </w:tc>
      </w:tr>
      <w:tr w:rsidR="00B03921" w:rsidRPr="0003757B" w:rsidTr="00016914">
        <w:trPr>
          <w:gridAfter w:val="1"/>
          <w:wAfter w:w="46" w:type="dxa"/>
        </w:trPr>
        <w:tc>
          <w:tcPr>
            <w:tcW w:w="2790"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Total payments</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(12 184.9)</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(11 710.9)</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(12 385.6)</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(12 874.5)</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(11 960.0)</w:t>
            </w:r>
          </w:p>
        </w:tc>
      </w:tr>
      <w:tr w:rsidR="00B03921" w:rsidRPr="0003757B" w:rsidTr="00016914">
        <w:trPr>
          <w:gridAfter w:val="1"/>
          <w:wAfter w:w="46" w:type="dxa"/>
        </w:trPr>
        <w:tc>
          <w:tcPr>
            <w:tcW w:w="2790" w:type="dxa"/>
            <w:tcBorders>
              <w:top w:val="single" w:sz="6" w:space="0" w:color="auto"/>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Net cash flows from operating activities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713.7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2 968.5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332.0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1 464.5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944.2</w:t>
            </w:r>
          </w:p>
        </w:tc>
      </w:tr>
      <w:tr w:rsidR="0075075C" w:rsidRPr="0003757B" w:rsidTr="00AC4257">
        <w:tc>
          <w:tcPr>
            <w:tcW w:w="7806" w:type="dxa"/>
            <w:gridSpan w:val="7"/>
            <w:tcBorders>
              <w:top w:val="nil"/>
              <w:left w:val="nil"/>
              <w:bottom w:val="nil"/>
              <w:right w:val="nil"/>
            </w:tcBorders>
          </w:tcPr>
          <w:p w:rsidR="0075075C" w:rsidRPr="0003757B" w:rsidRDefault="0075075C" w:rsidP="0075075C">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Cash flows from investing activities</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Purchases of non-financial assets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(779.4)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(1 275.4)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(887.0)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(1 230.9)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(869.0)</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Sales of non-financial assets</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63.8</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118.8</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36.1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86.1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62.9</w:t>
            </w:r>
          </w:p>
        </w:tc>
      </w:tr>
      <w:tr w:rsidR="00B03921" w:rsidRPr="0003757B" w:rsidTr="00016914">
        <w:trPr>
          <w:gridAfter w:val="1"/>
          <w:wAfter w:w="46" w:type="dxa"/>
        </w:trPr>
        <w:tc>
          <w:tcPr>
            <w:tcW w:w="2790" w:type="dxa"/>
            <w:tcBorders>
              <w:top w:val="single" w:sz="6" w:space="0" w:color="auto"/>
              <w:left w:val="nil"/>
              <w:bottom w:val="nil"/>
              <w:right w:val="nil"/>
            </w:tcBorders>
            <w:shd w:val="solid" w:color="FFFFFF" w:fill="auto"/>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Cash flows from investments in non-financial assets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(715.6)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(1 156.6)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(850.9)</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(1 144.8)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(806.1)</w:t>
            </w:r>
          </w:p>
        </w:tc>
      </w:tr>
      <w:tr w:rsidR="00B03921" w:rsidRPr="0003757B" w:rsidTr="00016914">
        <w:trPr>
          <w:gridAfter w:val="1"/>
          <w:wAfter w:w="46" w:type="dxa"/>
        </w:trPr>
        <w:tc>
          <w:tcPr>
            <w:tcW w:w="2790" w:type="dxa"/>
            <w:tcBorders>
              <w:top w:val="nil"/>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Net cash flows from investments in financial assets for policy purposes</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(310.4)</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(257.8)</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208.1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(163.9)</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(57.6)</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Sub-total</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(1 026.0)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(1 414.4)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(642.8)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(1 308.7)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(863.7)</w:t>
            </w:r>
          </w:p>
        </w:tc>
      </w:tr>
      <w:tr w:rsidR="00B03921" w:rsidRPr="0003757B" w:rsidTr="00016914">
        <w:trPr>
          <w:gridAfter w:val="1"/>
          <w:wAfter w:w="46" w:type="dxa"/>
        </w:trPr>
        <w:tc>
          <w:tcPr>
            <w:tcW w:w="2790" w:type="dxa"/>
            <w:tcBorders>
              <w:top w:val="nil"/>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Net cash flows from investments in financial assets for liquidity management purposes</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(340.3)</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983.6</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(14.1)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(302.1)</w:t>
            </w:r>
          </w:p>
        </w:tc>
        <w:tc>
          <w:tcPr>
            <w:tcW w:w="994" w:type="dxa"/>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(14.9)</w:t>
            </w:r>
          </w:p>
        </w:tc>
      </w:tr>
      <w:tr w:rsidR="00B03921" w:rsidRPr="0003757B" w:rsidTr="00016914">
        <w:trPr>
          <w:gridAfter w:val="1"/>
          <w:wAfter w:w="46" w:type="dxa"/>
        </w:trPr>
        <w:tc>
          <w:tcPr>
            <w:tcW w:w="2790" w:type="dxa"/>
            <w:tcBorders>
              <w:top w:val="single" w:sz="6" w:space="0" w:color="auto"/>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Net cash flows from investing activities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(1 366.4)</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(430.8)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(657.0)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(1 610.8)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(878.6)</w:t>
            </w:r>
          </w:p>
        </w:tc>
      </w:tr>
      <w:tr w:rsidR="0075075C" w:rsidRPr="0003757B" w:rsidTr="00347D18">
        <w:tc>
          <w:tcPr>
            <w:tcW w:w="7806" w:type="dxa"/>
            <w:gridSpan w:val="7"/>
            <w:tcBorders>
              <w:top w:val="nil"/>
              <w:left w:val="nil"/>
              <w:bottom w:val="nil"/>
              <w:right w:val="nil"/>
            </w:tcBorders>
          </w:tcPr>
          <w:p w:rsidR="0075075C" w:rsidRPr="0003757B" w:rsidRDefault="0075075C" w:rsidP="0075075C">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Cash flows from financing activities</w:t>
            </w:r>
          </w:p>
        </w:tc>
      </w:tr>
      <w:tr w:rsidR="00B03921" w:rsidRPr="0003757B" w:rsidTr="00016914">
        <w:trPr>
          <w:gridAfter w:val="1"/>
          <w:wAfter w:w="46" w:type="dxa"/>
        </w:trPr>
        <w:tc>
          <w:tcPr>
            <w:tcW w:w="2790" w:type="dxa"/>
            <w:tcBorders>
              <w:top w:val="nil"/>
              <w:left w:val="nil"/>
              <w:bottom w:val="nil"/>
              <w:right w:val="nil"/>
            </w:tcBorders>
            <w:shd w:val="solid" w:color="FFFFFF" w:fill="auto"/>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 xml:space="preserve">Advances received (net) </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0.8</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0.4</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Net borrowings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199.5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(937.2)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(108.2)</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170.6</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267.0</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 xml:space="preserve">Deposits received (net) </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85.1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(164.5)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27.7</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(31.1)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104.7</w:t>
            </w:r>
          </w:p>
        </w:tc>
      </w:tr>
      <w:tr w:rsidR="00B03921" w:rsidRPr="0003757B" w:rsidTr="00016914">
        <w:trPr>
          <w:gridAfter w:val="1"/>
          <w:wAfter w:w="46" w:type="dxa"/>
        </w:trPr>
        <w:tc>
          <w:tcPr>
            <w:tcW w:w="2790" w:type="dxa"/>
            <w:tcBorders>
              <w:top w:val="nil"/>
              <w:left w:val="nil"/>
              <w:bottom w:val="nil"/>
              <w:right w:val="nil"/>
            </w:tcBorders>
            <w:shd w:val="solid" w:color="FFFFFF" w:fill="auto"/>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Other financing (net)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w:t>
            </w:r>
          </w:p>
        </w:tc>
      </w:tr>
      <w:tr w:rsidR="00B03921" w:rsidRPr="0003757B" w:rsidTr="00016914">
        <w:trPr>
          <w:gridAfter w:val="1"/>
          <w:wAfter w:w="46" w:type="dxa"/>
        </w:trPr>
        <w:tc>
          <w:tcPr>
            <w:tcW w:w="2790"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Net cash flows from financing activities</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284.7</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(1 101.6)</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(80.5)</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140.3</w:t>
            </w:r>
          </w:p>
        </w:tc>
        <w:tc>
          <w:tcPr>
            <w:tcW w:w="994" w:type="dxa"/>
            <w:tcBorders>
              <w:top w:val="single" w:sz="6" w:space="0" w:color="auto"/>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372.1</w:t>
            </w:r>
          </w:p>
        </w:tc>
      </w:tr>
      <w:tr w:rsidR="00B03921" w:rsidRPr="0003757B" w:rsidTr="00016914">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Net increase/(decrease) in cash and cash equivalents</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(368.0)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1 436.1</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(405.5)</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(6.0)</w:t>
            </w:r>
          </w:p>
        </w:tc>
        <w:tc>
          <w:tcPr>
            <w:tcW w:w="994" w:type="dxa"/>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437.7</w:t>
            </w:r>
          </w:p>
        </w:tc>
      </w:tr>
    </w:tbl>
    <w:p w:rsidR="006833E8" w:rsidRDefault="006833E8"/>
    <w:p w:rsidR="006833E8" w:rsidRPr="00F10B6E" w:rsidRDefault="006833E8" w:rsidP="006833E8">
      <w:pPr>
        <w:pStyle w:val="Tableheading"/>
      </w:pPr>
      <w:r w:rsidRPr="00F10B6E">
        <w:t>Table B.7:</w:t>
      </w:r>
      <w:r w:rsidRPr="00F10B6E">
        <w:tab/>
        <w:t>Statement of cash flows for the past five quarters</w:t>
      </w:r>
      <w:r>
        <w:t xml:space="preserve"> </w:t>
      </w:r>
      <w:r w:rsidRPr="006833E8">
        <w:rPr>
          <w:i/>
        </w:rPr>
        <w:t>(continued)</w:t>
      </w:r>
    </w:p>
    <w:p w:rsidR="006833E8" w:rsidRPr="0003757B" w:rsidRDefault="006833E8" w:rsidP="006833E8">
      <w:pPr>
        <w:pStyle w:val="million"/>
        <w:rPr>
          <w:rFonts w:ascii="Times New Roman" w:hAnsi="Times New Roman"/>
          <w:i w:val="0"/>
          <w:sz w:val="20"/>
          <w:szCs w:val="20"/>
          <w:lang w:eastAsia="en-AU"/>
        </w:rPr>
      </w:pPr>
      <w:r>
        <w:t>($ million)</w:t>
      </w:r>
    </w:p>
    <w:tbl>
      <w:tblPr>
        <w:tblW w:w="7806" w:type="dxa"/>
        <w:tblInd w:w="28" w:type="dxa"/>
        <w:tblLayout w:type="fixed"/>
        <w:tblCellMar>
          <w:left w:w="45" w:type="dxa"/>
          <w:right w:w="45" w:type="dxa"/>
        </w:tblCellMar>
        <w:tblLook w:val="0000" w:firstRow="0" w:lastRow="0" w:firstColumn="0" w:lastColumn="0" w:noHBand="0" w:noVBand="0"/>
      </w:tblPr>
      <w:tblGrid>
        <w:gridCol w:w="2790"/>
        <w:gridCol w:w="16"/>
        <w:gridCol w:w="978"/>
        <w:gridCol w:w="22"/>
        <w:gridCol w:w="972"/>
        <w:gridCol w:w="28"/>
        <w:gridCol w:w="966"/>
        <w:gridCol w:w="34"/>
        <w:gridCol w:w="960"/>
        <w:gridCol w:w="40"/>
        <w:gridCol w:w="954"/>
        <w:gridCol w:w="46"/>
      </w:tblGrid>
      <w:tr w:rsidR="006833E8" w:rsidRPr="0003757B" w:rsidTr="006833E8">
        <w:trPr>
          <w:trHeight w:val="479"/>
          <w:tblHeader/>
        </w:trPr>
        <w:tc>
          <w:tcPr>
            <w:tcW w:w="2806" w:type="dxa"/>
            <w:gridSpan w:val="2"/>
            <w:tcBorders>
              <w:top w:val="single" w:sz="6" w:space="0" w:color="auto"/>
              <w:left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tc>
        <w:tc>
          <w:tcPr>
            <w:tcW w:w="1000" w:type="dxa"/>
            <w:gridSpan w:val="2"/>
            <w:tcBorders>
              <w:top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Mar</w:t>
            </w:r>
          </w:p>
        </w:tc>
        <w:tc>
          <w:tcPr>
            <w:tcW w:w="1000" w:type="dxa"/>
            <w:gridSpan w:val="2"/>
            <w:tcBorders>
              <w:top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2013-14</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Jun</w:t>
            </w:r>
          </w:p>
        </w:tc>
        <w:tc>
          <w:tcPr>
            <w:tcW w:w="1000" w:type="dxa"/>
            <w:gridSpan w:val="2"/>
            <w:tcBorders>
              <w:top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Sep</w:t>
            </w:r>
          </w:p>
        </w:tc>
        <w:tc>
          <w:tcPr>
            <w:tcW w:w="1000" w:type="dxa"/>
            <w:gridSpan w:val="2"/>
            <w:tcBorders>
              <w:top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2014-15</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Dec</w:t>
            </w:r>
          </w:p>
        </w:tc>
        <w:tc>
          <w:tcPr>
            <w:tcW w:w="1000" w:type="dxa"/>
            <w:gridSpan w:val="2"/>
            <w:tcBorders>
              <w:top w:val="single" w:sz="6" w:space="0" w:color="auto"/>
              <w:right w:val="single" w:sz="6" w:space="0" w:color="auto"/>
            </w:tcBorders>
            <w:shd w:val="clear" w:color="000000" w:fill="000000"/>
          </w:tcPr>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 xml:space="preserve"> </w:t>
            </w:r>
          </w:p>
          <w:p w:rsidR="006833E8" w:rsidRPr="0003757B" w:rsidRDefault="006833E8" w:rsidP="00ED63AC">
            <w:pPr>
              <w:pStyle w:val="Tabletextheading"/>
              <w:rPr>
                <w:rFonts w:eastAsiaTheme="minorEastAsia"/>
                <w:color w:val="FFFFFF"/>
                <w:sz w:val="19"/>
                <w:lang w:eastAsia="en-AU"/>
              </w:rPr>
            </w:pPr>
            <w:r w:rsidRPr="0003757B">
              <w:rPr>
                <w:rFonts w:eastAsiaTheme="minorEastAsia"/>
                <w:color w:val="FFFFFF"/>
                <w:sz w:val="19"/>
                <w:lang w:eastAsia="en-AU"/>
              </w:rPr>
              <w:t>Mar</w:t>
            </w:r>
          </w:p>
        </w:tc>
      </w:tr>
      <w:tr w:rsidR="00B03921" w:rsidRPr="0003757B" w:rsidTr="006833E8">
        <w:trPr>
          <w:gridAfter w:val="1"/>
          <w:wAfter w:w="46" w:type="dxa"/>
        </w:trPr>
        <w:tc>
          <w:tcPr>
            <w:tcW w:w="2790" w:type="dxa"/>
            <w:tcBorders>
              <w:top w:val="nil"/>
              <w:left w:val="nil"/>
              <w:bottom w:val="nil"/>
              <w:right w:val="nil"/>
            </w:tcBorders>
          </w:tcPr>
          <w:p w:rsidR="00B03921" w:rsidRPr="0003757B" w:rsidRDefault="00B03921" w:rsidP="006833E8">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Cash and cash equivalents at beginning of reporting period</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3 432.7</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3 064.7</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4 500.9</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4 095.4</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4 089.5</w:t>
            </w:r>
          </w:p>
        </w:tc>
      </w:tr>
      <w:tr w:rsidR="00B03921" w:rsidRPr="0003757B" w:rsidTr="006833E8">
        <w:trPr>
          <w:gridAfter w:val="1"/>
          <w:wAfter w:w="46" w:type="dxa"/>
        </w:trPr>
        <w:tc>
          <w:tcPr>
            <w:tcW w:w="2790" w:type="dxa"/>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Cash and cash equivalents at end of reporting period</w:t>
            </w:r>
          </w:p>
        </w:tc>
        <w:tc>
          <w:tcPr>
            <w:tcW w:w="994" w:type="dxa"/>
            <w:gridSpan w:val="2"/>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3 064.7</w:t>
            </w:r>
          </w:p>
        </w:tc>
        <w:tc>
          <w:tcPr>
            <w:tcW w:w="994" w:type="dxa"/>
            <w:gridSpan w:val="2"/>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4 500.9</w:t>
            </w:r>
          </w:p>
        </w:tc>
        <w:tc>
          <w:tcPr>
            <w:tcW w:w="994" w:type="dxa"/>
            <w:gridSpan w:val="2"/>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4 095.4</w:t>
            </w:r>
          </w:p>
        </w:tc>
        <w:tc>
          <w:tcPr>
            <w:tcW w:w="994" w:type="dxa"/>
            <w:gridSpan w:val="2"/>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4 089.5</w:t>
            </w:r>
          </w:p>
        </w:tc>
        <w:tc>
          <w:tcPr>
            <w:tcW w:w="994" w:type="dxa"/>
            <w:gridSpan w:val="2"/>
            <w:tcBorders>
              <w:top w:val="single" w:sz="6" w:space="0" w:color="auto"/>
              <w:left w:val="nil"/>
              <w:bottom w:val="single" w:sz="12"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4 527.2</w:t>
            </w:r>
          </w:p>
        </w:tc>
      </w:tr>
      <w:tr w:rsidR="00202D66" w:rsidRPr="0003757B" w:rsidTr="006833E8">
        <w:trPr>
          <w:gridAfter w:val="1"/>
          <w:wAfter w:w="46" w:type="dxa"/>
          <w:trHeight w:hRule="exact" w:val="120"/>
        </w:trPr>
        <w:tc>
          <w:tcPr>
            <w:tcW w:w="7760" w:type="dxa"/>
            <w:gridSpan w:val="11"/>
            <w:tcBorders>
              <w:top w:val="nil"/>
              <w:left w:val="nil"/>
              <w:bottom w:val="nil"/>
              <w:right w:val="nil"/>
            </w:tcBorders>
          </w:tcPr>
          <w:p w:rsidR="00202D66" w:rsidRPr="0003757B" w:rsidRDefault="00202D66" w:rsidP="00016914">
            <w:pPr>
              <w:autoSpaceDE w:val="0"/>
              <w:autoSpaceDN w:val="0"/>
              <w:adjustRightInd w:val="0"/>
              <w:spacing w:after="0"/>
              <w:rPr>
                <w:rFonts w:ascii="Calibri" w:eastAsiaTheme="minorEastAsia" w:hAnsi="Calibri" w:cs="Calibri"/>
                <w:b/>
                <w:sz w:val="19"/>
                <w:lang w:eastAsia="en-AU"/>
              </w:rPr>
            </w:pPr>
          </w:p>
        </w:tc>
      </w:tr>
      <w:tr w:rsidR="00202D66" w:rsidRPr="0003757B" w:rsidTr="006833E8">
        <w:trPr>
          <w:gridAfter w:val="1"/>
          <w:wAfter w:w="46" w:type="dxa"/>
        </w:trPr>
        <w:tc>
          <w:tcPr>
            <w:tcW w:w="7760" w:type="dxa"/>
            <w:gridSpan w:val="11"/>
            <w:tcBorders>
              <w:top w:val="nil"/>
              <w:left w:val="nil"/>
              <w:bottom w:val="nil"/>
              <w:right w:val="nil"/>
            </w:tcBorders>
          </w:tcPr>
          <w:p w:rsidR="00202D66" w:rsidRPr="0003757B" w:rsidRDefault="00202D66" w:rsidP="00202D66">
            <w:pPr>
              <w:autoSpaceDE w:val="0"/>
              <w:autoSpaceDN w:val="0"/>
              <w:adjustRightInd w:val="0"/>
              <w:spacing w:after="0"/>
              <w:rPr>
                <w:rFonts w:ascii="Calibri" w:eastAsiaTheme="minorEastAsia" w:hAnsi="Calibri" w:cs="Calibri"/>
                <w:b/>
                <w:sz w:val="19"/>
                <w:lang w:eastAsia="en-AU"/>
              </w:rPr>
            </w:pPr>
            <w:r w:rsidRPr="0003757B">
              <w:rPr>
                <w:rFonts w:ascii="Calibri" w:eastAsiaTheme="minorEastAsia" w:hAnsi="Calibri" w:cs="Calibri"/>
                <w:b/>
                <w:bCs/>
                <w:sz w:val="19"/>
                <w:lang w:eastAsia="en-AU"/>
              </w:rPr>
              <w:t>FISCAL AGGREGATES</w:t>
            </w:r>
          </w:p>
        </w:tc>
      </w:tr>
      <w:tr w:rsidR="00B03921" w:rsidRPr="0003757B" w:rsidTr="006833E8">
        <w:trPr>
          <w:gridAfter w:val="1"/>
          <w:wAfter w:w="46" w:type="dxa"/>
        </w:trPr>
        <w:tc>
          <w:tcPr>
            <w:tcW w:w="2790" w:type="dxa"/>
            <w:tcBorders>
              <w:top w:val="nil"/>
              <w:left w:val="nil"/>
              <w:bottom w:val="nil"/>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Net cash flows from operating activities</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713.7</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2 968.5</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332.0</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1 464.5</w:t>
            </w:r>
          </w:p>
        </w:tc>
        <w:tc>
          <w:tcPr>
            <w:tcW w:w="994" w:type="dxa"/>
            <w:gridSpan w:val="2"/>
            <w:tcBorders>
              <w:top w:val="nil"/>
              <w:left w:val="nil"/>
              <w:bottom w:val="nil"/>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 xml:space="preserve"> 944.2</w:t>
            </w:r>
          </w:p>
        </w:tc>
      </w:tr>
      <w:tr w:rsidR="00B03921" w:rsidRPr="0003757B" w:rsidTr="006833E8">
        <w:trPr>
          <w:gridAfter w:val="1"/>
          <w:wAfter w:w="46" w:type="dxa"/>
        </w:trPr>
        <w:tc>
          <w:tcPr>
            <w:tcW w:w="2790" w:type="dxa"/>
            <w:tcBorders>
              <w:top w:val="nil"/>
              <w:left w:val="nil"/>
              <w:bottom w:val="single" w:sz="6" w:space="0" w:color="auto"/>
              <w:right w:val="nil"/>
            </w:tcBorders>
          </w:tcPr>
          <w:p w:rsidR="00B03921" w:rsidRPr="0003757B" w:rsidRDefault="00B03921" w:rsidP="00016914">
            <w:pPr>
              <w:autoSpaceDE w:val="0"/>
              <w:autoSpaceDN w:val="0"/>
              <w:adjustRightInd w:val="0"/>
              <w:spacing w:after="0"/>
              <w:rPr>
                <w:rFonts w:ascii="Calibri" w:eastAsiaTheme="minorEastAsia" w:hAnsi="Calibri" w:cs="Calibri"/>
                <w:sz w:val="19"/>
                <w:lang w:eastAsia="en-AU"/>
              </w:rPr>
            </w:pPr>
            <w:r w:rsidRPr="0003757B">
              <w:rPr>
                <w:rFonts w:ascii="Calibri" w:eastAsiaTheme="minorEastAsia" w:hAnsi="Calibri" w:cs="Calibri"/>
                <w:sz w:val="19"/>
                <w:lang w:eastAsia="en-AU"/>
              </w:rPr>
              <w:t>Net cash flows from investments in non-financial assets</w:t>
            </w:r>
          </w:p>
        </w:tc>
        <w:tc>
          <w:tcPr>
            <w:tcW w:w="994" w:type="dxa"/>
            <w:gridSpan w:val="2"/>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(715.6)</w:t>
            </w:r>
          </w:p>
        </w:tc>
        <w:tc>
          <w:tcPr>
            <w:tcW w:w="994" w:type="dxa"/>
            <w:gridSpan w:val="2"/>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(1 156.6)</w:t>
            </w:r>
          </w:p>
        </w:tc>
        <w:tc>
          <w:tcPr>
            <w:tcW w:w="994" w:type="dxa"/>
            <w:gridSpan w:val="2"/>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(850.9)</w:t>
            </w:r>
          </w:p>
        </w:tc>
        <w:tc>
          <w:tcPr>
            <w:tcW w:w="994" w:type="dxa"/>
            <w:gridSpan w:val="2"/>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sz w:val="19"/>
                <w:lang w:eastAsia="en-AU"/>
              </w:rPr>
            </w:pPr>
            <w:r w:rsidRPr="0003757B">
              <w:rPr>
                <w:rFonts w:ascii="Calibri" w:eastAsiaTheme="minorEastAsia" w:hAnsi="Calibri" w:cs="Calibri"/>
                <w:sz w:val="19"/>
                <w:lang w:eastAsia="en-AU"/>
              </w:rPr>
              <w:t>(1 144.8)</w:t>
            </w:r>
          </w:p>
        </w:tc>
        <w:tc>
          <w:tcPr>
            <w:tcW w:w="994" w:type="dxa"/>
            <w:gridSpan w:val="2"/>
            <w:tcBorders>
              <w:top w:val="nil"/>
              <w:left w:val="nil"/>
              <w:bottom w:val="single" w:sz="6" w:space="0" w:color="auto"/>
              <w:right w:val="nil"/>
            </w:tcBorders>
          </w:tcPr>
          <w:p w:rsidR="00B03921" w:rsidRPr="0003757B" w:rsidRDefault="00B03921" w:rsidP="00016914">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9"/>
                <w:lang w:eastAsia="en-AU"/>
              </w:rPr>
              <w:t>(806.1)</w:t>
            </w:r>
          </w:p>
        </w:tc>
      </w:tr>
      <w:tr w:rsidR="00B03921" w:rsidRPr="0003757B" w:rsidTr="006833E8">
        <w:trPr>
          <w:gridAfter w:val="1"/>
          <w:wAfter w:w="46" w:type="dxa"/>
        </w:trPr>
        <w:tc>
          <w:tcPr>
            <w:tcW w:w="2790" w:type="dxa"/>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rPr>
                <w:rFonts w:ascii="Calibri" w:eastAsiaTheme="minorEastAsia" w:hAnsi="Calibri" w:cs="Calibri"/>
                <w:b/>
                <w:bCs/>
                <w:sz w:val="19"/>
                <w:lang w:eastAsia="en-AU"/>
              </w:rPr>
            </w:pPr>
            <w:r w:rsidRPr="0003757B">
              <w:rPr>
                <w:rFonts w:ascii="Calibri" w:eastAsiaTheme="minorEastAsia" w:hAnsi="Calibri" w:cs="Calibri"/>
                <w:b/>
                <w:bCs/>
                <w:sz w:val="19"/>
                <w:lang w:eastAsia="en-AU"/>
              </w:rPr>
              <w:t>Cash surplus/(deficit)</w:t>
            </w:r>
          </w:p>
        </w:tc>
        <w:tc>
          <w:tcPr>
            <w:tcW w:w="994" w:type="dxa"/>
            <w:gridSpan w:val="2"/>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(1.9)</w:t>
            </w:r>
          </w:p>
        </w:tc>
        <w:tc>
          <w:tcPr>
            <w:tcW w:w="994" w:type="dxa"/>
            <w:gridSpan w:val="2"/>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1 811.9</w:t>
            </w:r>
          </w:p>
        </w:tc>
        <w:tc>
          <w:tcPr>
            <w:tcW w:w="994" w:type="dxa"/>
            <w:gridSpan w:val="2"/>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9"/>
                <w:lang w:eastAsia="en-AU"/>
              </w:rPr>
              <w:t>(518.9)</w:t>
            </w:r>
          </w:p>
        </w:tc>
        <w:tc>
          <w:tcPr>
            <w:tcW w:w="994" w:type="dxa"/>
            <w:gridSpan w:val="2"/>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319.7</w:t>
            </w:r>
          </w:p>
        </w:tc>
        <w:tc>
          <w:tcPr>
            <w:tcW w:w="994" w:type="dxa"/>
            <w:gridSpan w:val="2"/>
            <w:tcBorders>
              <w:top w:val="single" w:sz="6" w:space="0" w:color="auto"/>
              <w:left w:val="nil"/>
              <w:bottom w:val="single" w:sz="12" w:space="0" w:color="000000"/>
              <w:right w:val="nil"/>
            </w:tcBorders>
            <w:shd w:val="clear" w:color="auto" w:fill="auto"/>
          </w:tcPr>
          <w:p w:rsidR="00B03921" w:rsidRPr="0003757B" w:rsidRDefault="00B03921" w:rsidP="00016914">
            <w:pPr>
              <w:autoSpaceDE w:val="0"/>
              <w:autoSpaceDN w:val="0"/>
              <w:adjustRightInd w:val="0"/>
              <w:spacing w:after="0"/>
              <w:jc w:val="right"/>
              <w:rPr>
                <w:rFonts w:ascii="Calibri" w:eastAsiaTheme="minorEastAsia" w:hAnsi="Calibri" w:cs="Calibri"/>
                <w:b/>
                <w:bCs/>
                <w:sz w:val="19"/>
                <w:lang w:eastAsia="en-AU"/>
              </w:rPr>
            </w:pPr>
            <w:r w:rsidRPr="0003757B">
              <w:rPr>
                <w:rFonts w:ascii="Calibri" w:eastAsiaTheme="minorEastAsia" w:hAnsi="Calibri" w:cs="Calibri"/>
                <w:b/>
                <w:bCs/>
                <w:sz w:val="19"/>
                <w:lang w:eastAsia="en-AU"/>
              </w:rPr>
              <w:t xml:space="preserve"> 138.1</w:t>
            </w:r>
          </w:p>
        </w:tc>
      </w:tr>
    </w:tbl>
    <w:p w:rsidR="00B03921" w:rsidRDefault="00B03921" w:rsidP="00016914">
      <w:pPr>
        <w:pStyle w:val="Notes"/>
      </w:pPr>
      <w:r>
        <w:t>Note:</w:t>
      </w:r>
    </w:p>
    <w:p w:rsidR="00B03921" w:rsidRPr="00F10B6E" w:rsidRDefault="00B03921" w:rsidP="00016914">
      <w:pPr>
        <w:pStyle w:val="Notes"/>
      </w:pPr>
      <w:r>
        <w:t>(a)</w:t>
      </w:r>
      <w:r>
        <w:tab/>
        <w:t>Inclusive of goods and services tax.</w:t>
      </w:r>
    </w:p>
    <w:p w:rsidR="00E20B42" w:rsidRDefault="00E20B42">
      <w:pPr>
        <w:spacing w:after="0"/>
      </w:pPr>
      <w:r>
        <w:br w:type="page"/>
      </w:r>
    </w:p>
    <w:p w:rsidR="00B03921" w:rsidRDefault="00B03921" w:rsidP="00D22EC9"/>
    <w:p w:rsidR="00B03921" w:rsidRDefault="00B03921" w:rsidP="00D22EC9"/>
    <w:p w:rsidR="00B03921" w:rsidRDefault="00B03921" w:rsidP="00D22EC9">
      <w:pPr>
        <w:sectPr w:rsidR="00B03921" w:rsidSect="00D22EC9">
          <w:footerReference w:type="even" r:id="rId90"/>
          <w:footerReference w:type="default" r:id="rId91"/>
          <w:type w:val="continuous"/>
          <w:pgSz w:w="9979" w:h="14175" w:code="34"/>
          <w:pgMar w:top="1140" w:right="1140" w:bottom="1140" w:left="1140" w:header="720" w:footer="431" w:gutter="0"/>
          <w:cols w:space="708"/>
          <w:docGrid w:linePitch="360"/>
        </w:sectPr>
      </w:pPr>
    </w:p>
    <w:p w:rsidR="00B03921" w:rsidRDefault="00B03921" w:rsidP="00016914">
      <w:pPr>
        <w:pStyle w:val="ChapterHeading"/>
      </w:pPr>
      <w:bookmarkStart w:id="301" w:name="_Toc418274786"/>
      <w:r>
        <w:t>Appendix C</w:t>
      </w:r>
      <w:r w:rsidRPr="0051682B">
        <w:t xml:space="preserve"> – </w:t>
      </w:r>
      <w:r>
        <w:t xml:space="preserve">Compliance index – Requirements of the </w:t>
      </w:r>
      <w:r w:rsidRPr="00A96683">
        <w:rPr>
          <w:i/>
        </w:rPr>
        <w:t>Financial Management Act 1994</w:t>
      </w:r>
      <w:bookmarkEnd w:id="301"/>
    </w:p>
    <w:p w:rsidR="00B03921" w:rsidRDefault="00B03921" w:rsidP="00016914">
      <w:r w:rsidRPr="00F71338">
        <w:t xml:space="preserve">The provisions of the </w:t>
      </w:r>
      <w:r w:rsidRPr="000738E7">
        <w:rPr>
          <w:i/>
        </w:rPr>
        <w:t>Financial Management Act 1994</w:t>
      </w:r>
      <w:r w:rsidRPr="00F71338">
        <w:t xml:space="preserve"> have been complied with in these budget papers. Table C1 details these requirements together with appropriate references in the document.</w:t>
      </w:r>
    </w:p>
    <w:p w:rsidR="00B03921" w:rsidRPr="00F71338" w:rsidRDefault="00B03921" w:rsidP="00016914">
      <w:pPr>
        <w:pStyle w:val="Tableheading"/>
      </w:pPr>
      <w:r w:rsidRPr="00F71338">
        <w:t>Table C1:</w:t>
      </w:r>
      <w:r w:rsidRPr="00F71338">
        <w:tab/>
        <w:t xml:space="preserve">Statements required by the </w:t>
      </w:r>
      <w:r w:rsidRPr="00F71338">
        <w:rPr>
          <w:i/>
        </w:rPr>
        <w:t>Financial Management Act 1994</w:t>
      </w:r>
      <w:r w:rsidRPr="00F71338">
        <w:t xml:space="preserve"> and their location in the </w:t>
      </w:r>
      <w:r>
        <w:rPr>
          <w:i/>
        </w:rPr>
        <w:t>2015</w:t>
      </w:r>
      <w:r w:rsidRPr="00F71338">
        <w:rPr>
          <w:i/>
        </w:rPr>
        <w:noBreakHyphen/>
        <w:t>1</w:t>
      </w:r>
      <w:r>
        <w:rPr>
          <w:i/>
        </w:rPr>
        <w:t>6</w:t>
      </w:r>
      <w:r w:rsidRPr="00F71338">
        <w:rPr>
          <w:i/>
        </w:rPr>
        <w:t> Budget</w:t>
      </w:r>
    </w:p>
    <w:tbl>
      <w:tblPr>
        <w:tblW w:w="7768" w:type="dxa"/>
        <w:tblInd w:w="29" w:type="dxa"/>
        <w:tblCellMar>
          <w:left w:w="43" w:type="dxa"/>
          <w:right w:w="43" w:type="dxa"/>
        </w:tblCellMar>
        <w:tblLook w:val="01E0" w:firstRow="1" w:lastRow="1" w:firstColumn="1" w:lastColumn="1" w:noHBand="0" w:noVBand="0"/>
      </w:tblPr>
      <w:tblGrid>
        <w:gridCol w:w="4414"/>
        <w:gridCol w:w="106"/>
        <w:gridCol w:w="3248"/>
      </w:tblGrid>
      <w:tr w:rsidR="00B03921" w:rsidRPr="00F71338" w:rsidTr="00016914">
        <w:trPr>
          <w:cantSplit/>
          <w:tblHeader/>
        </w:trPr>
        <w:tc>
          <w:tcPr>
            <w:tcW w:w="4414" w:type="dxa"/>
            <w:tcBorders>
              <w:top w:val="single" w:sz="4" w:space="0" w:color="auto"/>
              <w:left w:val="single" w:sz="4" w:space="0" w:color="auto"/>
              <w:bottom w:val="single" w:sz="4" w:space="0" w:color="auto"/>
              <w:right w:val="single" w:sz="4" w:space="0" w:color="auto"/>
            </w:tcBorders>
            <w:shd w:val="clear" w:color="auto" w:fill="000000"/>
          </w:tcPr>
          <w:p w:rsidR="00B03921" w:rsidRPr="00F71338" w:rsidRDefault="00B03921" w:rsidP="00016914">
            <w:pPr>
              <w:pStyle w:val="TabletextheadingLeft0"/>
              <w:rPr>
                <w:sz w:val="19"/>
              </w:rPr>
            </w:pPr>
            <w:r w:rsidRPr="00F71338">
              <w:rPr>
                <w:sz w:val="19"/>
              </w:rPr>
              <w:t>Relevant section of the Act and</w:t>
            </w:r>
            <w:r w:rsidRPr="00F71338">
              <w:rPr>
                <w:sz w:val="19"/>
              </w:rPr>
              <w:br/>
              <w:t xml:space="preserve"> corresponding requirement</w:t>
            </w:r>
          </w:p>
        </w:tc>
        <w:tc>
          <w:tcPr>
            <w:tcW w:w="106" w:type="dxa"/>
            <w:tcBorders>
              <w:top w:val="single" w:sz="4" w:space="0" w:color="auto"/>
              <w:left w:val="single" w:sz="4" w:space="0" w:color="auto"/>
              <w:bottom w:val="single" w:sz="4" w:space="0" w:color="auto"/>
              <w:right w:val="single" w:sz="4" w:space="0" w:color="auto"/>
            </w:tcBorders>
            <w:shd w:val="clear" w:color="auto" w:fill="000000"/>
          </w:tcPr>
          <w:p w:rsidR="00B03921" w:rsidRPr="00F71338" w:rsidRDefault="00B03921" w:rsidP="00016914">
            <w:pPr>
              <w:pStyle w:val="TabletextheadingLeft0"/>
              <w:rPr>
                <w:sz w:val="19"/>
              </w:rPr>
            </w:pPr>
          </w:p>
        </w:tc>
        <w:tc>
          <w:tcPr>
            <w:tcW w:w="3248" w:type="dxa"/>
            <w:tcBorders>
              <w:top w:val="single" w:sz="4" w:space="0" w:color="auto"/>
              <w:left w:val="single" w:sz="4" w:space="0" w:color="auto"/>
              <w:bottom w:val="single" w:sz="4" w:space="0" w:color="auto"/>
              <w:right w:val="single" w:sz="4" w:space="0" w:color="auto"/>
            </w:tcBorders>
            <w:shd w:val="clear" w:color="auto" w:fill="000000"/>
            <w:vAlign w:val="bottom"/>
          </w:tcPr>
          <w:p w:rsidR="00B03921" w:rsidRPr="00F71338" w:rsidRDefault="00B03921" w:rsidP="00016914">
            <w:pPr>
              <w:pStyle w:val="TabletextheadingLeft0"/>
              <w:rPr>
                <w:sz w:val="19"/>
              </w:rPr>
            </w:pPr>
            <w:r w:rsidRPr="00F71338">
              <w:rPr>
                <w:sz w:val="19"/>
              </w:rPr>
              <w:t>Location</w:t>
            </w:r>
          </w:p>
        </w:tc>
      </w:tr>
      <w:tr w:rsidR="00B03921" w:rsidRPr="00F71338" w:rsidTr="00016914">
        <w:trPr>
          <w:cantSplit/>
        </w:trPr>
        <w:tc>
          <w:tcPr>
            <w:tcW w:w="4414" w:type="dxa"/>
            <w:tcBorders>
              <w:top w:val="single" w:sz="4" w:space="0" w:color="auto"/>
            </w:tcBorders>
            <w:shd w:val="clear" w:color="auto" w:fill="auto"/>
          </w:tcPr>
          <w:p w:rsidR="00B03921" w:rsidRPr="0082587A" w:rsidRDefault="00B03921" w:rsidP="00016914">
            <w:pPr>
              <w:pStyle w:val="Tabletext"/>
              <w:ind w:left="0" w:firstLine="0"/>
              <w:rPr>
                <w:sz w:val="19"/>
              </w:rPr>
            </w:pPr>
            <w:r w:rsidRPr="0082587A">
              <w:rPr>
                <w:sz w:val="19"/>
              </w:rPr>
              <w:t>Sections 23E</w:t>
            </w:r>
            <w:r w:rsidRPr="0082587A">
              <w:rPr>
                <w:sz w:val="19"/>
              </w:rPr>
              <w:noBreakHyphen/>
              <w:t xml:space="preserve">G of the </w:t>
            </w:r>
            <w:r w:rsidRPr="0082587A">
              <w:rPr>
                <w:i/>
                <w:sz w:val="19"/>
              </w:rPr>
              <w:t>Financial Management Act 1994</w:t>
            </w:r>
          </w:p>
        </w:tc>
        <w:tc>
          <w:tcPr>
            <w:tcW w:w="106" w:type="dxa"/>
            <w:tcBorders>
              <w:top w:val="single" w:sz="4" w:space="0" w:color="auto"/>
            </w:tcBorders>
            <w:shd w:val="clear" w:color="auto" w:fill="auto"/>
          </w:tcPr>
          <w:p w:rsidR="00B03921" w:rsidRPr="00F71338" w:rsidRDefault="00B03921" w:rsidP="00016914">
            <w:pPr>
              <w:pStyle w:val="Tabletext"/>
              <w:rPr>
                <w:sz w:val="19"/>
              </w:rPr>
            </w:pPr>
          </w:p>
        </w:tc>
        <w:tc>
          <w:tcPr>
            <w:tcW w:w="3248" w:type="dxa"/>
            <w:tcBorders>
              <w:top w:val="single" w:sz="4" w:space="0" w:color="auto"/>
            </w:tcBorders>
            <w:shd w:val="clear" w:color="auto" w:fill="auto"/>
          </w:tcPr>
          <w:p w:rsidR="00B03921" w:rsidRPr="004D5382" w:rsidRDefault="00B03921" w:rsidP="00016914">
            <w:pPr>
              <w:pStyle w:val="Tabletext"/>
              <w:rPr>
                <w:sz w:val="19"/>
              </w:rPr>
            </w:pPr>
          </w:p>
        </w:tc>
      </w:tr>
      <w:tr w:rsidR="00B03921" w:rsidRPr="00F71338" w:rsidTr="00016914">
        <w:trPr>
          <w:cantSplit/>
        </w:trPr>
        <w:tc>
          <w:tcPr>
            <w:tcW w:w="4414" w:type="dxa"/>
            <w:tcBorders>
              <w:bottom w:val="single" w:sz="6" w:space="0" w:color="C0C0C0"/>
            </w:tcBorders>
            <w:shd w:val="clear" w:color="auto" w:fill="auto"/>
          </w:tcPr>
          <w:p w:rsidR="00B03921" w:rsidRPr="0082587A" w:rsidRDefault="00B03921" w:rsidP="00016914">
            <w:pPr>
              <w:pStyle w:val="Tabletext"/>
              <w:ind w:left="0" w:firstLine="0"/>
              <w:rPr>
                <w:sz w:val="19"/>
              </w:rPr>
            </w:pPr>
            <w:r w:rsidRPr="0082587A">
              <w:rPr>
                <w:sz w:val="19"/>
              </w:rPr>
              <w:t>Statement of financial policy objectives and strategies for the year.</w:t>
            </w:r>
          </w:p>
        </w:tc>
        <w:tc>
          <w:tcPr>
            <w:tcW w:w="106" w:type="dxa"/>
            <w:tcBorders>
              <w:bottom w:val="single" w:sz="6" w:space="0" w:color="C0C0C0"/>
            </w:tcBorders>
            <w:shd w:val="clear" w:color="auto" w:fill="auto"/>
          </w:tcPr>
          <w:p w:rsidR="00B03921" w:rsidRPr="00F71338" w:rsidRDefault="00B03921" w:rsidP="00016914">
            <w:pPr>
              <w:pStyle w:val="Tabletext"/>
              <w:ind w:left="0" w:firstLine="0"/>
              <w:rPr>
                <w:sz w:val="19"/>
              </w:rPr>
            </w:pPr>
          </w:p>
        </w:tc>
        <w:tc>
          <w:tcPr>
            <w:tcW w:w="3248" w:type="dxa"/>
            <w:tcBorders>
              <w:bottom w:val="single" w:sz="6" w:space="0" w:color="C0C0C0"/>
            </w:tcBorders>
            <w:shd w:val="clear" w:color="auto" w:fill="auto"/>
          </w:tcPr>
          <w:p w:rsidR="00B03921" w:rsidRPr="004D5382" w:rsidRDefault="00B03921" w:rsidP="00016914">
            <w:pPr>
              <w:pStyle w:val="Tabletext"/>
              <w:ind w:left="0" w:firstLine="0"/>
              <w:rPr>
                <w:sz w:val="19"/>
              </w:rPr>
            </w:pPr>
            <w:r w:rsidRPr="004D5382">
              <w:rPr>
                <w:sz w:val="19"/>
              </w:rPr>
              <w:t xml:space="preserve">Budget Paper No. 2, Chapter 1 </w:t>
            </w:r>
            <w:r w:rsidRPr="004D5382">
              <w:rPr>
                <w:i/>
                <w:sz w:val="19"/>
              </w:rPr>
              <w:t>Economic and fiscal overview</w:t>
            </w:r>
          </w:p>
          <w:p w:rsidR="00B03921" w:rsidRPr="004D5382" w:rsidRDefault="00B03921" w:rsidP="00016914">
            <w:pPr>
              <w:pStyle w:val="Tabletext"/>
              <w:spacing w:after="120"/>
              <w:ind w:left="0" w:firstLine="0"/>
              <w:rPr>
                <w:i/>
                <w:sz w:val="19"/>
              </w:rPr>
            </w:pPr>
            <w:r w:rsidRPr="004D5382">
              <w:rPr>
                <w:sz w:val="19"/>
              </w:rPr>
              <w:t xml:space="preserve">Budget Paper No. 5, Chapter 1 </w:t>
            </w:r>
            <w:r w:rsidRPr="004D5382">
              <w:rPr>
                <w:i/>
                <w:sz w:val="19"/>
              </w:rPr>
              <w:t xml:space="preserve">Estimated Financial Statements for the general government sector </w:t>
            </w:r>
            <w:r w:rsidRPr="004D5382">
              <w:rPr>
                <w:sz w:val="19"/>
              </w:rPr>
              <w:t>and notes</w:t>
            </w:r>
          </w:p>
        </w:tc>
      </w:tr>
      <w:tr w:rsidR="00B03921" w:rsidRPr="00F71338" w:rsidTr="00016914">
        <w:trPr>
          <w:cantSplit/>
        </w:trPr>
        <w:tc>
          <w:tcPr>
            <w:tcW w:w="4414" w:type="dxa"/>
            <w:tcBorders>
              <w:top w:val="single" w:sz="6" w:space="0" w:color="C0C0C0"/>
            </w:tcBorders>
            <w:shd w:val="clear" w:color="auto" w:fill="auto"/>
          </w:tcPr>
          <w:p w:rsidR="00B03921" w:rsidRPr="0082587A" w:rsidRDefault="00B03921" w:rsidP="00016914">
            <w:pPr>
              <w:pStyle w:val="Tabletext"/>
              <w:ind w:left="0" w:firstLine="0"/>
              <w:rPr>
                <w:i/>
                <w:sz w:val="19"/>
              </w:rPr>
            </w:pPr>
            <w:r w:rsidRPr="0082587A">
              <w:rPr>
                <w:sz w:val="19"/>
              </w:rPr>
              <w:t>Sections 23H</w:t>
            </w:r>
            <w:r w:rsidRPr="0082587A">
              <w:rPr>
                <w:sz w:val="19"/>
              </w:rPr>
              <w:noBreakHyphen/>
              <w:t xml:space="preserve">J of the </w:t>
            </w:r>
            <w:r w:rsidRPr="0082587A">
              <w:rPr>
                <w:i/>
                <w:sz w:val="19"/>
              </w:rPr>
              <w:t>Financial Management Act 1994</w:t>
            </w:r>
          </w:p>
        </w:tc>
        <w:tc>
          <w:tcPr>
            <w:tcW w:w="106" w:type="dxa"/>
            <w:tcBorders>
              <w:top w:val="single" w:sz="6" w:space="0" w:color="C0C0C0"/>
            </w:tcBorders>
            <w:shd w:val="clear" w:color="auto" w:fill="auto"/>
          </w:tcPr>
          <w:p w:rsidR="00B03921" w:rsidRPr="00F71338" w:rsidRDefault="00B03921" w:rsidP="00016914">
            <w:pPr>
              <w:pStyle w:val="Tabletext"/>
              <w:rPr>
                <w:sz w:val="19"/>
              </w:rPr>
            </w:pPr>
          </w:p>
        </w:tc>
        <w:tc>
          <w:tcPr>
            <w:tcW w:w="3248" w:type="dxa"/>
            <w:tcBorders>
              <w:top w:val="single" w:sz="6" w:space="0" w:color="C0C0C0"/>
            </w:tcBorders>
            <w:shd w:val="clear" w:color="auto" w:fill="auto"/>
          </w:tcPr>
          <w:p w:rsidR="00B03921" w:rsidRPr="004D5382" w:rsidRDefault="00B03921" w:rsidP="00016914">
            <w:pPr>
              <w:pStyle w:val="Tabletext"/>
              <w:rPr>
                <w:sz w:val="19"/>
              </w:rPr>
            </w:pPr>
          </w:p>
        </w:tc>
      </w:tr>
      <w:tr w:rsidR="00B03921" w:rsidRPr="00F71338" w:rsidTr="00016914">
        <w:trPr>
          <w:cantSplit/>
          <w:trHeight w:val="1595"/>
        </w:trPr>
        <w:tc>
          <w:tcPr>
            <w:tcW w:w="4414" w:type="dxa"/>
            <w:tcBorders>
              <w:bottom w:val="single" w:sz="4" w:space="0" w:color="C0C0C0"/>
            </w:tcBorders>
            <w:shd w:val="clear" w:color="auto" w:fill="auto"/>
          </w:tcPr>
          <w:p w:rsidR="00B03921" w:rsidRPr="0082587A" w:rsidRDefault="00B03921" w:rsidP="00016914">
            <w:pPr>
              <w:pStyle w:val="Tabletext"/>
              <w:ind w:left="0" w:firstLine="0"/>
              <w:rPr>
                <w:sz w:val="19"/>
              </w:rPr>
            </w:pPr>
            <w:r w:rsidRPr="0082587A">
              <w:rPr>
                <w:sz w:val="19"/>
              </w:rPr>
              <w:t>Estimated financial statements for the year comprising:</w:t>
            </w:r>
          </w:p>
          <w:p w:rsidR="00B03921" w:rsidRPr="0082587A" w:rsidRDefault="00B03921" w:rsidP="00016914">
            <w:pPr>
              <w:pStyle w:val="Tabletext"/>
              <w:ind w:left="178" w:hanging="178"/>
              <w:rPr>
                <w:sz w:val="19"/>
              </w:rPr>
            </w:pPr>
            <w:r w:rsidRPr="0082587A">
              <w:rPr>
                <w:sz w:val="19"/>
              </w:rPr>
              <w:t>–</w:t>
            </w:r>
            <w:r w:rsidRPr="0082587A">
              <w:rPr>
                <w:sz w:val="19"/>
              </w:rPr>
              <w:tab/>
              <w:t>an estimated statement of financial performance</w:t>
            </w:r>
            <w:r>
              <w:rPr>
                <w:sz w:val="19"/>
              </w:rPr>
              <w:t>;</w:t>
            </w:r>
          </w:p>
          <w:p w:rsidR="00B03921" w:rsidRPr="0082587A" w:rsidRDefault="00B03921" w:rsidP="00016914">
            <w:pPr>
              <w:pStyle w:val="Tabletext"/>
              <w:ind w:left="178" w:hanging="178"/>
              <w:rPr>
                <w:sz w:val="19"/>
              </w:rPr>
            </w:pPr>
            <w:r w:rsidRPr="0082587A">
              <w:rPr>
                <w:sz w:val="19"/>
              </w:rPr>
              <w:t>–</w:t>
            </w:r>
            <w:r w:rsidRPr="0082587A">
              <w:rPr>
                <w:sz w:val="19"/>
              </w:rPr>
              <w:tab/>
              <w:t>an estimated statement of financial position at the end of the year</w:t>
            </w:r>
            <w:r>
              <w:rPr>
                <w:sz w:val="19"/>
              </w:rPr>
              <w:t>;</w:t>
            </w:r>
          </w:p>
          <w:p w:rsidR="00B03921" w:rsidRPr="0082587A" w:rsidRDefault="00B03921" w:rsidP="00016914">
            <w:pPr>
              <w:pStyle w:val="Tabletext"/>
              <w:ind w:left="178" w:hanging="178"/>
              <w:rPr>
                <w:sz w:val="19"/>
              </w:rPr>
            </w:pPr>
            <w:r w:rsidRPr="0082587A">
              <w:rPr>
                <w:sz w:val="19"/>
              </w:rPr>
              <w:t>–</w:t>
            </w:r>
            <w:r w:rsidRPr="0082587A">
              <w:rPr>
                <w:sz w:val="19"/>
              </w:rPr>
              <w:tab/>
              <w:t>an estimated statement of cash flows for the year</w:t>
            </w:r>
            <w:r>
              <w:rPr>
                <w:sz w:val="19"/>
              </w:rPr>
              <w:t>; and</w:t>
            </w:r>
          </w:p>
          <w:p w:rsidR="00B03921" w:rsidRPr="0082587A" w:rsidRDefault="00B03921" w:rsidP="00016914">
            <w:pPr>
              <w:pStyle w:val="Tabletext"/>
              <w:spacing w:after="120"/>
              <w:ind w:left="176" w:hanging="176"/>
              <w:rPr>
                <w:sz w:val="19"/>
              </w:rPr>
            </w:pPr>
            <w:r w:rsidRPr="0082587A">
              <w:rPr>
                <w:sz w:val="19"/>
              </w:rPr>
              <w:t>–</w:t>
            </w:r>
            <w:r w:rsidRPr="0082587A">
              <w:rPr>
                <w:sz w:val="19"/>
              </w:rPr>
              <w:tab/>
              <w:t>a statement of the accounting policies on which these statements are based and explanatory notes.</w:t>
            </w:r>
          </w:p>
        </w:tc>
        <w:tc>
          <w:tcPr>
            <w:tcW w:w="106" w:type="dxa"/>
            <w:tcBorders>
              <w:bottom w:val="single" w:sz="4" w:space="0" w:color="C0C0C0"/>
            </w:tcBorders>
            <w:shd w:val="clear" w:color="auto" w:fill="auto"/>
          </w:tcPr>
          <w:p w:rsidR="00B03921" w:rsidRPr="001F5572" w:rsidRDefault="00B03921" w:rsidP="00016914">
            <w:pPr>
              <w:pStyle w:val="Tabletext"/>
              <w:ind w:left="0" w:firstLine="0"/>
              <w:rPr>
                <w:sz w:val="19"/>
              </w:rPr>
            </w:pPr>
          </w:p>
        </w:tc>
        <w:tc>
          <w:tcPr>
            <w:tcW w:w="3248" w:type="dxa"/>
            <w:tcBorders>
              <w:bottom w:val="single" w:sz="4" w:space="0" w:color="C0C0C0"/>
            </w:tcBorders>
            <w:shd w:val="clear" w:color="auto" w:fill="auto"/>
          </w:tcPr>
          <w:p w:rsidR="00B03921" w:rsidRPr="004D5382" w:rsidRDefault="00B03921" w:rsidP="00016914">
            <w:pPr>
              <w:pStyle w:val="Tabletext"/>
              <w:ind w:left="0" w:firstLine="0"/>
              <w:rPr>
                <w:sz w:val="19"/>
              </w:rPr>
            </w:pPr>
            <w:r w:rsidRPr="004D5382">
              <w:rPr>
                <w:sz w:val="19"/>
              </w:rPr>
              <w:t xml:space="preserve">Budget Paper No. 5, Chapter 1 </w:t>
            </w:r>
            <w:r w:rsidRPr="004D5382">
              <w:rPr>
                <w:i/>
                <w:sz w:val="19"/>
              </w:rPr>
              <w:t xml:space="preserve">Estimated Financial Statements for the general government sector </w:t>
            </w:r>
            <w:r w:rsidRPr="004D5382">
              <w:rPr>
                <w:sz w:val="19"/>
              </w:rPr>
              <w:t>and notes</w:t>
            </w:r>
          </w:p>
        </w:tc>
      </w:tr>
      <w:tr w:rsidR="00B03921" w:rsidRPr="00F71338" w:rsidTr="00016914">
        <w:trPr>
          <w:cantSplit/>
        </w:trPr>
        <w:tc>
          <w:tcPr>
            <w:tcW w:w="4414" w:type="dxa"/>
            <w:tcBorders>
              <w:top w:val="single" w:sz="4" w:space="0" w:color="C0C0C0"/>
            </w:tcBorders>
            <w:shd w:val="clear" w:color="auto" w:fill="auto"/>
          </w:tcPr>
          <w:p w:rsidR="00B03921" w:rsidRPr="0082587A" w:rsidRDefault="00B03921" w:rsidP="00016914">
            <w:pPr>
              <w:pStyle w:val="Tabletext"/>
              <w:ind w:left="0" w:firstLine="0"/>
              <w:rPr>
                <w:sz w:val="19"/>
              </w:rPr>
            </w:pPr>
            <w:r w:rsidRPr="0082587A">
              <w:rPr>
                <w:sz w:val="19"/>
              </w:rPr>
              <w:t xml:space="preserve">Section 23K of the </w:t>
            </w:r>
            <w:r w:rsidRPr="0082587A">
              <w:rPr>
                <w:i/>
                <w:sz w:val="19"/>
              </w:rPr>
              <w:t>Financial Management Act 1994</w:t>
            </w:r>
          </w:p>
          <w:p w:rsidR="00B03921" w:rsidRPr="0082587A" w:rsidRDefault="00B03921" w:rsidP="00016914">
            <w:pPr>
              <w:pStyle w:val="Tabletext"/>
              <w:pageBreakBefore/>
              <w:ind w:left="0" w:firstLine="0"/>
              <w:rPr>
                <w:sz w:val="19"/>
              </w:rPr>
            </w:pPr>
            <w:r w:rsidRPr="0082587A">
              <w:rPr>
                <w:sz w:val="19"/>
              </w:rPr>
              <w:t>Accompanying statements in association with each set of estimated financial statements comprising:</w:t>
            </w:r>
          </w:p>
        </w:tc>
        <w:tc>
          <w:tcPr>
            <w:tcW w:w="106" w:type="dxa"/>
            <w:tcBorders>
              <w:top w:val="single" w:sz="4" w:space="0" w:color="C0C0C0"/>
            </w:tcBorders>
            <w:shd w:val="clear" w:color="auto" w:fill="auto"/>
          </w:tcPr>
          <w:p w:rsidR="00B03921" w:rsidRPr="00F71338" w:rsidRDefault="00B03921" w:rsidP="00016914">
            <w:pPr>
              <w:pStyle w:val="Tabletext"/>
              <w:rPr>
                <w:sz w:val="19"/>
              </w:rPr>
            </w:pPr>
          </w:p>
        </w:tc>
        <w:tc>
          <w:tcPr>
            <w:tcW w:w="3248" w:type="dxa"/>
            <w:tcBorders>
              <w:top w:val="single" w:sz="4" w:space="0" w:color="C0C0C0"/>
            </w:tcBorders>
            <w:shd w:val="clear" w:color="auto" w:fill="auto"/>
          </w:tcPr>
          <w:p w:rsidR="00B03921" w:rsidRPr="004D5382" w:rsidRDefault="00B03921" w:rsidP="00016914">
            <w:pPr>
              <w:pStyle w:val="Tabletext"/>
              <w:rPr>
                <w:sz w:val="19"/>
              </w:rPr>
            </w:pPr>
          </w:p>
        </w:tc>
      </w:tr>
      <w:tr w:rsidR="00B03921" w:rsidRPr="00F71338" w:rsidTr="00016914">
        <w:trPr>
          <w:cantSplit/>
        </w:trPr>
        <w:tc>
          <w:tcPr>
            <w:tcW w:w="4414" w:type="dxa"/>
            <w:shd w:val="clear" w:color="auto" w:fill="auto"/>
          </w:tcPr>
          <w:p w:rsidR="00B03921" w:rsidRPr="0082587A" w:rsidRDefault="00B03921" w:rsidP="00016914">
            <w:pPr>
              <w:pStyle w:val="Tabletext"/>
              <w:ind w:left="178" w:hanging="178"/>
              <w:rPr>
                <w:sz w:val="19"/>
              </w:rPr>
            </w:pPr>
            <w:r w:rsidRPr="0082587A">
              <w:rPr>
                <w:sz w:val="19"/>
              </w:rPr>
              <w:t>–</w:t>
            </w:r>
            <w:r w:rsidRPr="0082587A">
              <w:rPr>
                <w:sz w:val="19"/>
              </w:rPr>
              <w:tab/>
              <w:t>a statement of the material economic and other assumptions that have been used in preparing the estimated financial statements</w:t>
            </w:r>
            <w:r>
              <w:rPr>
                <w:sz w:val="19"/>
              </w:rPr>
              <w:t>;</w:t>
            </w:r>
          </w:p>
        </w:tc>
        <w:tc>
          <w:tcPr>
            <w:tcW w:w="106" w:type="dxa"/>
            <w:shd w:val="clear" w:color="auto" w:fill="auto"/>
          </w:tcPr>
          <w:p w:rsidR="00B03921" w:rsidRPr="00F71338" w:rsidRDefault="00B03921" w:rsidP="00016914">
            <w:pPr>
              <w:pStyle w:val="Tabletext"/>
              <w:ind w:left="0" w:firstLine="0"/>
              <w:rPr>
                <w:sz w:val="19"/>
              </w:rPr>
            </w:pPr>
          </w:p>
        </w:tc>
        <w:tc>
          <w:tcPr>
            <w:tcW w:w="3248" w:type="dxa"/>
            <w:shd w:val="clear" w:color="auto" w:fill="auto"/>
          </w:tcPr>
          <w:p w:rsidR="00B03921" w:rsidRPr="004D5382" w:rsidRDefault="00B03921" w:rsidP="00016914">
            <w:pPr>
              <w:pStyle w:val="Tabletext"/>
              <w:ind w:left="0" w:firstLine="0"/>
              <w:rPr>
                <w:sz w:val="19"/>
              </w:rPr>
            </w:pPr>
            <w:r w:rsidRPr="004D5382">
              <w:rPr>
                <w:sz w:val="19"/>
              </w:rPr>
              <w:t xml:space="preserve">Budget Paper No. 2, Chapter 2 </w:t>
            </w:r>
            <w:r w:rsidRPr="004D5382">
              <w:rPr>
                <w:i/>
                <w:sz w:val="19"/>
              </w:rPr>
              <w:t>Economic context</w:t>
            </w:r>
          </w:p>
          <w:p w:rsidR="00B03921" w:rsidRPr="004D5382" w:rsidRDefault="00B03921" w:rsidP="00016914">
            <w:pPr>
              <w:pStyle w:val="Tabletext"/>
              <w:ind w:left="0" w:firstLine="0"/>
              <w:rPr>
                <w:i/>
                <w:sz w:val="19"/>
              </w:rPr>
            </w:pPr>
            <w:r w:rsidRPr="004D5382">
              <w:rPr>
                <w:sz w:val="19"/>
              </w:rPr>
              <w:t xml:space="preserve">Budget Paper No. 2, Chapter 4 </w:t>
            </w:r>
            <w:r w:rsidRPr="004D5382">
              <w:rPr>
                <w:i/>
                <w:sz w:val="19"/>
              </w:rPr>
              <w:t>Budget position and outlook</w:t>
            </w:r>
          </w:p>
          <w:p w:rsidR="00B03921" w:rsidRPr="004D5382" w:rsidRDefault="00B03921" w:rsidP="00016914">
            <w:pPr>
              <w:pStyle w:val="Tabletext"/>
              <w:ind w:left="0" w:firstLine="0"/>
              <w:rPr>
                <w:sz w:val="19"/>
              </w:rPr>
            </w:pPr>
            <w:r w:rsidRPr="004D5382">
              <w:rPr>
                <w:sz w:val="19"/>
              </w:rPr>
              <w:t xml:space="preserve">Budget Paper No. 5, Chapter 1 </w:t>
            </w:r>
            <w:r w:rsidRPr="004D5382">
              <w:rPr>
                <w:i/>
                <w:sz w:val="19"/>
              </w:rPr>
              <w:t xml:space="preserve">Estimated Financial Statements for the general government sector </w:t>
            </w:r>
            <w:r w:rsidRPr="004D5382">
              <w:rPr>
                <w:sz w:val="19"/>
              </w:rPr>
              <w:t>and notes</w:t>
            </w:r>
          </w:p>
        </w:tc>
      </w:tr>
    </w:tbl>
    <w:p w:rsidR="00B03921" w:rsidRPr="00F71338" w:rsidRDefault="00B03921" w:rsidP="00016914">
      <w:pPr>
        <w:pStyle w:val="Tableheading"/>
      </w:pPr>
      <w:r w:rsidRPr="00F71338">
        <w:br w:type="page"/>
        <w:t>Table C1:</w:t>
      </w:r>
      <w:r w:rsidRPr="00F71338">
        <w:tab/>
        <w:t xml:space="preserve">Statements required by the </w:t>
      </w:r>
      <w:r w:rsidRPr="0082587A">
        <w:rPr>
          <w:i/>
        </w:rPr>
        <w:t>Financial Management Act 1994</w:t>
      </w:r>
      <w:r w:rsidRPr="00F71338">
        <w:t xml:space="preserve"> and their location in the </w:t>
      </w:r>
      <w:r>
        <w:rPr>
          <w:i/>
        </w:rPr>
        <w:t>2015</w:t>
      </w:r>
      <w:r w:rsidRPr="0082587A">
        <w:rPr>
          <w:i/>
        </w:rPr>
        <w:noBreakHyphen/>
        <w:t>1</w:t>
      </w:r>
      <w:r>
        <w:rPr>
          <w:i/>
        </w:rPr>
        <w:t>6</w:t>
      </w:r>
      <w:r w:rsidRPr="0082587A">
        <w:rPr>
          <w:i/>
        </w:rPr>
        <w:t> Budget</w:t>
      </w:r>
      <w:r w:rsidRPr="000738E7">
        <w:t xml:space="preserve"> </w:t>
      </w:r>
      <w:r w:rsidRPr="00422BFA">
        <w:rPr>
          <w:i/>
        </w:rPr>
        <w:t>(continued)</w:t>
      </w:r>
    </w:p>
    <w:tbl>
      <w:tblPr>
        <w:tblW w:w="7768" w:type="dxa"/>
        <w:tblInd w:w="29" w:type="dxa"/>
        <w:tblCellMar>
          <w:left w:w="43" w:type="dxa"/>
          <w:right w:w="43" w:type="dxa"/>
        </w:tblCellMar>
        <w:tblLook w:val="01E0" w:firstRow="1" w:lastRow="1" w:firstColumn="1" w:lastColumn="1" w:noHBand="0" w:noVBand="0"/>
      </w:tblPr>
      <w:tblGrid>
        <w:gridCol w:w="4409"/>
        <w:gridCol w:w="141"/>
        <w:gridCol w:w="3218"/>
      </w:tblGrid>
      <w:tr w:rsidR="00B03921" w:rsidRPr="00F71338" w:rsidTr="00016914">
        <w:trPr>
          <w:cantSplit/>
          <w:trHeight w:val="462"/>
          <w:tblHeader/>
        </w:trPr>
        <w:tc>
          <w:tcPr>
            <w:tcW w:w="4409" w:type="dxa"/>
            <w:tcBorders>
              <w:top w:val="single" w:sz="4" w:space="0" w:color="auto"/>
              <w:left w:val="single" w:sz="4" w:space="0" w:color="auto"/>
              <w:bottom w:val="single" w:sz="4" w:space="0" w:color="auto"/>
              <w:right w:val="single" w:sz="4" w:space="0" w:color="auto"/>
            </w:tcBorders>
            <w:shd w:val="clear" w:color="auto" w:fill="000000"/>
          </w:tcPr>
          <w:p w:rsidR="00B03921" w:rsidRPr="00F71338" w:rsidRDefault="00B03921" w:rsidP="00016914">
            <w:pPr>
              <w:pStyle w:val="TabletextheadingLeft0"/>
              <w:rPr>
                <w:sz w:val="19"/>
              </w:rPr>
            </w:pPr>
            <w:r w:rsidRPr="00F71338">
              <w:rPr>
                <w:sz w:val="19"/>
              </w:rPr>
              <w:t>Relevant section of the Act and</w:t>
            </w:r>
            <w:r w:rsidRPr="00F71338">
              <w:rPr>
                <w:sz w:val="19"/>
              </w:rPr>
              <w:br/>
              <w:t xml:space="preserve"> corresponding requirement</w:t>
            </w:r>
          </w:p>
        </w:tc>
        <w:tc>
          <w:tcPr>
            <w:tcW w:w="141" w:type="dxa"/>
            <w:tcBorders>
              <w:top w:val="single" w:sz="4" w:space="0" w:color="auto"/>
              <w:left w:val="single" w:sz="4" w:space="0" w:color="auto"/>
              <w:bottom w:val="single" w:sz="4" w:space="0" w:color="auto"/>
              <w:right w:val="single" w:sz="4" w:space="0" w:color="auto"/>
            </w:tcBorders>
            <w:shd w:val="clear" w:color="auto" w:fill="000000"/>
          </w:tcPr>
          <w:p w:rsidR="00B03921" w:rsidRPr="00F71338" w:rsidRDefault="00B03921" w:rsidP="00016914">
            <w:pPr>
              <w:pStyle w:val="TabletextheadingLeft0"/>
              <w:rPr>
                <w:sz w:val="19"/>
              </w:rPr>
            </w:pPr>
          </w:p>
        </w:tc>
        <w:tc>
          <w:tcPr>
            <w:tcW w:w="3218" w:type="dxa"/>
            <w:tcBorders>
              <w:top w:val="single" w:sz="4" w:space="0" w:color="auto"/>
              <w:left w:val="single" w:sz="4" w:space="0" w:color="auto"/>
              <w:bottom w:val="single" w:sz="4" w:space="0" w:color="auto"/>
              <w:right w:val="single" w:sz="4" w:space="0" w:color="auto"/>
            </w:tcBorders>
            <w:shd w:val="clear" w:color="auto" w:fill="000000"/>
            <w:vAlign w:val="bottom"/>
          </w:tcPr>
          <w:p w:rsidR="00B03921" w:rsidRPr="00F71338" w:rsidRDefault="00B03921" w:rsidP="00016914">
            <w:pPr>
              <w:pStyle w:val="TabletextheadingLeft0"/>
              <w:rPr>
                <w:sz w:val="19"/>
              </w:rPr>
            </w:pPr>
            <w:r w:rsidRPr="00F71338">
              <w:rPr>
                <w:sz w:val="19"/>
              </w:rPr>
              <w:t>Location</w:t>
            </w:r>
          </w:p>
        </w:tc>
      </w:tr>
      <w:tr w:rsidR="00B03921" w:rsidRPr="00F71338" w:rsidTr="00016914">
        <w:trPr>
          <w:cantSplit/>
          <w:trHeight w:val="693"/>
        </w:trPr>
        <w:tc>
          <w:tcPr>
            <w:tcW w:w="4409" w:type="dxa"/>
            <w:shd w:val="clear" w:color="auto" w:fill="auto"/>
          </w:tcPr>
          <w:p w:rsidR="00B03921" w:rsidRPr="0082587A" w:rsidRDefault="00B03921" w:rsidP="00016914">
            <w:pPr>
              <w:pStyle w:val="Tabletext"/>
              <w:ind w:left="178" w:hanging="178"/>
              <w:rPr>
                <w:sz w:val="19"/>
              </w:rPr>
            </w:pPr>
            <w:r w:rsidRPr="0082587A">
              <w:rPr>
                <w:sz w:val="19"/>
              </w:rPr>
              <w:t>–</w:t>
            </w:r>
            <w:r w:rsidRPr="0082587A">
              <w:rPr>
                <w:sz w:val="19"/>
              </w:rPr>
              <w:tab/>
              <w:t>a discussion of the sensitivity of the estimated financial statements to changes in those economic and other assumptions</w:t>
            </w:r>
            <w:r>
              <w:rPr>
                <w:sz w:val="19"/>
              </w:rPr>
              <w:t>;</w:t>
            </w:r>
          </w:p>
        </w:tc>
        <w:tc>
          <w:tcPr>
            <w:tcW w:w="141" w:type="dxa"/>
            <w:shd w:val="clear" w:color="auto" w:fill="auto"/>
          </w:tcPr>
          <w:p w:rsidR="00B03921" w:rsidRPr="00F71338" w:rsidRDefault="00B03921" w:rsidP="00016914">
            <w:pPr>
              <w:pStyle w:val="Tabletext"/>
              <w:ind w:left="0" w:firstLine="0"/>
              <w:rPr>
                <w:sz w:val="19"/>
              </w:rPr>
            </w:pPr>
          </w:p>
        </w:tc>
        <w:tc>
          <w:tcPr>
            <w:tcW w:w="3218" w:type="dxa"/>
            <w:shd w:val="clear" w:color="auto" w:fill="auto"/>
          </w:tcPr>
          <w:p w:rsidR="00B03921" w:rsidRPr="004D5382" w:rsidRDefault="00B03921" w:rsidP="00016914">
            <w:pPr>
              <w:pStyle w:val="Tabletext"/>
              <w:ind w:left="0" w:firstLine="0"/>
              <w:rPr>
                <w:sz w:val="19"/>
              </w:rPr>
            </w:pPr>
            <w:r w:rsidRPr="004D5382">
              <w:rPr>
                <w:sz w:val="19"/>
              </w:rPr>
              <w:t xml:space="preserve">Budget Paper No. 2, Appendix A </w:t>
            </w:r>
            <w:r w:rsidRPr="004D5382">
              <w:rPr>
                <w:i/>
                <w:sz w:val="19"/>
              </w:rPr>
              <w:t xml:space="preserve">Sensitivity analysis </w:t>
            </w:r>
          </w:p>
        </w:tc>
      </w:tr>
      <w:tr w:rsidR="00B03921" w:rsidRPr="00F71338" w:rsidTr="00016914">
        <w:trPr>
          <w:cantSplit/>
          <w:trHeight w:val="693"/>
        </w:trPr>
        <w:tc>
          <w:tcPr>
            <w:tcW w:w="4409" w:type="dxa"/>
            <w:shd w:val="clear" w:color="auto" w:fill="auto"/>
          </w:tcPr>
          <w:p w:rsidR="00B03921" w:rsidRPr="0082587A" w:rsidRDefault="00B03921" w:rsidP="00016914">
            <w:pPr>
              <w:pStyle w:val="Tabletext"/>
              <w:rPr>
                <w:sz w:val="19"/>
              </w:rPr>
            </w:pPr>
            <w:r w:rsidRPr="0082587A">
              <w:rPr>
                <w:rFonts w:ascii="Garamond" w:hAnsi="Garamond"/>
                <w:sz w:val="19"/>
              </w:rPr>
              <w:br w:type="page"/>
            </w:r>
            <w:r w:rsidRPr="0082587A">
              <w:rPr>
                <w:sz w:val="19"/>
              </w:rPr>
              <w:t>–</w:t>
            </w:r>
            <w:r w:rsidRPr="0082587A">
              <w:rPr>
                <w:sz w:val="19"/>
              </w:rPr>
              <w:tab/>
              <w:t>an overview of the estimated tax expenditures for the financial years covered by the estimated financial statements</w:t>
            </w:r>
            <w:r>
              <w:rPr>
                <w:sz w:val="19"/>
              </w:rPr>
              <w:t>; and</w:t>
            </w:r>
          </w:p>
        </w:tc>
        <w:tc>
          <w:tcPr>
            <w:tcW w:w="141" w:type="dxa"/>
            <w:shd w:val="clear" w:color="auto" w:fill="auto"/>
          </w:tcPr>
          <w:p w:rsidR="00B03921" w:rsidRPr="00F71338" w:rsidRDefault="00B03921" w:rsidP="00016914">
            <w:pPr>
              <w:pStyle w:val="Tabletext"/>
              <w:rPr>
                <w:sz w:val="19"/>
              </w:rPr>
            </w:pPr>
          </w:p>
        </w:tc>
        <w:tc>
          <w:tcPr>
            <w:tcW w:w="3218" w:type="dxa"/>
            <w:shd w:val="clear" w:color="auto" w:fill="auto"/>
          </w:tcPr>
          <w:p w:rsidR="00B03921" w:rsidRPr="004D5382" w:rsidRDefault="00B03921" w:rsidP="00016914">
            <w:pPr>
              <w:pStyle w:val="Tabletext"/>
              <w:ind w:left="0" w:firstLine="0"/>
              <w:rPr>
                <w:sz w:val="19"/>
              </w:rPr>
            </w:pPr>
            <w:r w:rsidRPr="004D5382">
              <w:rPr>
                <w:sz w:val="19"/>
              </w:rPr>
              <w:t xml:space="preserve">Budget Paper No. 5, Chapter 5 </w:t>
            </w:r>
            <w:r w:rsidRPr="004D5382">
              <w:rPr>
                <w:i/>
                <w:sz w:val="19"/>
              </w:rPr>
              <w:t>Tax expenditures and concessions</w:t>
            </w:r>
          </w:p>
        </w:tc>
      </w:tr>
      <w:tr w:rsidR="00B03921" w:rsidRPr="00F71338" w:rsidTr="00016914">
        <w:trPr>
          <w:cantSplit/>
          <w:trHeight w:val="1739"/>
        </w:trPr>
        <w:tc>
          <w:tcPr>
            <w:tcW w:w="4409" w:type="dxa"/>
            <w:tcBorders>
              <w:bottom w:val="single" w:sz="4" w:space="0" w:color="BFBFBF"/>
            </w:tcBorders>
            <w:shd w:val="clear" w:color="auto" w:fill="auto"/>
          </w:tcPr>
          <w:p w:rsidR="00B03921" w:rsidRPr="0082587A" w:rsidRDefault="00B03921" w:rsidP="00016914">
            <w:pPr>
              <w:pStyle w:val="Tabletext"/>
              <w:ind w:left="178" w:hanging="178"/>
              <w:rPr>
                <w:sz w:val="19"/>
              </w:rPr>
            </w:pPr>
            <w:r w:rsidRPr="0082587A">
              <w:rPr>
                <w:sz w:val="19"/>
              </w:rPr>
              <w:t>–</w:t>
            </w:r>
            <w:r w:rsidRPr="0082587A">
              <w:rPr>
                <w:sz w:val="19"/>
              </w:rPr>
              <w:tab/>
              <w:t>a statement of risks that may have a material effect on the estimated financial statements.</w:t>
            </w:r>
          </w:p>
        </w:tc>
        <w:tc>
          <w:tcPr>
            <w:tcW w:w="141" w:type="dxa"/>
            <w:tcBorders>
              <w:bottom w:val="single" w:sz="4" w:space="0" w:color="BFBFBF"/>
            </w:tcBorders>
            <w:shd w:val="clear" w:color="auto" w:fill="auto"/>
          </w:tcPr>
          <w:p w:rsidR="00B03921" w:rsidRPr="00F71338" w:rsidRDefault="00B03921" w:rsidP="00016914">
            <w:pPr>
              <w:pStyle w:val="Tabletext"/>
              <w:ind w:left="178" w:hanging="178"/>
              <w:rPr>
                <w:sz w:val="19"/>
              </w:rPr>
            </w:pPr>
          </w:p>
        </w:tc>
        <w:tc>
          <w:tcPr>
            <w:tcW w:w="3218" w:type="dxa"/>
            <w:tcBorders>
              <w:bottom w:val="single" w:sz="4" w:space="0" w:color="BFBFBF"/>
            </w:tcBorders>
            <w:shd w:val="clear" w:color="auto" w:fill="auto"/>
          </w:tcPr>
          <w:p w:rsidR="00B03921" w:rsidRPr="004D5382" w:rsidRDefault="00B03921" w:rsidP="00016914">
            <w:pPr>
              <w:pStyle w:val="Tabletext"/>
              <w:ind w:left="0" w:firstLine="0"/>
              <w:rPr>
                <w:i/>
                <w:sz w:val="19"/>
              </w:rPr>
            </w:pPr>
            <w:r w:rsidRPr="004D5382">
              <w:rPr>
                <w:sz w:val="19"/>
              </w:rPr>
              <w:t xml:space="preserve">Budget Paper No. 2, Chapter 2 </w:t>
            </w:r>
            <w:r w:rsidRPr="004D5382">
              <w:rPr>
                <w:i/>
                <w:sz w:val="19"/>
              </w:rPr>
              <w:t>Economic context</w:t>
            </w:r>
          </w:p>
          <w:p w:rsidR="00B03921" w:rsidRPr="004D5382" w:rsidRDefault="00B03921" w:rsidP="00016914">
            <w:pPr>
              <w:pStyle w:val="Tabletext"/>
              <w:ind w:left="0" w:firstLine="0"/>
              <w:rPr>
                <w:sz w:val="19"/>
              </w:rPr>
            </w:pPr>
            <w:r w:rsidRPr="004D5382">
              <w:rPr>
                <w:sz w:val="19"/>
              </w:rPr>
              <w:t>Budget Paper No. 2, Chapter 4</w:t>
            </w:r>
            <w:r w:rsidRPr="004D5382">
              <w:rPr>
                <w:i/>
                <w:sz w:val="19"/>
              </w:rPr>
              <w:t xml:space="preserve"> Budget position and outlook</w:t>
            </w:r>
          </w:p>
          <w:p w:rsidR="00B03921" w:rsidRPr="004D5382" w:rsidRDefault="00B03921" w:rsidP="00016914">
            <w:pPr>
              <w:pStyle w:val="Tabletext"/>
              <w:spacing w:after="120"/>
              <w:ind w:left="0" w:firstLine="0"/>
              <w:rPr>
                <w:i/>
                <w:sz w:val="19"/>
              </w:rPr>
            </w:pPr>
            <w:r w:rsidRPr="004D5382">
              <w:rPr>
                <w:sz w:val="19"/>
              </w:rPr>
              <w:t xml:space="preserve">Budget Paper No. 5, Chapter 6 </w:t>
            </w:r>
            <w:r w:rsidRPr="004D5382">
              <w:rPr>
                <w:i/>
                <w:sz w:val="19"/>
              </w:rPr>
              <w:t>Contingent assets and contingent liabilities</w:t>
            </w:r>
          </w:p>
        </w:tc>
      </w:tr>
      <w:tr w:rsidR="00B03921" w:rsidRPr="00F71338" w:rsidTr="00016914">
        <w:trPr>
          <w:cantSplit/>
          <w:trHeight w:val="231"/>
        </w:trPr>
        <w:tc>
          <w:tcPr>
            <w:tcW w:w="4409" w:type="dxa"/>
            <w:tcBorders>
              <w:top w:val="single" w:sz="4" w:space="0" w:color="BFBFBF"/>
            </w:tcBorders>
            <w:shd w:val="clear" w:color="auto" w:fill="auto"/>
          </w:tcPr>
          <w:p w:rsidR="00B03921" w:rsidRPr="0082587A" w:rsidRDefault="00B03921" w:rsidP="00016914">
            <w:pPr>
              <w:pStyle w:val="Tabletext"/>
              <w:ind w:left="0" w:firstLine="0"/>
              <w:rPr>
                <w:sz w:val="19"/>
              </w:rPr>
            </w:pPr>
            <w:r w:rsidRPr="0082587A">
              <w:rPr>
                <w:sz w:val="19"/>
              </w:rPr>
              <w:t xml:space="preserve">Section 26(1) of the </w:t>
            </w:r>
            <w:r w:rsidRPr="0082587A">
              <w:rPr>
                <w:i/>
                <w:sz w:val="19"/>
              </w:rPr>
              <w:t>Financial Management Act 1994</w:t>
            </w:r>
          </w:p>
        </w:tc>
        <w:tc>
          <w:tcPr>
            <w:tcW w:w="141" w:type="dxa"/>
            <w:tcBorders>
              <w:top w:val="single" w:sz="4" w:space="0" w:color="BFBFBF"/>
            </w:tcBorders>
            <w:shd w:val="clear" w:color="auto" w:fill="auto"/>
          </w:tcPr>
          <w:p w:rsidR="00B03921" w:rsidRPr="00F71338" w:rsidRDefault="00B03921" w:rsidP="00016914">
            <w:pPr>
              <w:pStyle w:val="Tabletext"/>
              <w:rPr>
                <w:i/>
                <w:sz w:val="19"/>
              </w:rPr>
            </w:pPr>
          </w:p>
        </w:tc>
        <w:tc>
          <w:tcPr>
            <w:tcW w:w="3218" w:type="dxa"/>
            <w:tcBorders>
              <w:top w:val="single" w:sz="4" w:space="0" w:color="BFBFBF"/>
            </w:tcBorders>
            <w:shd w:val="clear" w:color="auto" w:fill="auto"/>
          </w:tcPr>
          <w:p w:rsidR="00B03921" w:rsidRPr="004D5382" w:rsidRDefault="00B03921" w:rsidP="00016914">
            <w:pPr>
              <w:pStyle w:val="Tabletext"/>
              <w:rPr>
                <w:i/>
                <w:sz w:val="19"/>
              </w:rPr>
            </w:pPr>
          </w:p>
        </w:tc>
      </w:tr>
      <w:tr w:rsidR="00B03921" w:rsidRPr="00F71338" w:rsidTr="00016914">
        <w:trPr>
          <w:cantSplit/>
          <w:trHeight w:val="627"/>
        </w:trPr>
        <w:tc>
          <w:tcPr>
            <w:tcW w:w="4409" w:type="dxa"/>
            <w:tcBorders>
              <w:bottom w:val="single" w:sz="6" w:space="0" w:color="BFBFBF"/>
            </w:tcBorders>
            <w:shd w:val="clear" w:color="auto" w:fill="auto"/>
          </w:tcPr>
          <w:p w:rsidR="00B03921" w:rsidRPr="0082587A" w:rsidRDefault="00B03921" w:rsidP="00016914">
            <w:pPr>
              <w:pStyle w:val="Tabletext"/>
              <w:ind w:left="0" w:firstLine="0"/>
              <w:rPr>
                <w:sz w:val="19"/>
              </w:rPr>
            </w:pPr>
            <w:r w:rsidRPr="0082587A">
              <w:rPr>
                <w:sz w:val="19"/>
              </w:rPr>
              <w:t>A quarterly financial report for each quarter of each financial year.</w:t>
            </w:r>
          </w:p>
        </w:tc>
        <w:tc>
          <w:tcPr>
            <w:tcW w:w="141" w:type="dxa"/>
            <w:tcBorders>
              <w:bottom w:val="single" w:sz="6" w:space="0" w:color="BFBFBF"/>
            </w:tcBorders>
            <w:shd w:val="clear" w:color="auto" w:fill="auto"/>
          </w:tcPr>
          <w:p w:rsidR="00B03921" w:rsidRPr="00F71338" w:rsidRDefault="00B03921" w:rsidP="00016914">
            <w:pPr>
              <w:pStyle w:val="Tabletext"/>
              <w:ind w:left="0" w:firstLine="0"/>
              <w:rPr>
                <w:sz w:val="19"/>
              </w:rPr>
            </w:pPr>
          </w:p>
        </w:tc>
        <w:tc>
          <w:tcPr>
            <w:tcW w:w="3218" w:type="dxa"/>
            <w:tcBorders>
              <w:bottom w:val="single" w:sz="6" w:space="0" w:color="BFBFBF"/>
            </w:tcBorders>
            <w:shd w:val="clear" w:color="auto" w:fill="auto"/>
          </w:tcPr>
          <w:p w:rsidR="00B03921" w:rsidRPr="004D5382" w:rsidRDefault="00B03921" w:rsidP="00016914">
            <w:pPr>
              <w:pStyle w:val="Tabletext"/>
              <w:spacing w:after="120"/>
              <w:ind w:left="0" w:firstLine="0"/>
              <w:rPr>
                <w:i/>
                <w:sz w:val="19"/>
              </w:rPr>
            </w:pPr>
            <w:r w:rsidRPr="004D5382">
              <w:rPr>
                <w:sz w:val="19"/>
              </w:rPr>
              <w:t>Budget Paper No. 5, Appendix B</w:t>
            </w:r>
            <w:r w:rsidRPr="004D5382">
              <w:rPr>
                <w:sz w:val="19"/>
              </w:rPr>
              <w:br/>
            </w:r>
            <w:r w:rsidRPr="004D5382">
              <w:rPr>
                <w:i/>
                <w:sz w:val="19"/>
              </w:rPr>
              <w:t>2</w:t>
            </w:r>
            <w:r w:rsidRPr="004D5382">
              <w:rPr>
                <w:sz w:val="19"/>
              </w:rPr>
              <w:t>014-15 Budget</w:t>
            </w:r>
            <w:r w:rsidRPr="004D5382">
              <w:rPr>
                <w:i/>
                <w:sz w:val="19"/>
              </w:rPr>
              <w:t xml:space="preserve"> outcome incorporating the financial report for the March quarter 2015 </w:t>
            </w:r>
          </w:p>
        </w:tc>
      </w:tr>
      <w:tr w:rsidR="00B03921" w:rsidRPr="00F71338" w:rsidTr="00016914">
        <w:trPr>
          <w:cantSplit/>
          <w:trHeight w:val="1630"/>
        </w:trPr>
        <w:tc>
          <w:tcPr>
            <w:tcW w:w="4409" w:type="dxa"/>
            <w:tcBorders>
              <w:top w:val="single" w:sz="6" w:space="0" w:color="BFBFBF"/>
            </w:tcBorders>
            <w:shd w:val="clear" w:color="auto" w:fill="auto"/>
          </w:tcPr>
          <w:p w:rsidR="00B03921" w:rsidRPr="0082587A" w:rsidRDefault="00B03921" w:rsidP="00016914">
            <w:pPr>
              <w:pStyle w:val="Tabletext"/>
              <w:ind w:left="0" w:firstLine="0"/>
              <w:rPr>
                <w:i/>
                <w:sz w:val="19"/>
              </w:rPr>
            </w:pPr>
            <w:r w:rsidRPr="0082587A">
              <w:rPr>
                <w:sz w:val="19"/>
              </w:rPr>
              <w:t xml:space="preserve">Section 40 of the </w:t>
            </w:r>
            <w:r w:rsidRPr="0082587A">
              <w:rPr>
                <w:i/>
                <w:sz w:val="19"/>
              </w:rPr>
              <w:t>Financial Management Act 1994</w:t>
            </w:r>
          </w:p>
          <w:p w:rsidR="00B03921" w:rsidRPr="0082587A" w:rsidRDefault="00B03921" w:rsidP="00016914">
            <w:pPr>
              <w:pStyle w:val="Tabletext"/>
              <w:ind w:left="0" w:firstLine="0"/>
              <w:rPr>
                <w:sz w:val="19"/>
              </w:rPr>
            </w:pPr>
            <w:r w:rsidRPr="0082587A">
              <w:rPr>
                <w:sz w:val="19"/>
              </w:rPr>
              <w:t>A statement of information under departmental headings setting out:</w:t>
            </w:r>
          </w:p>
          <w:p w:rsidR="00B03921" w:rsidRPr="0082587A" w:rsidRDefault="00B03921" w:rsidP="00016914">
            <w:pPr>
              <w:pStyle w:val="Tabletext"/>
              <w:ind w:left="178" w:hanging="178"/>
              <w:rPr>
                <w:sz w:val="19"/>
              </w:rPr>
            </w:pPr>
            <w:r w:rsidRPr="0082587A">
              <w:rPr>
                <w:sz w:val="19"/>
              </w:rPr>
              <w:t>– a description of the goods and services to be produced or provided by each department during the period to which the statement related, together with comparative information for the preceding financial year</w:t>
            </w:r>
            <w:r>
              <w:rPr>
                <w:sz w:val="19"/>
              </w:rPr>
              <w:t>;</w:t>
            </w:r>
          </w:p>
        </w:tc>
        <w:tc>
          <w:tcPr>
            <w:tcW w:w="141" w:type="dxa"/>
            <w:tcBorders>
              <w:top w:val="single" w:sz="6" w:space="0" w:color="BFBFBF"/>
            </w:tcBorders>
            <w:shd w:val="clear" w:color="auto" w:fill="auto"/>
          </w:tcPr>
          <w:p w:rsidR="00B03921" w:rsidRPr="00F71338" w:rsidRDefault="00B03921" w:rsidP="00016914">
            <w:pPr>
              <w:pStyle w:val="Tabletext"/>
              <w:rPr>
                <w:sz w:val="19"/>
              </w:rPr>
            </w:pPr>
          </w:p>
        </w:tc>
        <w:tc>
          <w:tcPr>
            <w:tcW w:w="3218" w:type="dxa"/>
            <w:tcBorders>
              <w:top w:val="single" w:sz="6" w:space="0" w:color="BFBFBF"/>
            </w:tcBorders>
            <w:shd w:val="clear" w:color="auto" w:fill="auto"/>
          </w:tcPr>
          <w:p w:rsidR="00B03921" w:rsidRPr="004D5382" w:rsidRDefault="00B03921" w:rsidP="00016914">
            <w:pPr>
              <w:pStyle w:val="Tabletext"/>
              <w:ind w:left="0" w:firstLine="0"/>
              <w:rPr>
                <w:sz w:val="19"/>
              </w:rPr>
            </w:pPr>
          </w:p>
          <w:p w:rsidR="00B03921" w:rsidRPr="004D5382" w:rsidRDefault="00B03921" w:rsidP="00016914">
            <w:pPr>
              <w:pStyle w:val="Tabletext"/>
              <w:ind w:left="0" w:firstLine="0"/>
              <w:rPr>
                <w:sz w:val="19"/>
              </w:rPr>
            </w:pPr>
            <w:r w:rsidRPr="004D5382">
              <w:rPr>
                <w:sz w:val="19"/>
              </w:rPr>
              <w:br/>
            </w:r>
          </w:p>
          <w:p w:rsidR="00B03921" w:rsidRPr="004D5382" w:rsidRDefault="00B03921" w:rsidP="00016914">
            <w:pPr>
              <w:pStyle w:val="Tabletext"/>
              <w:ind w:left="0" w:firstLine="0"/>
              <w:rPr>
                <w:sz w:val="19"/>
              </w:rPr>
            </w:pPr>
            <w:r w:rsidRPr="004D5382">
              <w:rPr>
                <w:sz w:val="19"/>
              </w:rPr>
              <w:t xml:space="preserve">Budget Paper No. 3, Chapter 2 </w:t>
            </w:r>
            <w:r w:rsidRPr="004D5382">
              <w:rPr>
                <w:i/>
                <w:sz w:val="19"/>
              </w:rPr>
              <w:t>Departmental performance statements</w:t>
            </w:r>
          </w:p>
        </w:tc>
      </w:tr>
      <w:tr w:rsidR="00B03921" w:rsidRPr="00530A6C" w:rsidTr="00016914">
        <w:trPr>
          <w:cantSplit/>
          <w:trHeight w:val="1913"/>
        </w:trPr>
        <w:tc>
          <w:tcPr>
            <w:tcW w:w="4409" w:type="dxa"/>
            <w:tcBorders>
              <w:bottom w:val="single" w:sz="6" w:space="0" w:color="C0C0C0"/>
            </w:tcBorders>
            <w:shd w:val="clear" w:color="auto" w:fill="auto"/>
          </w:tcPr>
          <w:p w:rsidR="00B03921" w:rsidRPr="005307EA" w:rsidRDefault="00B03921" w:rsidP="00016914">
            <w:pPr>
              <w:pStyle w:val="Tabletext"/>
              <w:rPr>
                <w:sz w:val="19"/>
                <w:szCs w:val="19"/>
              </w:rPr>
            </w:pPr>
            <w:r w:rsidRPr="005307EA">
              <w:rPr>
                <w:sz w:val="19"/>
                <w:szCs w:val="19"/>
              </w:rPr>
              <w:t xml:space="preserve">– </w:t>
            </w:r>
            <w:r w:rsidRPr="005307EA">
              <w:rPr>
                <w:sz w:val="19"/>
                <w:szCs w:val="19"/>
              </w:rPr>
              <w:tab/>
              <w:t>a description of the amount available or to be available to each department during the period to which the statement relates, whether appropriated by the Parliament for that purpose or otherwise received or to be received by the department, together with comparative figures for the preceding financial year</w:t>
            </w:r>
            <w:r>
              <w:rPr>
                <w:sz w:val="19"/>
                <w:szCs w:val="19"/>
              </w:rPr>
              <w:t>; and</w:t>
            </w:r>
          </w:p>
          <w:p w:rsidR="00B03921" w:rsidRPr="0082587A" w:rsidRDefault="00B03921" w:rsidP="00016914">
            <w:pPr>
              <w:pStyle w:val="Tabletext"/>
            </w:pPr>
            <w:r w:rsidRPr="005307EA">
              <w:rPr>
                <w:sz w:val="19"/>
                <w:szCs w:val="19"/>
              </w:rPr>
              <w:t xml:space="preserve">– </w:t>
            </w:r>
            <w:r w:rsidRPr="005307EA">
              <w:rPr>
                <w:sz w:val="19"/>
                <w:szCs w:val="19"/>
              </w:rPr>
              <w:tab/>
              <w:t>the estimated amount of the receipts and receivables of each department during the period to which the statement relates, together with comparative figures for the preceding financial year.</w:t>
            </w:r>
          </w:p>
        </w:tc>
        <w:tc>
          <w:tcPr>
            <w:tcW w:w="141" w:type="dxa"/>
            <w:tcBorders>
              <w:bottom w:val="single" w:sz="6" w:space="0" w:color="C0C0C0"/>
            </w:tcBorders>
            <w:shd w:val="clear" w:color="auto" w:fill="auto"/>
          </w:tcPr>
          <w:p w:rsidR="00B03921" w:rsidRPr="00F71338" w:rsidRDefault="00B03921" w:rsidP="00016914">
            <w:pPr>
              <w:pStyle w:val="Tabletext"/>
              <w:ind w:left="0" w:firstLine="0"/>
              <w:rPr>
                <w:sz w:val="19"/>
              </w:rPr>
            </w:pPr>
          </w:p>
        </w:tc>
        <w:tc>
          <w:tcPr>
            <w:tcW w:w="3218" w:type="dxa"/>
            <w:tcBorders>
              <w:bottom w:val="single" w:sz="6" w:space="0" w:color="C0C0C0"/>
            </w:tcBorders>
            <w:shd w:val="clear" w:color="auto" w:fill="auto"/>
          </w:tcPr>
          <w:p w:rsidR="00B03921" w:rsidRPr="004D5382" w:rsidRDefault="00B03921" w:rsidP="00016914">
            <w:pPr>
              <w:pStyle w:val="Tabletext"/>
              <w:ind w:left="0" w:firstLine="0"/>
              <w:rPr>
                <w:sz w:val="19"/>
              </w:rPr>
            </w:pPr>
            <w:r w:rsidRPr="004D5382">
              <w:rPr>
                <w:sz w:val="19"/>
              </w:rPr>
              <w:t xml:space="preserve">Budget Paper No. 5, Chapter 3 </w:t>
            </w:r>
            <w:r w:rsidRPr="004D5382">
              <w:rPr>
                <w:i/>
                <w:sz w:val="19"/>
              </w:rPr>
              <w:t>Departmental financial statements</w:t>
            </w:r>
            <w:r w:rsidRPr="004D5382">
              <w:rPr>
                <w:i/>
                <w:sz w:val="19"/>
              </w:rPr>
              <w:br/>
            </w:r>
            <w:r w:rsidRPr="004D5382">
              <w:rPr>
                <w:i/>
                <w:sz w:val="19"/>
              </w:rPr>
              <w:br/>
            </w:r>
            <w:r w:rsidRPr="004D5382">
              <w:rPr>
                <w:i/>
                <w:sz w:val="19"/>
              </w:rPr>
              <w:br/>
            </w:r>
            <w:r w:rsidRPr="004D5382">
              <w:rPr>
                <w:i/>
                <w:sz w:val="19"/>
              </w:rPr>
              <w:br/>
            </w:r>
            <w:r w:rsidRPr="004D5382">
              <w:rPr>
                <w:i/>
                <w:sz w:val="19"/>
              </w:rPr>
              <w:br/>
            </w:r>
          </w:p>
          <w:p w:rsidR="00B03921" w:rsidRPr="004D5382" w:rsidRDefault="00B03921" w:rsidP="00016914">
            <w:pPr>
              <w:pStyle w:val="Tabletext"/>
              <w:ind w:left="0" w:firstLine="0"/>
              <w:rPr>
                <w:i/>
                <w:sz w:val="19"/>
              </w:rPr>
            </w:pPr>
            <w:r w:rsidRPr="004D5382">
              <w:rPr>
                <w:sz w:val="19"/>
              </w:rPr>
              <w:t xml:space="preserve">Budget Paper No. 3, Chapter 2 </w:t>
            </w:r>
            <w:r w:rsidRPr="004D5382">
              <w:rPr>
                <w:i/>
                <w:sz w:val="19"/>
              </w:rPr>
              <w:t>Departmental performance statements</w:t>
            </w:r>
          </w:p>
        </w:tc>
      </w:tr>
      <w:tr w:rsidR="00B03921" w:rsidRPr="00F71338" w:rsidTr="00016914">
        <w:trPr>
          <w:cantSplit/>
          <w:trHeight w:val="231"/>
        </w:trPr>
        <w:tc>
          <w:tcPr>
            <w:tcW w:w="4409" w:type="dxa"/>
            <w:tcBorders>
              <w:top w:val="single" w:sz="6" w:space="0" w:color="C0C0C0"/>
            </w:tcBorders>
            <w:shd w:val="clear" w:color="auto" w:fill="auto"/>
          </w:tcPr>
          <w:p w:rsidR="00B03921" w:rsidRPr="0082587A" w:rsidRDefault="00B03921" w:rsidP="00016914">
            <w:pPr>
              <w:pStyle w:val="Tabletext"/>
              <w:ind w:left="0" w:firstLine="0"/>
              <w:rPr>
                <w:sz w:val="19"/>
              </w:rPr>
            </w:pPr>
            <w:r w:rsidRPr="0082587A">
              <w:rPr>
                <w:sz w:val="19"/>
              </w:rPr>
              <w:t xml:space="preserve">Section 16B of the </w:t>
            </w:r>
            <w:r w:rsidRPr="0082587A">
              <w:rPr>
                <w:i/>
                <w:sz w:val="19"/>
              </w:rPr>
              <w:t>Audit Act 1994</w:t>
            </w:r>
          </w:p>
        </w:tc>
        <w:tc>
          <w:tcPr>
            <w:tcW w:w="141" w:type="dxa"/>
            <w:tcBorders>
              <w:top w:val="single" w:sz="6" w:space="0" w:color="C0C0C0"/>
            </w:tcBorders>
            <w:shd w:val="clear" w:color="auto" w:fill="auto"/>
          </w:tcPr>
          <w:p w:rsidR="00B03921" w:rsidRPr="00F71338" w:rsidRDefault="00B03921" w:rsidP="00016914">
            <w:pPr>
              <w:pStyle w:val="Tabletext"/>
              <w:rPr>
                <w:sz w:val="19"/>
              </w:rPr>
            </w:pPr>
          </w:p>
        </w:tc>
        <w:tc>
          <w:tcPr>
            <w:tcW w:w="3218" w:type="dxa"/>
            <w:tcBorders>
              <w:top w:val="single" w:sz="6" w:space="0" w:color="C0C0C0"/>
            </w:tcBorders>
            <w:shd w:val="clear" w:color="auto" w:fill="auto"/>
          </w:tcPr>
          <w:p w:rsidR="00B03921" w:rsidRPr="00096F44" w:rsidRDefault="00B03921" w:rsidP="00016914">
            <w:pPr>
              <w:pStyle w:val="Tabletext"/>
              <w:rPr>
                <w:sz w:val="19"/>
              </w:rPr>
            </w:pPr>
          </w:p>
        </w:tc>
      </w:tr>
      <w:tr w:rsidR="00B03921" w:rsidRPr="00F71338" w:rsidTr="00016914">
        <w:trPr>
          <w:cantSplit/>
          <w:trHeight w:val="937"/>
        </w:trPr>
        <w:tc>
          <w:tcPr>
            <w:tcW w:w="4409" w:type="dxa"/>
            <w:tcBorders>
              <w:bottom w:val="single" w:sz="12" w:space="0" w:color="auto"/>
            </w:tcBorders>
            <w:shd w:val="clear" w:color="auto" w:fill="auto"/>
          </w:tcPr>
          <w:p w:rsidR="00B03921" w:rsidRPr="0082587A" w:rsidRDefault="00B03921" w:rsidP="00016914">
            <w:pPr>
              <w:pStyle w:val="Tabletext"/>
              <w:ind w:left="0" w:firstLine="0"/>
              <w:rPr>
                <w:sz w:val="19"/>
              </w:rPr>
            </w:pPr>
            <w:r w:rsidRPr="0082587A">
              <w:rPr>
                <w:sz w:val="19"/>
              </w:rPr>
              <w:t>The Auditor</w:t>
            </w:r>
            <w:r w:rsidRPr="0082587A">
              <w:rPr>
                <w:sz w:val="19"/>
              </w:rPr>
              <w:noBreakHyphen/>
              <w:t>General reviews and reports on the estimated financial statements to ensure they are consistent with accounting convention and that the methodologies and assumptions used are reasonable.</w:t>
            </w:r>
          </w:p>
        </w:tc>
        <w:tc>
          <w:tcPr>
            <w:tcW w:w="141" w:type="dxa"/>
            <w:tcBorders>
              <w:bottom w:val="single" w:sz="12" w:space="0" w:color="auto"/>
            </w:tcBorders>
            <w:shd w:val="clear" w:color="auto" w:fill="auto"/>
          </w:tcPr>
          <w:p w:rsidR="00B03921" w:rsidRPr="000738E7" w:rsidRDefault="00B03921" w:rsidP="00016914">
            <w:pPr>
              <w:pStyle w:val="Tabletext"/>
              <w:ind w:left="0" w:firstLine="0"/>
              <w:rPr>
                <w:sz w:val="19"/>
                <w:highlight w:val="yellow"/>
              </w:rPr>
            </w:pPr>
          </w:p>
        </w:tc>
        <w:tc>
          <w:tcPr>
            <w:tcW w:w="3218" w:type="dxa"/>
            <w:tcBorders>
              <w:bottom w:val="single" w:sz="12" w:space="0" w:color="auto"/>
            </w:tcBorders>
            <w:shd w:val="clear" w:color="auto" w:fill="auto"/>
          </w:tcPr>
          <w:p w:rsidR="00B03921" w:rsidRPr="00096F44" w:rsidRDefault="00B03921" w:rsidP="00016914">
            <w:pPr>
              <w:pStyle w:val="Tabletext"/>
              <w:ind w:left="0" w:firstLine="0"/>
              <w:rPr>
                <w:sz w:val="19"/>
              </w:rPr>
            </w:pPr>
            <w:r w:rsidRPr="00096F44">
              <w:rPr>
                <w:sz w:val="19"/>
              </w:rPr>
              <w:t xml:space="preserve">Budget Paper No. 5, Chapter 1 </w:t>
            </w:r>
            <w:r w:rsidRPr="00096F44">
              <w:rPr>
                <w:i/>
                <w:sz w:val="19"/>
              </w:rPr>
              <w:t xml:space="preserve">Estimated Financial Statements for the general government sector </w:t>
            </w:r>
            <w:r w:rsidRPr="00096F44">
              <w:rPr>
                <w:sz w:val="19"/>
              </w:rPr>
              <w:t>and notes</w:t>
            </w:r>
          </w:p>
        </w:tc>
      </w:tr>
    </w:tbl>
    <w:p w:rsidR="00B03921" w:rsidRDefault="00B03921" w:rsidP="00016914">
      <w:pPr>
        <w:sectPr w:rsidR="00B03921" w:rsidSect="00016914">
          <w:headerReference w:type="even" r:id="rId92"/>
          <w:headerReference w:type="default" r:id="rId93"/>
          <w:footerReference w:type="even" r:id="rId94"/>
          <w:footerReference w:type="default" r:id="rId95"/>
          <w:headerReference w:type="first" r:id="rId96"/>
          <w:footerReference w:type="first" r:id="rId97"/>
          <w:type w:val="oddPage"/>
          <w:pgSz w:w="9979" w:h="14175" w:code="138"/>
          <w:pgMar w:top="1140" w:right="1140" w:bottom="1140" w:left="1140" w:header="720" w:footer="431" w:gutter="0"/>
          <w:cols w:space="708"/>
          <w:docGrid w:linePitch="360"/>
        </w:sectPr>
      </w:pPr>
    </w:p>
    <w:p w:rsidR="00B03921" w:rsidRDefault="00B03921" w:rsidP="00016914">
      <w:pPr>
        <w:pStyle w:val="ChapterHeading"/>
      </w:pPr>
      <w:bookmarkStart w:id="302" w:name="_Toc323148291"/>
      <w:bookmarkStart w:id="303" w:name="_Toc355289004"/>
      <w:bookmarkStart w:id="304" w:name="_Toc384980541"/>
      <w:bookmarkStart w:id="305" w:name="_Toc386673384"/>
      <w:bookmarkStart w:id="306" w:name="_Toc418274787"/>
      <w:r w:rsidRPr="00605602">
        <w:t>Style</w:t>
      </w:r>
      <w:r>
        <w:t xml:space="preserve"> conventions</w:t>
      </w:r>
      <w:bookmarkEnd w:id="302"/>
      <w:bookmarkEnd w:id="303"/>
      <w:bookmarkEnd w:id="304"/>
      <w:bookmarkEnd w:id="305"/>
      <w:bookmarkEnd w:id="306"/>
    </w:p>
    <w:p w:rsidR="00B03921" w:rsidRDefault="00B03921" w:rsidP="00016914">
      <w:pPr>
        <w:rPr>
          <w:lang w:eastAsia="en-AU"/>
        </w:rPr>
      </w:pPr>
      <w:r>
        <w:rPr>
          <w:lang w:eastAsia="en-AU"/>
        </w:rPr>
        <w:t>Figures in the tables and in the text have been rounded. Discrepancies in tables between totals and sums of components reflect rounding. Percentage changes in all tables are based on the underlying unrounded amounts.</w:t>
      </w:r>
    </w:p>
    <w:p w:rsidR="00B03921" w:rsidRDefault="00B03921" w:rsidP="00016914">
      <w:r>
        <w:t>The notation used in the tables and charts is as follows:</w:t>
      </w:r>
    </w:p>
    <w:p w:rsidR="00B03921" w:rsidRDefault="00B03921" w:rsidP="00016914">
      <w:pPr>
        <w:ind w:left="2520" w:hanging="1800"/>
      </w:pPr>
      <w:r>
        <w:t>n.a.</w:t>
      </w:r>
      <w:r>
        <w:tab/>
        <w:t>not available or not applicable</w:t>
      </w:r>
    </w:p>
    <w:p w:rsidR="00B03921" w:rsidRDefault="00B03921" w:rsidP="00016914">
      <w:pPr>
        <w:ind w:left="2520" w:hanging="1800"/>
      </w:pPr>
      <w:r>
        <w:t>Cat. No.</w:t>
      </w:r>
      <w:r>
        <w:tab/>
        <w:t>catalogue number</w:t>
      </w:r>
    </w:p>
    <w:p w:rsidR="00B03921" w:rsidRDefault="00B03921" w:rsidP="00016914">
      <w:pPr>
        <w:ind w:left="2520" w:hanging="1800"/>
      </w:pPr>
      <w:r>
        <w:t>1 billion</w:t>
      </w:r>
      <w:r>
        <w:tab/>
        <w:t>1 000 million</w:t>
      </w:r>
    </w:p>
    <w:p w:rsidR="00B03921" w:rsidRDefault="00B03921" w:rsidP="00016914">
      <w:pPr>
        <w:ind w:left="2520" w:hanging="1800"/>
      </w:pPr>
      <w:r>
        <w:t>1 basis point</w:t>
      </w:r>
      <w:r>
        <w:tab/>
        <w:t>0.01 per cent</w:t>
      </w:r>
    </w:p>
    <w:p w:rsidR="00B03921" w:rsidRDefault="00B03921" w:rsidP="00016914">
      <w:pPr>
        <w:ind w:left="2520" w:hanging="1800"/>
      </w:pPr>
      <w:r>
        <w:t>..</w:t>
      </w:r>
      <w:r>
        <w:tab/>
        <w:t>zero, or rounded to zero</w:t>
      </w:r>
    </w:p>
    <w:p w:rsidR="00B03921" w:rsidRPr="00AB0AE7" w:rsidRDefault="00B03921" w:rsidP="00016914">
      <w:pPr>
        <w:ind w:left="2520" w:hanging="1800"/>
      </w:pPr>
      <w:r w:rsidRPr="00AB0AE7">
        <w:t>tbc</w:t>
      </w:r>
      <w:r w:rsidRPr="00AB0AE7">
        <w:tab/>
        <w:t>to be confirmed</w:t>
      </w:r>
    </w:p>
    <w:p w:rsidR="00B03921" w:rsidRPr="00AB0AE7" w:rsidRDefault="00B03921" w:rsidP="00016914">
      <w:pPr>
        <w:ind w:left="2520" w:hanging="1800"/>
      </w:pPr>
      <w:r w:rsidRPr="00AB0AE7">
        <w:t>ongoing</w:t>
      </w:r>
      <w:r w:rsidRPr="00AB0AE7">
        <w:tab/>
        <w:t>continuing output, program, project etc.</w:t>
      </w:r>
    </w:p>
    <w:p w:rsidR="00B03921" w:rsidRPr="00AB0AE7" w:rsidRDefault="00B03921" w:rsidP="00016914">
      <w:pPr>
        <w:ind w:left="2517" w:hanging="1797"/>
      </w:pPr>
      <w:r w:rsidRPr="00AB0AE7">
        <w:t>(xxx.x)</w:t>
      </w:r>
      <w:r w:rsidRPr="00AB0AE7">
        <w:tab/>
        <w:t>negative numbers</w:t>
      </w:r>
    </w:p>
    <w:p w:rsidR="00B03921" w:rsidRPr="00AB0AE7" w:rsidRDefault="00B03921" w:rsidP="00016914">
      <w:pPr>
        <w:ind w:left="2517" w:hanging="1797"/>
      </w:pPr>
      <w:r w:rsidRPr="00AB0AE7">
        <w:t>xxxx.0</w:t>
      </w:r>
      <w:r w:rsidRPr="00AB0AE7">
        <w:tab/>
        <w:t>rounded amount</w:t>
      </w:r>
    </w:p>
    <w:p w:rsidR="00B03921" w:rsidRDefault="00B03921" w:rsidP="00016914">
      <w:pPr>
        <w:ind w:left="2517" w:hanging="1797"/>
      </w:pPr>
      <w:r w:rsidRPr="00AB0AE7">
        <w:t>ytd</w:t>
      </w:r>
      <w:r w:rsidRPr="00AB0AE7">
        <w:tab/>
        <w:t>year to date</w:t>
      </w:r>
    </w:p>
    <w:p w:rsidR="00B03921" w:rsidRDefault="00B03921">
      <w:pPr>
        <w:spacing w:after="0"/>
      </w:pPr>
    </w:p>
    <w:p w:rsidR="00B03921" w:rsidRDefault="00B03921">
      <w:pPr>
        <w:spacing w:after="0"/>
      </w:pPr>
    </w:p>
    <w:p w:rsidR="00B03921" w:rsidRDefault="00B03921">
      <w:pPr>
        <w:spacing w:after="0"/>
      </w:pPr>
    </w:p>
    <w:p w:rsidR="00B03921" w:rsidRDefault="00B03921">
      <w:pPr>
        <w:spacing w:after="0"/>
      </w:pPr>
    </w:p>
    <w:p w:rsidR="00B03921" w:rsidRDefault="00B03921">
      <w:pPr>
        <w:spacing w:after="0"/>
      </w:pPr>
      <w:r>
        <w:br w:type="page"/>
      </w:r>
    </w:p>
    <w:p w:rsidR="00B03921" w:rsidRDefault="00B03921" w:rsidP="00016914">
      <w:pPr>
        <w:spacing w:after="0"/>
      </w:pPr>
    </w:p>
    <w:p w:rsidR="00B03921" w:rsidRDefault="00B03921" w:rsidP="00016914"/>
    <w:p w:rsidR="00B03921" w:rsidRDefault="00B03921" w:rsidP="00016914">
      <w:pPr>
        <w:spacing w:after="0"/>
      </w:pPr>
    </w:p>
    <w:p w:rsidR="00B03921" w:rsidRDefault="00B03921" w:rsidP="00016914">
      <w:pPr>
        <w:spacing w:after="0"/>
      </w:pPr>
    </w:p>
    <w:p w:rsidR="00B03921" w:rsidRDefault="00B03921" w:rsidP="00016914">
      <w:pPr>
        <w:spacing w:after="0"/>
      </w:pPr>
    </w:p>
    <w:sectPr w:rsidR="00B03921" w:rsidSect="00016914">
      <w:footerReference w:type="even" r:id="rId98"/>
      <w:footerReference w:type="default" r:id="rId99"/>
      <w:type w:val="oddPage"/>
      <w:pgSz w:w="9979" w:h="14175" w:code="138"/>
      <w:pgMar w:top="1140" w:right="1140" w:bottom="1140" w:left="1140" w:header="720"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972" w:rsidRDefault="00423972">
      <w:pPr>
        <w:spacing w:after="0"/>
      </w:pPr>
      <w:r>
        <w:separator/>
      </w:r>
    </w:p>
  </w:endnote>
  <w:endnote w:type="continuationSeparator" w:id="0">
    <w:p w:rsidR="00423972" w:rsidRDefault="004239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vantGarde Bk BT">
    <w:altName w:val="Arial"/>
    <w:charset w:val="00"/>
    <w:family w:val="swiss"/>
    <w:pitch w:val="variable"/>
    <w:sig w:usb0="00000001" w:usb1="00000000" w:usb2="00000000" w:usb3="00000000" w:csb0="0000001B"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Pr="004816CA" w:rsidRDefault="00423972" w:rsidP="00016914">
    <w:pPr>
      <w:pStyle w:val="Footer"/>
      <w:pBdr>
        <w:top w:val="none" w:sz="0" w:space="0" w:color="auto"/>
      </w:pBdr>
      <w:rPr>
        <w:rStyle w:val="PageNumbe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84</w:t>
    </w:r>
    <w:r>
      <w:rPr>
        <w:rStyle w:val="PageNumber"/>
      </w:rPr>
      <w:fldChar w:fldCharType="end"/>
    </w:r>
    <w:r>
      <w:tab/>
      <w:t>Chapter 2</w:t>
    </w:r>
    <w:r>
      <w:tab/>
      <w:t>2015</w:t>
    </w:r>
    <w:r>
      <w:rPr>
        <w:rStyle w:val="PageNumber"/>
      </w:rPr>
      <w:noBreakHyphen/>
      <w:t>16</w:t>
    </w:r>
    <w:r>
      <w:t xml:space="preserve"> Statement of Finances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Statement of Finances</w:t>
    </w:r>
    <w:r>
      <w:tab/>
      <w:t>Chapter 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r>
      <w:tab/>
      <w:t>Chapter 3</w:t>
    </w:r>
    <w:r>
      <w:tab/>
      <w:t>2015</w:t>
    </w:r>
    <w:r>
      <w:rPr>
        <w:rStyle w:val="PageNumber"/>
      </w:rPr>
      <w:t>-16</w:t>
    </w:r>
    <w:r>
      <w:t xml:space="preserve"> Statement of Finances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t>Chapter 3</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85</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2694"/>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92</w:t>
    </w:r>
    <w:r>
      <w:rPr>
        <w:rStyle w:val="PageNumber"/>
      </w:rPr>
      <w:fldChar w:fldCharType="end"/>
    </w:r>
    <w:r>
      <w:tab/>
    </w:r>
    <w:r w:rsidRPr="00BF295F">
      <w:t>Economic Development, Jobs, Transport and Resources</w:t>
    </w:r>
    <w:r>
      <w:tab/>
      <w:t>2015</w:t>
    </w:r>
    <w:r>
      <w:rPr>
        <w:rStyle w:val="PageNumber"/>
      </w:rPr>
      <w:t>-16</w:t>
    </w:r>
    <w:r>
      <w:t xml:space="preserve"> Statement of Finances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962"/>
        <w:tab w:val="right" w:pos="7655"/>
      </w:tabs>
      <w:spacing w:after="0"/>
      <w:rPr>
        <w:rStyle w:val="PageNumber"/>
      </w:rPr>
    </w:pPr>
    <w:r>
      <w:rPr>
        <w:rStyle w:val="PageNumber"/>
      </w:rPr>
      <w:t>2015-16</w:t>
    </w:r>
    <w:r>
      <w:t xml:space="preserve"> Statement of Finances</w:t>
    </w:r>
    <w:r>
      <w:tab/>
    </w:r>
    <w:r w:rsidRPr="00BF295F">
      <w:t>Economic Development, Jobs, Transport and Resources</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93</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100</w:t>
    </w:r>
    <w:r>
      <w:rPr>
        <w:rStyle w:val="PageNumber"/>
      </w:rPr>
      <w:fldChar w:fldCharType="end"/>
    </w:r>
    <w:r>
      <w:tab/>
    </w:r>
    <w:r w:rsidRPr="00252214">
      <w:t>Education and Training</w:t>
    </w:r>
    <w:r>
      <w:tab/>
      <w:t>2015</w:t>
    </w:r>
    <w:r>
      <w:rPr>
        <w:rStyle w:val="PageNumber"/>
      </w:rPr>
      <w:t>-16</w:t>
    </w:r>
    <w:r>
      <w:t xml:space="preserve"> Statement of Finances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r>
    <w:r w:rsidRPr="00252214">
      <w:t>Education and Training</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99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Pr="004816CA" w:rsidRDefault="00423972" w:rsidP="00016914">
    <w:pPr>
      <w:pStyle w:val="Footer"/>
      <w:pBdr>
        <w:top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106</w:t>
    </w:r>
    <w:r>
      <w:rPr>
        <w:rStyle w:val="PageNumber"/>
      </w:rPr>
      <w:fldChar w:fldCharType="end"/>
    </w:r>
    <w:r>
      <w:tab/>
    </w:r>
    <w:r w:rsidRPr="00C467BB">
      <w:t>Environment, Land, Water and Planning</w:t>
    </w:r>
    <w:r>
      <w:tab/>
      <w:t>2015</w:t>
    </w:r>
    <w:r>
      <w:rPr>
        <w:rStyle w:val="PageNumber"/>
      </w:rPr>
      <w:t>-16</w:t>
    </w:r>
    <w:r>
      <w:t xml:space="preserve"> Statement of Finances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C467BB">
      <w:t>Environment, Land, Water and Planning</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107</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114</w:t>
    </w:r>
    <w:r>
      <w:rPr>
        <w:rStyle w:val="PageNumber"/>
      </w:rPr>
      <w:fldChar w:fldCharType="end"/>
    </w:r>
    <w:r>
      <w:tab/>
    </w:r>
    <w:r w:rsidRPr="00651B6B">
      <w:t>Health and Human Services</w:t>
    </w:r>
    <w:r>
      <w:tab/>
      <w:t>2015</w:t>
    </w:r>
    <w:r>
      <w:rPr>
        <w:rStyle w:val="PageNumber"/>
      </w:rPr>
      <w:t>-16</w:t>
    </w:r>
    <w:r>
      <w:t xml:space="preserve"> Statement of Finances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651B6B">
      <w:t xml:space="preserve">Health </w:t>
    </w:r>
    <w:r>
      <w:t>and</w:t>
    </w:r>
    <w:r w:rsidRPr="00651B6B">
      <w:t xml:space="preserve"> Human Services</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113</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122</w:t>
    </w:r>
    <w:r>
      <w:rPr>
        <w:rStyle w:val="PageNumber"/>
      </w:rPr>
      <w:fldChar w:fldCharType="end"/>
    </w:r>
    <w:r>
      <w:tab/>
    </w:r>
    <w:r w:rsidRPr="00116C9B">
      <w:t xml:space="preserve">Justice </w:t>
    </w:r>
    <w:r>
      <w:t>and</w:t>
    </w:r>
    <w:r w:rsidRPr="00116C9B">
      <w:t xml:space="preserve"> Regulation</w:t>
    </w:r>
    <w:r>
      <w:tab/>
      <w:t>2015</w:t>
    </w:r>
    <w:r>
      <w:rPr>
        <w:rStyle w:val="PageNumber"/>
      </w:rPr>
      <w:t>-16</w:t>
    </w:r>
    <w:r>
      <w:t xml:space="preserve"> Statement of Finances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116C9B">
      <w:t xml:space="preserve">Justice </w:t>
    </w:r>
    <w:r>
      <w:t>and</w:t>
    </w:r>
    <w:r w:rsidRPr="00116C9B">
      <w:t xml:space="preserve"> Regulation</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121</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128</w:t>
    </w:r>
    <w:r>
      <w:rPr>
        <w:rStyle w:val="PageNumber"/>
      </w:rPr>
      <w:fldChar w:fldCharType="end"/>
    </w:r>
    <w:r>
      <w:tab/>
    </w:r>
    <w:r w:rsidRPr="00E90A09">
      <w:t>Premier and Cabinet</w:t>
    </w:r>
    <w:r>
      <w:tab/>
      <w:t>2015</w:t>
    </w:r>
    <w:r>
      <w:rPr>
        <w:rStyle w:val="PageNumber"/>
      </w:rPr>
      <w:t>-16</w:t>
    </w:r>
    <w:r>
      <w:t xml:space="preserve"> Statement of Finances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E90A09">
      <w:t>Premier and Cabinet</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129</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136</w:t>
    </w:r>
    <w:r>
      <w:rPr>
        <w:rStyle w:val="PageNumber"/>
      </w:rPr>
      <w:fldChar w:fldCharType="end"/>
    </w:r>
    <w:r>
      <w:tab/>
    </w:r>
    <w:r w:rsidRPr="00A5300F">
      <w:t>Treasury and Finance</w:t>
    </w:r>
    <w:r>
      <w:tab/>
      <w:t>2015</w:t>
    </w:r>
    <w:r>
      <w:rPr>
        <w:rStyle w:val="PageNumber"/>
      </w:rPr>
      <w:t>-16</w:t>
    </w:r>
    <w:r>
      <w:t xml:space="preserve"> Statement of Finances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C97E08">
    <w:pPr>
      <w:pStyle w:val="Footer"/>
      <w:tabs>
        <w:tab w:val="clear" w:pos="7085"/>
        <w:tab w:val="center" w:pos="2694"/>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1C18AD">
      <w:rPr>
        <w:rStyle w:val="PageNumber"/>
        <w:noProof/>
      </w:rPr>
      <w:t>ii</w:t>
    </w:r>
    <w:r>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A5300F">
      <w:t>Treasury and Finance</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137</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142</w:t>
    </w:r>
    <w:r>
      <w:rPr>
        <w:rStyle w:val="PageNumber"/>
      </w:rPr>
      <w:fldChar w:fldCharType="end"/>
    </w:r>
    <w:r>
      <w:tab/>
    </w:r>
    <w:r w:rsidRPr="0066579C">
      <w:t>Parliament</w:t>
    </w:r>
    <w:r>
      <w:tab/>
      <w:t>2015</w:t>
    </w:r>
    <w:r>
      <w:rPr>
        <w:rStyle w:val="PageNumber"/>
      </w:rPr>
      <w:t>-16</w:t>
    </w:r>
    <w:r>
      <w:t xml:space="preserve"> Statement of Finances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t>Parliament</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143</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148</w:t>
    </w:r>
    <w:r>
      <w:rPr>
        <w:rStyle w:val="PageNumber"/>
      </w:rPr>
      <w:fldChar w:fldCharType="end"/>
    </w:r>
    <w:r>
      <w:tab/>
      <w:t>Courts</w:t>
    </w:r>
    <w:r>
      <w:tab/>
      <w:t>2015</w:t>
    </w:r>
    <w:r>
      <w:rPr>
        <w:rStyle w:val="PageNumber"/>
      </w:rPr>
      <w:t>-16</w:t>
    </w:r>
    <w:r>
      <w:t xml:space="preserve"> Statement of Finances</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t>Courts</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149</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154</w:t>
    </w:r>
    <w:r>
      <w:rPr>
        <w:rStyle w:val="PageNumber"/>
      </w:rPr>
      <w:fldChar w:fldCharType="end"/>
    </w:r>
    <w:r>
      <w:tab/>
    </w:r>
    <w:r w:rsidRPr="00651B6B">
      <w:t>Human Services</w:t>
    </w:r>
    <w:r>
      <w:tab/>
      <w:t>2015</w:t>
    </w:r>
    <w:r>
      <w:rPr>
        <w:rStyle w:val="PageNumber"/>
      </w:rPr>
      <w:t>-16</w:t>
    </w:r>
    <w:r>
      <w:t xml:space="preserve"> Statement of Finances</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pBdr>
        <w:top w:val="single" w:sz="6" w:space="0" w:color="auto"/>
      </w:pBdr>
      <w:tabs>
        <w:tab w:val="clear" w:pos="7085"/>
        <w:tab w:val="center" w:pos="4820"/>
        <w:tab w:val="right" w:pos="7655"/>
      </w:tabs>
      <w:spacing w:after="0"/>
      <w:rPr>
        <w:rStyle w:val="PageNumber"/>
      </w:rPr>
    </w:pPr>
    <w:r>
      <w:rPr>
        <w:rStyle w:val="PageNumber"/>
      </w:rPr>
      <w:t>2015-16</w:t>
    </w:r>
    <w:r>
      <w:t xml:space="preserve"> Statement of Finances</w:t>
    </w:r>
    <w:r>
      <w:tab/>
    </w:r>
    <w:r w:rsidRPr="00651B6B">
      <w:t>Human Services</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155</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552"/>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162</w:t>
    </w:r>
    <w:r>
      <w:rPr>
        <w:rStyle w:val="PageNumber"/>
      </w:rPr>
      <w:fldChar w:fldCharType="end"/>
    </w:r>
    <w:r>
      <w:tab/>
    </w:r>
    <w:r w:rsidRPr="007217EC">
      <w:t>Transport, Planning and Local Infrastructure</w:t>
    </w:r>
    <w:r>
      <w:tab/>
      <w:t>2015</w:t>
    </w:r>
    <w:r>
      <w:rPr>
        <w:rStyle w:val="PageNumber"/>
      </w:rPr>
      <w:t>-16</w:t>
    </w:r>
    <w:r>
      <w:t xml:space="preserve"> Statement of Finances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t xml:space="preserve">Transport, Planning </w:t>
    </w:r>
    <w:r w:rsidRPr="00BF295F">
      <w:t xml:space="preserve">and </w:t>
    </w:r>
    <w:r>
      <w:t>Local Infrastructure</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161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C97E08">
    <w:pPr>
      <w:pStyle w:val="Footer"/>
      <w:tabs>
        <w:tab w:val="clear" w:pos="7085"/>
        <w:tab w:val="center" w:pos="5103"/>
        <w:tab w:val="right" w:pos="7655"/>
      </w:tabs>
      <w:spacing w:after="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1C18AD">
      <w:rPr>
        <w:rStyle w:val="PageNumber"/>
        <w:noProof/>
      </w:rPr>
      <w:t>i</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E20B42">
    <w:pPr>
      <w:pStyle w:val="Footer"/>
      <w:tabs>
        <w:tab w:val="clear" w:pos="7085"/>
        <w:tab w:val="center" w:pos="2693"/>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186</w:t>
    </w:r>
    <w:r>
      <w:rPr>
        <w:rStyle w:val="PageNumber"/>
      </w:rPr>
      <w:fldChar w:fldCharType="end"/>
    </w:r>
    <w:r>
      <w:tab/>
      <w:t>Chapter 4</w:t>
    </w:r>
    <w:r>
      <w:tab/>
      <w:t>2015</w:t>
    </w:r>
    <w:r>
      <w:rPr>
        <w:rStyle w:val="PageNumber"/>
      </w:rPr>
      <w:t>-16</w:t>
    </w:r>
    <w:r>
      <w:t xml:space="preserve"> Statement of Finances</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t>Chapter 4</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185</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196</w:t>
    </w:r>
    <w:r>
      <w:rPr>
        <w:rStyle w:val="PageNumber"/>
      </w:rPr>
      <w:fldChar w:fldCharType="end"/>
    </w:r>
    <w:r>
      <w:tab/>
      <w:t>Chapter 5</w:t>
    </w:r>
    <w:r>
      <w:tab/>
      <w:t>2015</w:t>
    </w:r>
    <w:r>
      <w:rPr>
        <w:rStyle w:val="PageNumber"/>
      </w:rPr>
      <w:noBreakHyphen/>
      <w:t>16</w:t>
    </w:r>
    <w:r>
      <w:t xml:space="preserve"> Statement of Finances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Statement of Finances</w:t>
    </w:r>
    <w:r>
      <w:tab/>
      <w:t>Chapter 5</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195</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204</w:t>
    </w:r>
    <w:r>
      <w:rPr>
        <w:rStyle w:val="PageNumber"/>
      </w:rPr>
      <w:fldChar w:fldCharType="end"/>
    </w:r>
    <w:r>
      <w:tab/>
      <w:t>Chapter 6</w:t>
    </w:r>
    <w:r>
      <w:tab/>
      <w:t>2015</w:t>
    </w:r>
    <w:r>
      <w:rPr>
        <w:rStyle w:val="PageNumber"/>
      </w:rPr>
      <w:noBreakHyphen/>
      <w:t>16</w:t>
    </w:r>
    <w:r>
      <w:t xml:space="preserve"> Statement of Finances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Statement of Finances</w:t>
    </w:r>
    <w:r>
      <w:tab/>
      <w:t>Chapter 6</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203</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220</w:t>
    </w:r>
    <w:r>
      <w:rPr>
        <w:rStyle w:val="PageNumber"/>
      </w:rPr>
      <w:fldChar w:fldCharType="end"/>
    </w:r>
    <w:r>
      <w:tab/>
      <w:t>Appendix A</w:t>
    </w:r>
    <w:r>
      <w:tab/>
      <w:t>2015</w:t>
    </w:r>
    <w:r>
      <w:rPr>
        <w:rStyle w:val="PageNumber"/>
      </w:rPr>
      <w:noBreakHyphen/>
      <w:t>16</w:t>
    </w:r>
    <w:r>
      <w:t xml:space="preserve"> Statement of Finances</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Statement of Finances</w:t>
    </w:r>
    <w:r>
      <w:tab/>
      <w:t>Appendix A</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219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50285A">
    <w:pPr>
      <w:pStyle w:val="Footer"/>
      <w:tabs>
        <w:tab w:val="clear" w:pos="7085"/>
        <w:tab w:val="center" w:pos="2693"/>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256</w:t>
    </w:r>
    <w:r>
      <w:rPr>
        <w:rStyle w:val="PageNumber"/>
      </w:rPr>
      <w:fldChar w:fldCharType="end"/>
    </w:r>
    <w:r>
      <w:tab/>
      <w:t>Appendix B</w:t>
    </w:r>
    <w:r>
      <w:tab/>
      <w:t>2015</w:t>
    </w:r>
    <w:r>
      <w:rPr>
        <w:rStyle w:val="PageNumber"/>
      </w:rPr>
      <w:t>-16</w:t>
    </w:r>
    <w:r>
      <w:t xml:space="preserve"> Statement of Finances</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t>Appendix B</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255</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50285A">
    <w:pPr>
      <w:pStyle w:val="Footer"/>
      <w:tabs>
        <w:tab w:val="clear" w:pos="7085"/>
        <w:tab w:val="center" w:pos="2693"/>
        <w:tab w:val="center" w:pos="2835"/>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258</w:t>
    </w:r>
    <w:r>
      <w:rPr>
        <w:rStyle w:val="PageNumber"/>
      </w:rPr>
      <w:fldChar w:fldCharType="end"/>
    </w:r>
    <w:r>
      <w:tab/>
      <w:t>Appendix C</w:t>
    </w:r>
    <w:r>
      <w:tab/>
      <w:t>2015</w:t>
    </w:r>
    <w:r>
      <w:rPr>
        <w:rStyle w:val="PageNumber"/>
      </w:rPr>
      <w:t>-16</w:t>
    </w:r>
    <w:r>
      <w:t xml:space="preserve"> Statement of Finances</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D22EC9">
    <w:pPr>
      <w:pStyle w:val="Footer"/>
      <w:tabs>
        <w:tab w:val="clear" w:pos="7085"/>
        <w:tab w:val="center" w:pos="4820"/>
        <w:tab w:val="right" w:pos="7655"/>
      </w:tabs>
      <w:spacing w:after="0"/>
      <w:rPr>
        <w:rStyle w:val="PageNumber"/>
      </w:rPr>
    </w:pPr>
    <w:r>
      <w:rPr>
        <w:rStyle w:val="PageNumber"/>
      </w:rPr>
      <w:t>2015-16</w:t>
    </w:r>
    <w:r>
      <w:t xml:space="preserve"> Statement of Finances</w:t>
    </w:r>
    <w:r>
      <w:tab/>
      <w:t>Appendix C</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257</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260</w:t>
    </w:r>
    <w:r>
      <w:rPr>
        <w:rStyle w:val="PageNumber"/>
      </w:rPr>
      <w:fldChar w:fldCharType="end"/>
    </w:r>
    <w:r>
      <w:tab/>
      <w:t>Style Conventions</w:t>
    </w:r>
    <w:r>
      <w:tab/>
      <w:t>2015</w:t>
    </w:r>
    <w:r>
      <w:rPr>
        <w:rStyle w:val="PageNumber"/>
      </w:rPr>
      <w:t>-16</w:t>
    </w:r>
    <w:r>
      <w:t xml:space="preserve"> Statement of Finances</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2015-16</w:t>
    </w:r>
    <w:r>
      <w:t xml:space="preserve"> Statement of Finances</w:t>
    </w:r>
    <w:r>
      <w:tab/>
      <w:t>Style Conventions</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259</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50285A">
    <w:pPr>
      <w:pStyle w:val="Footer"/>
      <w:tabs>
        <w:tab w:val="clear" w:pos="7085"/>
        <w:tab w:val="center" w:pos="2693"/>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1C18AD">
      <w:rPr>
        <w:rStyle w:val="PageNumber"/>
        <w:noProof/>
      </w:rPr>
      <w:t>10</w:t>
    </w:r>
    <w:r>
      <w:rPr>
        <w:rStyle w:val="PageNumber"/>
      </w:rPr>
      <w:fldChar w:fldCharType="end"/>
    </w:r>
    <w:r>
      <w:tab/>
      <w:t>Chapter 1</w:t>
    </w:r>
    <w:r>
      <w:tab/>
      <w:t>2015</w:t>
    </w:r>
    <w:r>
      <w:rPr>
        <w:rStyle w:val="PageNumber"/>
      </w:rPr>
      <w:noBreakHyphen/>
      <w:t>16</w:t>
    </w:r>
    <w:r>
      <w:t xml:space="preserve"> Statement of Finances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5103"/>
        <w:tab w:val="right" w:pos="7655"/>
      </w:tabs>
      <w:spacing w:after="0"/>
      <w:rPr>
        <w:rStyle w:val="PageNumber"/>
      </w:rPr>
    </w:pPr>
    <w:r>
      <w:rPr>
        <w:rStyle w:val="PageNumber"/>
      </w:rPr>
      <w:t>2015</w:t>
    </w:r>
    <w:r>
      <w:rPr>
        <w:rStyle w:val="PageNumber"/>
      </w:rPr>
      <w:noBreakHyphen/>
      <w:t>16</w:t>
    </w:r>
    <w:r>
      <w:t xml:space="preserve"> Statement of Finances</w:t>
    </w:r>
    <w:r>
      <w:tab/>
      <w:t>Chapter 1</w:t>
    </w:r>
    <w:r>
      <w:tab/>
    </w:r>
    <w:r>
      <w:rPr>
        <w:rStyle w:val="PageNumber"/>
      </w:rPr>
      <w:fldChar w:fldCharType="begin"/>
    </w:r>
    <w:r>
      <w:rPr>
        <w:rStyle w:val="PageNumber"/>
      </w:rPr>
      <w:instrText xml:space="preserve"> PAGE </w:instrText>
    </w:r>
    <w:r>
      <w:rPr>
        <w:rStyle w:val="PageNumber"/>
      </w:rPr>
      <w:fldChar w:fldCharType="separate"/>
    </w:r>
    <w:r w:rsidR="001C18AD">
      <w:rPr>
        <w:rStyle w:val="PageNumber"/>
        <w:noProof/>
      </w:rPr>
      <w:t>11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82</w:t>
    </w:r>
    <w:r>
      <w:rPr>
        <w:rStyle w:val="PageNumber"/>
      </w:rPr>
      <w:fldChar w:fldCharType="end"/>
    </w:r>
    <w:r>
      <w:tab/>
      <w:t>Chapter 2</w:t>
    </w:r>
    <w:r>
      <w:tab/>
      <w:t>2015</w:t>
    </w:r>
    <w:r>
      <w:rPr>
        <w:rStyle w:val="PageNumber"/>
      </w:rPr>
      <w:noBreakHyphen/>
      <w:t>16</w:t>
    </w:r>
    <w:r>
      <w:t xml:space="preserve"> Statement of Finances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rsidP="0001691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Statement of Finances</w:t>
    </w:r>
    <w:r>
      <w:tab/>
      <w:t>Chapter 2</w:t>
    </w:r>
    <w:r>
      <w:tab/>
    </w:r>
    <w:r>
      <w:rPr>
        <w:rStyle w:val="PageNumber"/>
      </w:rPr>
      <w:fldChar w:fldCharType="begin"/>
    </w:r>
    <w:r>
      <w:rPr>
        <w:rStyle w:val="PageNumber"/>
      </w:rPr>
      <w:instrText xml:space="preserve"> PAGE </w:instrText>
    </w:r>
    <w:r>
      <w:rPr>
        <w:rStyle w:val="PageNumber"/>
      </w:rPr>
      <w:fldChar w:fldCharType="separate"/>
    </w:r>
    <w:r w:rsidR="00ED4A19">
      <w:rPr>
        <w:rStyle w:val="PageNumber"/>
        <w:noProof/>
      </w:rPr>
      <w:t>83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972" w:rsidRDefault="00423972">
      <w:pPr>
        <w:spacing w:after="0"/>
      </w:pPr>
      <w:r>
        <w:separator/>
      </w:r>
    </w:p>
  </w:footnote>
  <w:footnote w:type="continuationSeparator" w:id="0">
    <w:p w:rsidR="00423972" w:rsidRDefault="0042397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2" w:rsidRDefault="00423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AC618"/>
    <w:lvl w:ilvl="0">
      <w:start w:val="1"/>
      <w:numFmt w:val="decimal"/>
      <w:lvlText w:val="%1."/>
      <w:lvlJc w:val="left"/>
      <w:pPr>
        <w:tabs>
          <w:tab w:val="num" w:pos="1492"/>
        </w:tabs>
        <w:ind w:left="1492" w:hanging="360"/>
      </w:pPr>
    </w:lvl>
  </w:abstractNum>
  <w:abstractNum w:abstractNumId="1">
    <w:nsid w:val="FFFFFF7D"/>
    <w:multiLevelType w:val="singleLevel"/>
    <w:tmpl w:val="2C0AD1D2"/>
    <w:lvl w:ilvl="0">
      <w:start w:val="1"/>
      <w:numFmt w:val="decimal"/>
      <w:lvlText w:val="%1."/>
      <w:lvlJc w:val="left"/>
      <w:pPr>
        <w:tabs>
          <w:tab w:val="num" w:pos="1209"/>
        </w:tabs>
        <w:ind w:left="1209" w:hanging="360"/>
      </w:pPr>
    </w:lvl>
  </w:abstractNum>
  <w:abstractNum w:abstractNumId="2">
    <w:nsid w:val="FFFFFF7E"/>
    <w:multiLevelType w:val="singleLevel"/>
    <w:tmpl w:val="8692012C"/>
    <w:lvl w:ilvl="0">
      <w:start w:val="1"/>
      <w:numFmt w:val="decimal"/>
      <w:lvlText w:val="%1."/>
      <w:lvlJc w:val="left"/>
      <w:pPr>
        <w:tabs>
          <w:tab w:val="num" w:pos="926"/>
        </w:tabs>
        <w:ind w:left="926" w:hanging="360"/>
      </w:pPr>
    </w:lvl>
  </w:abstractNum>
  <w:abstractNum w:abstractNumId="3">
    <w:nsid w:val="FFFFFF7F"/>
    <w:multiLevelType w:val="singleLevel"/>
    <w:tmpl w:val="C5A041CC"/>
    <w:lvl w:ilvl="0">
      <w:start w:val="1"/>
      <w:numFmt w:val="decimal"/>
      <w:lvlText w:val="%1."/>
      <w:lvlJc w:val="left"/>
      <w:pPr>
        <w:tabs>
          <w:tab w:val="num" w:pos="643"/>
        </w:tabs>
        <w:ind w:left="643" w:hanging="360"/>
      </w:pPr>
    </w:lvl>
  </w:abstractNum>
  <w:abstractNum w:abstractNumId="4">
    <w:nsid w:val="FFFFFF80"/>
    <w:multiLevelType w:val="singleLevel"/>
    <w:tmpl w:val="AEC449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2E30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CED8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424D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863DE"/>
    <w:lvl w:ilvl="0">
      <w:start w:val="1"/>
      <w:numFmt w:val="decimal"/>
      <w:lvlText w:val="%1."/>
      <w:lvlJc w:val="left"/>
      <w:pPr>
        <w:tabs>
          <w:tab w:val="num" w:pos="360"/>
        </w:tabs>
        <w:ind w:left="360" w:hanging="360"/>
      </w:pPr>
    </w:lvl>
  </w:abstractNum>
  <w:abstractNum w:abstractNumId="9">
    <w:nsid w:val="FFFFFF89"/>
    <w:multiLevelType w:val="singleLevel"/>
    <w:tmpl w:val="CD0278C6"/>
    <w:lvl w:ilvl="0">
      <w:start w:val="1"/>
      <w:numFmt w:val="bullet"/>
      <w:lvlText w:val=""/>
      <w:lvlJc w:val="left"/>
      <w:pPr>
        <w:tabs>
          <w:tab w:val="num" w:pos="360"/>
        </w:tabs>
        <w:ind w:left="360" w:hanging="360"/>
      </w:pPr>
      <w:rPr>
        <w:rFonts w:ascii="Symbol" w:hAnsi="Symbol" w:hint="default"/>
      </w:rPr>
    </w:lvl>
  </w:abstractNum>
  <w:abstractNum w:abstractNumId="10">
    <w:nsid w:val="03B727D7"/>
    <w:multiLevelType w:val="hybridMultilevel"/>
    <w:tmpl w:val="3F589A3E"/>
    <w:lvl w:ilvl="0" w:tplc="76CA82C4">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2">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BB25941"/>
    <w:multiLevelType w:val="hybridMultilevel"/>
    <w:tmpl w:val="9C1EB3F8"/>
    <w:lvl w:ilvl="0" w:tplc="820696C2">
      <w:numFmt w:val="bullet"/>
      <w:lvlText w:val=""/>
      <w:lvlJc w:val="left"/>
      <w:pPr>
        <w:ind w:left="360" w:hanging="360"/>
      </w:pPr>
      <w:rPr>
        <w:rFonts w:ascii="Symbol" w:eastAsia="Times New Roman"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D0C3FB2"/>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9267CE4"/>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1557698"/>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2">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nsid w:val="2D2D46A5"/>
    <w:multiLevelType w:val="hybridMultilevel"/>
    <w:tmpl w:val="19483B06"/>
    <w:lvl w:ilvl="0" w:tplc="963870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0584C08"/>
    <w:multiLevelType w:val="hybridMultilevel"/>
    <w:tmpl w:val="A1220298"/>
    <w:lvl w:ilvl="0" w:tplc="B0FAE46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840289F"/>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9746112"/>
    <w:multiLevelType w:val="hybridMultilevel"/>
    <w:tmpl w:val="B8065748"/>
    <w:lvl w:ilvl="0" w:tplc="59F68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CFC52E9"/>
    <w:multiLevelType w:val="hybridMultilevel"/>
    <w:tmpl w:val="29C2504A"/>
    <w:lvl w:ilvl="0" w:tplc="A546E8C2">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00F47E7"/>
    <w:multiLevelType w:val="hybridMultilevel"/>
    <w:tmpl w:val="A2947DB8"/>
    <w:lvl w:ilvl="0" w:tplc="5A9A51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58671A9"/>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6224C79"/>
    <w:multiLevelType w:val="hybridMultilevel"/>
    <w:tmpl w:val="A1220298"/>
    <w:lvl w:ilvl="0" w:tplc="B0FAE46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A2C4E32"/>
    <w:multiLevelType w:val="multilevel"/>
    <w:tmpl w:val="5FFA8F6A"/>
    <w:lvl w:ilvl="0">
      <w:start w:val="1"/>
      <w:numFmt w:val="upperLetter"/>
      <w:lvlText w:val="(%1)"/>
      <w:lvlJc w:val="left"/>
      <w:pPr>
        <w:tabs>
          <w:tab w:val="num" w:pos="720"/>
        </w:tabs>
        <w:ind w:left="720" w:hanging="720"/>
      </w:pPr>
      <w:rPr>
        <w:rFonts w:ascii="Arial" w:hAnsi="Arial"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50F5022A"/>
    <w:multiLevelType w:val="hybridMultilevel"/>
    <w:tmpl w:val="FA2C036E"/>
    <w:lvl w:ilvl="0" w:tplc="734002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6984B24"/>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7">
    <w:nsid w:val="65FA72C0"/>
    <w:multiLevelType w:val="hybridMultilevel"/>
    <w:tmpl w:val="D85A8DEA"/>
    <w:lvl w:ilvl="0" w:tplc="8F68FB92">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9">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6FAC59ED"/>
    <w:multiLevelType w:val="hybridMultilevel"/>
    <w:tmpl w:val="3EC80C8E"/>
    <w:lvl w:ilvl="0" w:tplc="820696C2">
      <w:numFmt w:val="bullet"/>
      <w:lvlText w:val=""/>
      <w:lvlJc w:val="left"/>
      <w:pPr>
        <w:ind w:left="720" w:hanging="360"/>
      </w:pPr>
      <w:rPr>
        <w:rFonts w:ascii="Symbol" w:eastAsia="Times New Roman"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abstractNum w:abstractNumId="44">
    <w:nsid w:val="79C72970"/>
    <w:multiLevelType w:val="hybridMultilevel"/>
    <w:tmpl w:val="F1504E3C"/>
    <w:lvl w:ilvl="0" w:tplc="62AA8E7E">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36"/>
  </w:num>
  <w:num w:numId="3">
    <w:abstractNumId w:val="39"/>
  </w:num>
  <w:num w:numId="4">
    <w:abstractNumId w:val="23"/>
  </w:num>
  <w:num w:numId="5">
    <w:abstractNumId w:val="28"/>
  </w:num>
  <w:num w:numId="6">
    <w:abstractNumId w:val="22"/>
  </w:num>
  <w:num w:numId="7">
    <w:abstractNumId w:val="25"/>
  </w:num>
  <w:num w:numId="8">
    <w:abstractNumId w:val="34"/>
  </w:num>
  <w:num w:numId="9">
    <w:abstractNumId w:val="9"/>
  </w:num>
  <w:num w:numId="10">
    <w:abstractNumId w:val="13"/>
  </w:num>
  <w:num w:numId="11">
    <w:abstractNumId w:val="43"/>
  </w:num>
  <w:num w:numId="12">
    <w:abstractNumId w:val="7"/>
  </w:num>
  <w:num w:numId="13">
    <w:abstractNumId w:val="21"/>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8"/>
  </w:num>
  <w:num w:numId="23">
    <w:abstractNumId w:val="17"/>
  </w:num>
  <w:num w:numId="24">
    <w:abstractNumId w:val="33"/>
  </w:num>
  <w:num w:numId="25">
    <w:abstractNumId w:val="12"/>
  </w:num>
  <w:num w:numId="26">
    <w:abstractNumId w:val="19"/>
  </w:num>
  <w:num w:numId="27">
    <w:abstractNumId w:val="41"/>
  </w:num>
  <w:num w:numId="28">
    <w:abstractNumId w:val="14"/>
  </w:num>
  <w:num w:numId="29">
    <w:abstractNumId w:val="42"/>
  </w:num>
  <w:num w:numId="30">
    <w:abstractNumId w:val="20"/>
  </w:num>
  <w:num w:numId="31">
    <w:abstractNumId w:val="18"/>
  </w:num>
  <w:num w:numId="32">
    <w:abstractNumId w:val="30"/>
  </w:num>
  <w:num w:numId="33">
    <w:abstractNumId w:val="15"/>
  </w:num>
  <w:num w:numId="34">
    <w:abstractNumId w:val="32"/>
  </w:num>
  <w:num w:numId="35">
    <w:abstractNumId w:val="35"/>
  </w:num>
  <w:num w:numId="36">
    <w:abstractNumId w:val="26"/>
  </w:num>
  <w:num w:numId="37">
    <w:abstractNumId w:val="16"/>
  </w:num>
  <w:num w:numId="38">
    <w:abstractNumId w:val="27"/>
  </w:num>
  <w:num w:numId="39">
    <w:abstractNumId w:val="24"/>
  </w:num>
  <w:num w:numId="40">
    <w:abstractNumId w:val="10"/>
  </w:num>
  <w:num w:numId="41">
    <w:abstractNumId w:val="29"/>
  </w:num>
  <w:num w:numId="42">
    <w:abstractNumId w:val="37"/>
  </w:num>
  <w:num w:numId="43">
    <w:abstractNumId w:val="44"/>
  </w:num>
  <w:num w:numId="44">
    <w:abstractNumId w:val="31"/>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2A7"/>
    <w:rsid w:val="00004219"/>
    <w:rsid w:val="00006F06"/>
    <w:rsid w:val="00016914"/>
    <w:rsid w:val="00020E91"/>
    <w:rsid w:val="00021CE5"/>
    <w:rsid w:val="000221B3"/>
    <w:rsid w:val="00031488"/>
    <w:rsid w:val="00032E74"/>
    <w:rsid w:val="00035734"/>
    <w:rsid w:val="000362EA"/>
    <w:rsid w:val="00041292"/>
    <w:rsid w:val="00043F9F"/>
    <w:rsid w:val="000451B1"/>
    <w:rsid w:val="00050885"/>
    <w:rsid w:val="000542A7"/>
    <w:rsid w:val="00056F1F"/>
    <w:rsid w:val="00060942"/>
    <w:rsid w:val="00061F50"/>
    <w:rsid w:val="00064FD8"/>
    <w:rsid w:val="00066FD9"/>
    <w:rsid w:val="00076137"/>
    <w:rsid w:val="000771C1"/>
    <w:rsid w:val="000804F8"/>
    <w:rsid w:val="000868E5"/>
    <w:rsid w:val="000925EA"/>
    <w:rsid w:val="00093898"/>
    <w:rsid w:val="000A5321"/>
    <w:rsid w:val="000B1105"/>
    <w:rsid w:val="000B12EE"/>
    <w:rsid w:val="000B1B53"/>
    <w:rsid w:val="000B2895"/>
    <w:rsid w:val="000C0291"/>
    <w:rsid w:val="000C0A43"/>
    <w:rsid w:val="000C1027"/>
    <w:rsid w:val="000C18E1"/>
    <w:rsid w:val="000D652A"/>
    <w:rsid w:val="000D6920"/>
    <w:rsid w:val="000E725D"/>
    <w:rsid w:val="000F6CCB"/>
    <w:rsid w:val="00100FCC"/>
    <w:rsid w:val="001037D3"/>
    <w:rsid w:val="0010665C"/>
    <w:rsid w:val="00130570"/>
    <w:rsid w:val="001368DE"/>
    <w:rsid w:val="00140C5B"/>
    <w:rsid w:val="00150C34"/>
    <w:rsid w:val="00154535"/>
    <w:rsid w:val="0015668D"/>
    <w:rsid w:val="00162C1B"/>
    <w:rsid w:val="0016459F"/>
    <w:rsid w:val="001664D4"/>
    <w:rsid w:val="00170A52"/>
    <w:rsid w:val="00176CD6"/>
    <w:rsid w:val="0017767A"/>
    <w:rsid w:val="001802F3"/>
    <w:rsid w:val="00185277"/>
    <w:rsid w:val="001856DE"/>
    <w:rsid w:val="001A469A"/>
    <w:rsid w:val="001B3564"/>
    <w:rsid w:val="001C0D0F"/>
    <w:rsid w:val="001C18AD"/>
    <w:rsid w:val="001C1EAD"/>
    <w:rsid w:val="001C2F60"/>
    <w:rsid w:val="001C35F6"/>
    <w:rsid w:val="001C6D0D"/>
    <w:rsid w:val="001D18E7"/>
    <w:rsid w:val="001E15F3"/>
    <w:rsid w:val="001E6158"/>
    <w:rsid w:val="001F3DDD"/>
    <w:rsid w:val="001F4F89"/>
    <w:rsid w:val="0020013B"/>
    <w:rsid w:val="00202D66"/>
    <w:rsid w:val="00203B64"/>
    <w:rsid w:val="0020604E"/>
    <w:rsid w:val="00225DCD"/>
    <w:rsid w:val="0023358D"/>
    <w:rsid w:val="00236689"/>
    <w:rsid w:val="00240744"/>
    <w:rsid w:val="002411D9"/>
    <w:rsid w:val="00245DCF"/>
    <w:rsid w:val="00255E85"/>
    <w:rsid w:val="0025606D"/>
    <w:rsid w:val="002733B3"/>
    <w:rsid w:val="00282839"/>
    <w:rsid w:val="00292D6D"/>
    <w:rsid w:val="002B15CD"/>
    <w:rsid w:val="002B5189"/>
    <w:rsid w:val="002C04C2"/>
    <w:rsid w:val="002C1C0D"/>
    <w:rsid w:val="002D0C50"/>
    <w:rsid w:val="002D4189"/>
    <w:rsid w:val="002D7692"/>
    <w:rsid w:val="002E0D69"/>
    <w:rsid w:val="002E31A2"/>
    <w:rsid w:val="002E5C62"/>
    <w:rsid w:val="002E696F"/>
    <w:rsid w:val="002F3CB5"/>
    <w:rsid w:val="003010A2"/>
    <w:rsid w:val="00302525"/>
    <w:rsid w:val="00304F91"/>
    <w:rsid w:val="00307E95"/>
    <w:rsid w:val="00322573"/>
    <w:rsid w:val="00322DD7"/>
    <w:rsid w:val="003233E0"/>
    <w:rsid w:val="003259E9"/>
    <w:rsid w:val="0032698D"/>
    <w:rsid w:val="0033005B"/>
    <w:rsid w:val="003352CE"/>
    <w:rsid w:val="00341734"/>
    <w:rsid w:val="00341E1B"/>
    <w:rsid w:val="00342ECD"/>
    <w:rsid w:val="00346956"/>
    <w:rsid w:val="00346AFE"/>
    <w:rsid w:val="003511F8"/>
    <w:rsid w:val="003553FF"/>
    <w:rsid w:val="00355F9B"/>
    <w:rsid w:val="00364C8B"/>
    <w:rsid w:val="0036725D"/>
    <w:rsid w:val="003819A4"/>
    <w:rsid w:val="00382EC5"/>
    <w:rsid w:val="003926C8"/>
    <w:rsid w:val="0039472C"/>
    <w:rsid w:val="0039576F"/>
    <w:rsid w:val="00397F02"/>
    <w:rsid w:val="003A3D44"/>
    <w:rsid w:val="003A49D8"/>
    <w:rsid w:val="003C0422"/>
    <w:rsid w:val="003C2F48"/>
    <w:rsid w:val="003C3AAE"/>
    <w:rsid w:val="003E2EE8"/>
    <w:rsid w:val="003E31E5"/>
    <w:rsid w:val="003E5374"/>
    <w:rsid w:val="003E5F71"/>
    <w:rsid w:val="003F15E7"/>
    <w:rsid w:val="003F4955"/>
    <w:rsid w:val="00402B50"/>
    <w:rsid w:val="00402D9E"/>
    <w:rsid w:val="004041CD"/>
    <w:rsid w:val="004046AE"/>
    <w:rsid w:val="00406F75"/>
    <w:rsid w:val="00411AEE"/>
    <w:rsid w:val="00411BD1"/>
    <w:rsid w:val="00412BC0"/>
    <w:rsid w:val="00423972"/>
    <w:rsid w:val="004274F6"/>
    <w:rsid w:val="00435CCE"/>
    <w:rsid w:val="004367DF"/>
    <w:rsid w:val="00437861"/>
    <w:rsid w:val="00446F20"/>
    <w:rsid w:val="00455F51"/>
    <w:rsid w:val="00465985"/>
    <w:rsid w:val="0046648A"/>
    <w:rsid w:val="0046774A"/>
    <w:rsid w:val="00472150"/>
    <w:rsid w:val="004723F7"/>
    <w:rsid w:val="0047243E"/>
    <w:rsid w:val="00474006"/>
    <w:rsid w:val="00480ADD"/>
    <w:rsid w:val="004828FB"/>
    <w:rsid w:val="00485CB3"/>
    <w:rsid w:val="00492D93"/>
    <w:rsid w:val="00495FA5"/>
    <w:rsid w:val="00497606"/>
    <w:rsid w:val="00497EDD"/>
    <w:rsid w:val="004C08B1"/>
    <w:rsid w:val="004C3F0D"/>
    <w:rsid w:val="004C654C"/>
    <w:rsid w:val="004C767D"/>
    <w:rsid w:val="004D1FCB"/>
    <w:rsid w:val="004D2300"/>
    <w:rsid w:val="004D392F"/>
    <w:rsid w:val="004D3DE7"/>
    <w:rsid w:val="004F0906"/>
    <w:rsid w:val="004F1592"/>
    <w:rsid w:val="004F6EFF"/>
    <w:rsid w:val="004F779D"/>
    <w:rsid w:val="0050285A"/>
    <w:rsid w:val="00503A10"/>
    <w:rsid w:val="005040D7"/>
    <w:rsid w:val="0050487A"/>
    <w:rsid w:val="0050690B"/>
    <w:rsid w:val="0051195C"/>
    <w:rsid w:val="005142C4"/>
    <w:rsid w:val="00515C51"/>
    <w:rsid w:val="00516DF2"/>
    <w:rsid w:val="00522994"/>
    <w:rsid w:val="00523575"/>
    <w:rsid w:val="00531A3D"/>
    <w:rsid w:val="00533108"/>
    <w:rsid w:val="005429ED"/>
    <w:rsid w:val="00545CA0"/>
    <w:rsid w:val="00547E3B"/>
    <w:rsid w:val="005552E0"/>
    <w:rsid w:val="00557C0E"/>
    <w:rsid w:val="00561253"/>
    <w:rsid w:val="005659B1"/>
    <w:rsid w:val="00565C3C"/>
    <w:rsid w:val="00571E1E"/>
    <w:rsid w:val="00572DD3"/>
    <w:rsid w:val="00576FDF"/>
    <w:rsid w:val="0058089B"/>
    <w:rsid w:val="00595530"/>
    <w:rsid w:val="0059636A"/>
    <w:rsid w:val="00597626"/>
    <w:rsid w:val="005A0574"/>
    <w:rsid w:val="005A6362"/>
    <w:rsid w:val="005A6BE2"/>
    <w:rsid w:val="005A6FB4"/>
    <w:rsid w:val="005B081E"/>
    <w:rsid w:val="005B2863"/>
    <w:rsid w:val="005B41A8"/>
    <w:rsid w:val="005B54F2"/>
    <w:rsid w:val="005C1363"/>
    <w:rsid w:val="005C2876"/>
    <w:rsid w:val="005C361B"/>
    <w:rsid w:val="005C7712"/>
    <w:rsid w:val="005D65C9"/>
    <w:rsid w:val="005D67FF"/>
    <w:rsid w:val="005D76F8"/>
    <w:rsid w:val="005D78C9"/>
    <w:rsid w:val="005E0AA3"/>
    <w:rsid w:val="005E17AB"/>
    <w:rsid w:val="005E5FCA"/>
    <w:rsid w:val="005F343C"/>
    <w:rsid w:val="005F67EF"/>
    <w:rsid w:val="00602BE7"/>
    <w:rsid w:val="00605F2A"/>
    <w:rsid w:val="0060685C"/>
    <w:rsid w:val="00606A43"/>
    <w:rsid w:val="00622026"/>
    <w:rsid w:val="006278B3"/>
    <w:rsid w:val="006306E9"/>
    <w:rsid w:val="00635546"/>
    <w:rsid w:val="00641E21"/>
    <w:rsid w:val="00642BF1"/>
    <w:rsid w:val="00643DF9"/>
    <w:rsid w:val="00654E77"/>
    <w:rsid w:val="0065678D"/>
    <w:rsid w:val="006568CD"/>
    <w:rsid w:val="00657F04"/>
    <w:rsid w:val="00666CB7"/>
    <w:rsid w:val="00667796"/>
    <w:rsid w:val="00674B54"/>
    <w:rsid w:val="00677E49"/>
    <w:rsid w:val="0068185C"/>
    <w:rsid w:val="006833E8"/>
    <w:rsid w:val="006841B2"/>
    <w:rsid w:val="00686543"/>
    <w:rsid w:val="00686678"/>
    <w:rsid w:val="0068681D"/>
    <w:rsid w:val="006A6CEB"/>
    <w:rsid w:val="006A7B84"/>
    <w:rsid w:val="006B4753"/>
    <w:rsid w:val="006C5EC5"/>
    <w:rsid w:val="006D1E53"/>
    <w:rsid w:val="006E5751"/>
    <w:rsid w:val="006F055E"/>
    <w:rsid w:val="006F2D3E"/>
    <w:rsid w:val="00701445"/>
    <w:rsid w:val="00715BF1"/>
    <w:rsid w:val="0071601E"/>
    <w:rsid w:val="007161C5"/>
    <w:rsid w:val="0071751D"/>
    <w:rsid w:val="00717D6F"/>
    <w:rsid w:val="0072051B"/>
    <w:rsid w:val="00723CCF"/>
    <w:rsid w:val="007465D1"/>
    <w:rsid w:val="0075075C"/>
    <w:rsid w:val="0076041D"/>
    <w:rsid w:val="00762943"/>
    <w:rsid w:val="007641DC"/>
    <w:rsid w:val="007703C5"/>
    <w:rsid w:val="00784E79"/>
    <w:rsid w:val="00784F64"/>
    <w:rsid w:val="0079170F"/>
    <w:rsid w:val="00793367"/>
    <w:rsid w:val="007A1057"/>
    <w:rsid w:val="007B4258"/>
    <w:rsid w:val="007C51DA"/>
    <w:rsid w:val="007F25E4"/>
    <w:rsid w:val="007F39AE"/>
    <w:rsid w:val="008047B2"/>
    <w:rsid w:val="0080666F"/>
    <w:rsid w:val="008079E9"/>
    <w:rsid w:val="0081536C"/>
    <w:rsid w:val="0081669E"/>
    <w:rsid w:val="008175E8"/>
    <w:rsid w:val="00817BD7"/>
    <w:rsid w:val="008224DF"/>
    <w:rsid w:val="00825389"/>
    <w:rsid w:val="0082652B"/>
    <w:rsid w:val="00831183"/>
    <w:rsid w:val="00836A8A"/>
    <w:rsid w:val="0084045D"/>
    <w:rsid w:val="0084378E"/>
    <w:rsid w:val="00853954"/>
    <w:rsid w:val="00863D40"/>
    <w:rsid w:val="008659CB"/>
    <w:rsid w:val="0086685D"/>
    <w:rsid w:val="00867B50"/>
    <w:rsid w:val="00876B63"/>
    <w:rsid w:val="00880B83"/>
    <w:rsid w:val="008827CA"/>
    <w:rsid w:val="00882953"/>
    <w:rsid w:val="008858A3"/>
    <w:rsid w:val="00886B02"/>
    <w:rsid w:val="008871F8"/>
    <w:rsid w:val="00887B0B"/>
    <w:rsid w:val="00887F89"/>
    <w:rsid w:val="00891D05"/>
    <w:rsid w:val="008A0DCD"/>
    <w:rsid w:val="008A2510"/>
    <w:rsid w:val="008A5FE9"/>
    <w:rsid w:val="008B0FFC"/>
    <w:rsid w:val="008C5612"/>
    <w:rsid w:val="008E20C7"/>
    <w:rsid w:val="008E3FEB"/>
    <w:rsid w:val="008E4C65"/>
    <w:rsid w:val="008E5024"/>
    <w:rsid w:val="008F0F55"/>
    <w:rsid w:val="008F60AE"/>
    <w:rsid w:val="00902A9D"/>
    <w:rsid w:val="00904A16"/>
    <w:rsid w:val="00905740"/>
    <w:rsid w:val="00910D2B"/>
    <w:rsid w:val="0091115C"/>
    <w:rsid w:val="009200FD"/>
    <w:rsid w:val="009331F3"/>
    <w:rsid w:val="00936000"/>
    <w:rsid w:val="00937B02"/>
    <w:rsid w:val="00946EF0"/>
    <w:rsid w:val="00950D83"/>
    <w:rsid w:val="00957917"/>
    <w:rsid w:val="0096304A"/>
    <w:rsid w:val="0097206F"/>
    <w:rsid w:val="009738E6"/>
    <w:rsid w:val="00973A41"/>
    <w:rsid w:val="00975CAD"/>
    <w:rsid w:val="0097680B"/>
    <w:rsid w:val="0098552F"/>
    <w:rsid w:val="00987D4B"/>
    <w:rsid w:val="00992E7A"/>
    <w:rsid w:val="00995570"/>
    <w:rsid w:val="009A2BC2"/>
    <w:rsid w:val="009A3179"/>
    <w:rsid w:val="009B25A6"/>
    <w:rsid w:val="009B7C82"/>
    <w:rsid w:val="009C05DD"/>
    <w:rsid w:val="009C5731"/>
    <w:rsid w:val="009D183F"/>
    <w:rsid w:val="009E4089"/>
    <w:rsid w:val="009E5D93"/>
    <w:rsid w:val="009F0A3E"/>
    <w:rsid w:val="009F0F12"/>
    <w:rsid w:val="00A02FA8"/>
    <w:rsid w:val="00A035F3"/>
    <w:rsid w:val="00A1268C"/>
    <w:rsid w:val="00A14E0E"/>
    <w:rsid w:val="00A16285"/>
    <w:rsid w:val="00A16406"/>
    <w:rsid w:val="00A21AF5"/>
    <w:rsid w:val="00A2357F"/>
    <w:rsid w:val="00A251B1"/>
    <w:rsid w:val="00A2693E"/>
    <w:rsid w:val="00A35FE2"/>
    <w:rsid w:val="00A45275"/>
    <w:rsid w:val="00A47723"/>
    <w:rsid w:val="00A56CBA"/>
    <w:rsid w:val="00A576F6"/>
    <w:rsid w:val="00A57B48"/>
    <w:rsid w:val="00A71163"/>
    <w:rsid w:val="00A74AB1"/>
    <w:rsid w:val="00A74D09"/>
    <w:rsid w:val="00A759FE"/>
    <w:rsid w:val="00A805CA"/>
    <w:rsid w:val="00A831CC"/>
    <w:rsid w:val="00A857BE"/>
    <w:rsid w:val="00A93F82"/>
    <w:rsid w:val="00A96824"/>
    <w:rsid w:val="00AA1AEA"/>
    <w:rsid w:val="00AA5AD3"/>
    <w:rsid w:val="00AA5CB9"/>
    <w:rsid w:val="00AB0AE7"/>
    <w:rsid w:val="00AB125D"/>
    <w:rsid w:val="00AB2018"/>
    <w:rsid w:val="00AB2CC7"/>
    <w:rsid w:val="00AD7110"/>
    <w:rsid w:val="00AD7F83"/>
    <w:rsid w:val="00AE0A88"/>
    <w:rsid w:val="00B022A5"/>
    <w:rsid w:val="00B03921"/>
    <w:rsid w:val="00B0624D"/>
    <w:rsid w:val="00B14F51"/>
    <w:rsid w:val="00B21FEB"/>
    <w:rsid w:val="00B238F4"/>
    <w:rsid w:val="00B27537"/>
    <w:rsid w:val="00B27782"/>
    <w:rsid w:val="00B37863"/>
    <w:rsid w:val="00B527F0"/>
    <w:rsid w:val="00B55816"/>
    <w:rsid w:val="00B56AF7"/>
    <w:rsid w:val="00B64A6A"/>
    <w:rsid w:val="00B65D14"/>
    <w:rsid w:val="00B72182"/>
    <w:rsid w:val="00B72576"/>
    <w:rsid w:val="00B7384B"/>
    <w:rsid w:val="00B73926"/>
    <w:rsid w:val="00B742AA"/>
    <w:rsid w:val="00B76343"/>
    <w:rsid w:val="00B82D32"/>
    <w:rsid w:val="00B83B9F"/>
    <w:rsid w:val="00B847DA"/>
    <w:rsid w:val="00B911DC"/>
    <w:rsid w:val="00B9245A"/>
    <w:rsid w:val="00BA2418"/>
    <w:rsid w:val="00BA5A16"/>
    <w:rsid w:val="00BB534C"/>
    <w:rsid w:val="00BC61E2"/>
    <w:rsid w:val="00BD0A5C"/>
    <w:rsid w:val="00BD364F"/>
    <w:rsid w:val="00BD7B65"/>
    <w:rsid w:val="00BE4F6F"/>
    <w:rsid w:val="00BF2190"/>
    <w:rsid w:val="00BF3DAE"/>
    <w:rsid w:val="00BF54C7"/>
    <w:rsid w:val="00BF6AF3"/>
    <w:rsid w:val="00BF7248"/>
    <w:rsid w:val="00C0011A"/>
    <w:rsid w:val="00C04DD7"/>
    <w:rsid w:val="00C05D16"/>
    <w:rsid w:val="00C05DC9"/>
    <w:rsid w:val="00C14A3C"/>
    <w:rsid w:val="00C179B3"/>
    <w:rsid w:val="00C17EB8"/>
    <w:rsid w:val="00C200B1"/>
    <w:rsid w:val="00C24EC3"/>
    <w:rsid w:val="00C25A06"/>
    <w:rsid w:val="00C278C3"/>
    <w:rsid w:val="00C30146"/>
    <w:rsid w:val="00C35791"/>
    <w:rsid w:val="00C35CD8"/>
    <w:rsid w:val="00C419DE"/>
    <w:rsid w:val="00C46316"/>
    <w:rsid w:val="00C46C0C"/>
    <w:rsid w:val="00C4789A"/>
    <w:rsid w:val="00C50E7D"/>
    <w:rsid w:val="00C52998"/>
    <w:rsid w:val="00C529A0"/>
    <w:rsid w:val="00C5353B"/>
    <w:rsid w:val="00C550BF"/>
    <w:rsid w:val="00C56D6B"/>
    <w:rsid w:val="00C63B4E"/>
    <w:rsid w:val="00C72AF4"/>
    <w:rsid w:val="00C756E9"/>
    <w:rsid w:val="00C75B91"/>
    <w:rsid w:val="00C75D0E"/>
    <w:rsid w:val="00C7678A"/>
    <w:rsid w:val="00C9591C"/>
    <w:rsid w:val="00C97E08"/>
    <w:rsid w:val="00CA2DDF"/>
    <w:rsid w:val="00CA5605"/>
    <w:rsid w:val="00CB352A"/>
    <w:rsid w:val="00CB3778"/>
    <w:rsid w:val="00CB3C8A"/>
    <w:rsid w:val="00CB74FE"/>
    <w:rsid w:val="00CC2049"/>
    <w:rsid w:val="00CC3A34"/>
    <w:rsid w:val="00CC69F7"/>
    <w:rsid w:val="00CC73D9"/>
    <w:rsid w:val="00CD0577"/>
    <w:rsid w:val="00CD3B04"/>
    <w:rsid w:val="00CD6886"/>
    <w:rsid w:val="00CE4B0E"/>
    <w:rsid w:val="00CF0F98"/>
    <w:rsid w:val="00CF132C"/>
    <w:rsid w:val="00CF25B1"/>
    <w:rsid w:val="00CF5FE1"/>
    <w:rsid w:val="00CF6838"/>
    <w:rsid w:val="00CF6AB4"/>
    <w:rsid w:val="00D0607A"/>
    <w:rsid w:val="00D10578"/>
    <w:rsid w:val="00D12B44"/>
    <w:rsid w:val="00D1521C"/>
    <w:rsid w:val="00D22EC9"/>
    <w:rsid w:val="00D24C1E"/>
    <w:rsid w:val="00D24E4D"/>
    <w:rsid w:val="00D2588E"/>
    <w:rsid w:val="00D26C08"/>
    <w:rsid w:val="00D52B3F"/>
    <w:rsid w:val="00D5615F"/>
    <w:rsid w:val="00D56B84"/>
    <w:rsid w:val="00D60182"/>
    <w:rsid w:val="00D6428D"/>
    <w:rsid w:val="00D646A9"/>
    <w:rsid w:val="00D67950"/>
    <w:rsid w:val="00D95D7D"/>
    <w:rsid w:val="00DA0931"/>
    <w:rsid w:val="00DA4D63"/>
    <w:rsid w:val="00DA6CAB"/>
    <w:rsid w:val="00DB33FA"/>
    <w:rsid w:val="00DB3AF6"/>
    <w:rsid w:val="00DB716A"/>
    <w:rsid w:val="00DC6231"/>
    <w:rsid w:val="00DD79E9"/>
    <w:rsid w:val="00DE1D28"/>
    <w:rsid w:val="00DE3B1B"/>
    <w:rsid w:val="00E02FE5"/>
    <w:rsid w:val="00E06647"/>
    <w:rsid w:val="00E1150C"/>
    <w:rsid w:val="00E168F3"/>
    <w:rsid w:val="00E20B42"/>
    <w:rsid w:val="00E232F8"/>
    <w:rsid w:val="00E24DAF"/>
    <w:rsid w:val="00E338A0"/>
    <w:rsid w:val="00E35F1A"/>
    <w:rsid w:val="00E37D79"/>
    <w:rsid w:val="00E43FB1"/>
    <w:rsid w:val="00E4642D"/>
    <w:rsid w:val="00E566A6"/>
    <w:rsid w:val="00E65010"/>
    <w:rsid w:val="00E718A1"/>
    <w:rsid w:val="00E7552F"/>
    <w:rsid w:val="00E76C60"/>
    <w:rsid w:val="00E76F2A"/>
    <w:rsid w:val="00E84842"/>
    <w:rsid w:val="00E87460"/>
    <w:rsid w:val="00E90A36"/>
    <w:rsid w:val="00E97B8E"/>
    <w:rsid w:val="00EA0759"/>
    <w:rsid w:val="00EA3A5B"/>
    <w:rsid w:val="00EB1400"/>
    <w:rsid w:val="00EB1FD8"/>
    <w:rsid w:val="00EB2928"/>
    <w:rsid w:val="00EB6BA8"/>
    <w:rsid w:val="00EB7A3E"/>
    <w:rsid w:val="00EC2ADF"/>
    <w:rsid w:val="00EC4C51"/>
    <w:rsid w:val="00EC5292"/>
    <w:rsid w:val="00ED0B29"/>
    <w:rsid w:val="00ED4A19"/>
    <w:rsid w:val="00EF4C87"/>
    <w:rsid w:val="00EF6BFD"/>
    <w:rsid w:val="00EF757C"/>
    <w:rsid w:val="00F00681"/>
    <w:rsid w:val="00F048F3"/>
    <w:rsid w:val="00F0495D"/>
    <w:rsid w:val="00F06BEE"/>
    <w:rsid w:val="00F135C4"/>
    <w:rsid w:val="00F13D93"/>
    <w:rsid w:val="00F14A31"/>
    <w:rsid w:val="00F166F6"/>
    <w:rsid w:val="00F17676"/>
    <w:rsid w:val="00F2013A"/>
    <w:rsid w:val="00F208A1"/>
    <w:rsid w:val="00F21979"/>
    <w:rsid w:val="00F22CBF"/>
    <w:rsid w:val="00F25DFE"/>
    <w:rsid w:val="00F302FC"/>
    <w:rsid w:val="00F312E6"/>
    <w:rsid w:val="00F35817"/>
    <w:rsid w:val="00F3640E"/>
    <w:rsid w:val="00F4248C"/>
    <w:rsid w:val="00F46717"/>
    <w:rsid w:val="00F46DF4"/>
    <w:rsid w:val="00F51ED5"/>
    <w:rsid w:val="00F55280"/>
    <w:rsid w:val="00F6159C"/>
    <w:rsid w:val="00F6397C"/>
    <w:rsid w:val="00F63E44"/>
    <w:rsid w:val="00F640AC"/>
    <w:rsid w:val="00F66152"/>
    <w:rsid w:val="00F6691A"/>
    <w:rsid w:val="00F67E7B"/>
    <w:rsid w:val="00F7012A"/>
    <w:rsid w:val="00F751A9"/>
    <w:rsid w:val="00F773CE"/>
    <w:rsid w:val="00F80542"/>
    <w:rsid w:val="00F87345"/>
    <w:rsid w:val="00F96C7C"/>
    <w:rsid w:val="00F96FDC"/>
    <w:rsid w:val="00FA5495"/>
    <w:rsid w:val="00FA5CC9"/>
    <w:rsid w:val="00FB5BB7"/>
    <w:rsid w:val="00FB5CEA"/>
    <w:rsid w:val="00FB6608"/>
    <w:rsid w:val="00FC2781"/>
    <w:rsid w:val="00FC62B6"/>
    <w:rsid w:val="00FC7DAC"/>
    <w:rsid w:val="00FD2818"/>
    <w:rsid w:val="00FE2B63"/>
    <w:rsid w:val="00FE4C02"/>
    <w:rsid w:val="00FF010C"/>
    <w:rsid w:val="00FF01C0"/>
    <w:rsid w:val="00FF12CD"/>
    <w:rsid w:val="00FF1527"/>
    <w:rsid w:val="00FF6B17"/>
    <w:rsid w:val="00FF7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542A7"/>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016914"/>
    <w:pPr>
      <w:keepNext/>
      <w:tabs>
        <w:tab w:val="left" w:pos="567"/>
      </w:tabs>
      <w:spacing w:before="240"/>
      <w:ind w:left="1151" w:hanging="1151"/>
    </w:pPr>
    <w:rPr>
      <w:rFonts w:ascii="Calibri" w:hAnsi="Calibri"/>
      <w:b/>
    </w:rPr>
  </w:style>
  <w:style w:type="table" w:styleId="TableGrid">
    <w:name w:val="Table Grid"/>
    <w:basedOn w:val="TableNormal"/>
    <w:semiHidden/>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link w:val="HeaderCha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rFonts w:asciiTheme="minorHAnsi" w:hAnsiTheme="minorHAnsi" w:cstheme="minorHAnsi"/>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rFonts w:asciiTheme="minorHAnsi" w:hAnsiTheme="minorHAnsi" w:cstheme="minorHAnsi"/>
      <w:sz w:val="18"/>
      <w:szCs w:val="18"/>
    </w:rPr>
  </w:style>
  <w:style w:type="paragraph" w:styleId="IndexHeading">
    <w:name w:val="index heading"/>
    <w:basedOn w:val="Normal"/>
    <w:next w:val="Index1"/>
    <w:semiHidden/>
    <w:rsid w:val="001C1EAD"/>
    <w:pPr>
      <w:spacing w:before="240"/>
      <w:jc w:val="center"/>
    </w:pPr>
    <w:rPr>
      <w:rFonts w:asciiTheme="minorHAnsi" w:hAnsiTheme="minorHAnsi" w:cstheme="minorHAnsi"/>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styleId="Hyperlink">
    <w:name w:val="Hyperlink"/>
    <w:basedOn w:val="DefaultParagraphFont"/>
    <w:uiPriority w:val="99"/>
    <w:locked/>
    <w:rsid w:val="000542A7"/>
    <w:rPr>
      <w:color w:val="0000FF" w:themeColor="hyperlink"/>
      <w:u w:val="single"/>
    </w:rPr>
  </w:style>
  <w:style w:type="paragraph" w:styleId="BalloonText">
    <w:name w:val="Balloon Text"/>
    <w:basedOn w:val="Normal"/>
    <w:link w:val="BalloonTextChar"/>
    <w:locked/>
    <w:rsid w:val="000542A7"/>
    <w:pPr>
      <w:spacing w:after="0"/>
    </w:pPr>
    <w:rPr>
      <w:rFonts w:ascii="Tahoma" w:hAnsi="Tahoma" w:cs="Tahoma"/>
      <w:sz w:val="16"/>
      <w:szCs w:val="16"/>
    </w:rPr>
  </w:style>
  <w:style w:type="character" w:customStyle="1" w:styleId="BalloonTextChar">
    <w:name w:val="Balloon Text Char"/>
    <w:basedOn w:val="DefaultParagraphFont"/>
    <w:link w:val="BalloonText"/>
    <w:rsid w:val="000542A7"/>
    <w:rPr>
      <w:rFonts w:ascii="Tahoma" w:hAnsi="Tahoma" w:cs="Tahoma"/>
      <w:sz w:val="16"/>
      <w:szCs w:val="16"/>
      <w:lang w:eastAsia="en-US"/>
    </w:rPr>
  </w:style>
  <w:style w:type="paragraph" w:customStyle="1" w:styleId="Tabletextnoindent">
    <w:name w:val="Table text no indent"/>
    <w:basedOn w:val="Normal"/>
    <w:qFormat/>
    <w:rsid w:val="00EC4C51"/>
    <w:pPr>
      <w:autoSpaceDE w:val="0"/>
      <w:autoSpaceDN w:val="0"/>
      <w:adjustRightInd w:val="0"/>
      <w:spacing w:after="0"/>
    </w:pPr>
    <w:rPr>
      <w:rFonts w:ascii="Calibri" w:eastAsiaTheme="minorEastAsia" w:hAnsi="Calibri" w:cs="Calibri"/>
      <w:color w:val="000000"/>
      <w:sz w:val="20"/>
      <w:lang w:eastAsia="en-AU"/>
    </w:rPr>
  </w:style>
  <w:style w:type="character" w:customStyle="1" w:styleId="TableheadingChar">
    <w:name w:val="Table heading Char"/>
    <w:link w:val="Tableheading"/>
    <w:rsid w:val="00016914"/>
    <w:rPr>
      <w:rFonts w:ascii="Calibri" w:hAnsi="Calibri"/>
      <w:b/>
      <w:sz w:val="22"/>
      <w:lang w:eastAsia="en-US"/>
    </w:rPr>
  </w:style>
  <w:style w:type="character" w:customStyle="1" w:styleId="NotesChar">
    <w:name w:val="Notes Char"/>
    <w:link w:val="Notes"/>
    <w:locked/>
    <w:rsid w:val="00EC4C51"/>
    <w:rPr>
      <w:rFonts w:ascii="Calibri" w:hAnsi="Calibri"/>
      <w:i/>
      <w:sz w:val="15"/>
      <w:lang w:eastAsia="en-US"/>
    </w:rPr>
  </w:style>
  <w:style w:type="character" w:customStyle="1" w:styleId="TabletextChar">
    <w:name w:val="Table text Char"/>
    <w:link w:val="Tabletext"/>
    <w:rsid w:val="00EC4C51"/>
    <w:rPr>
      <w:rFonts w:ascii="Calibri" w:hAnsi="Calibri"/>
      <w:szCs w:val="18"/>
      <w:lang w:eastAsia="en-US"/>
    </w:rPr>
  </w:style>
  <w:style w:type="paragraph" w:styleId="BodyText">
    <w:name w:val="Body Text"/>
    <w:basedOn w:val="Normal"/>
    <w:link w:val="BodyTextChar"/>
    <w:locked/>
    <w:rsid w:val="00EC4C51"/>
  </w:style>
  <w:style w:type="character" w:customStyle="1" w:styleId="BodyTextChar">
    <w:name w:val="Body Text Char"/>
    <w:basedOn w:val="DefaultParagraphFont"/>
    <w:link w:val="BodyText"/>
    <w:rsid w:val="00EC4C51"/>
    <w:rPr>
      <w:rFonts w:ascii="Garamond" w:hAnsi="Garamond"/>
      <w:sz w:val="22"/>
      <w:lang w:eastAsia="en-US"/>
    </w:rPr>
  </w:style>
  <w:style w:type="table" w:customStyle="1" w:styleId="TableGrid1">
    <w:name w:val="Table Grid1"/>
    <w:basedOn w:val="TableNormal"/>
    <w:next w:val="TableGrid"/>
    <w:uiPriority w:val="59"/>
    <w:rsid w:val="00EC4C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C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C4C51"/>
    <w:rPr>
      <w:rFonts w:ascii="Calibri" w:hAnsi="Calibri"/>
      <w:b/>
      <w:caps/>
      <w:sz w:val="26"/>
      <w:szCs w:val="22"/>
      <w:lang w:eastAsia="en-US"/>
    </w:rPr>
  </w:style>
  <w:style w:type="character" w:customStyle="1" w:styleId="Heading4Char">
    <w:name w:val="Heading 4 Char"/>
    <w:basedOn w:val="DefaultParagraphFont"/>
    <w:link w:val="Heading4"/>
    <w:rsid w:val="00EC4C51"/>
    <w:rPr>
      <w:rFonts w:ascii="Calibri" w:hAnsi="Calibri"/>
      <w:i/>
      <w:sz w:val="24"/>
      <w:szCs w:val="22"/>
      <w:lang w:eastAsia="en-US"/>
    </w:rPr>
  </w:style>
  <w:style w:type="character" w:customStyle="1" w:styleId="BulletTextChar">
    <w:name w:val="Bullet Text Char"/>
    <w:link w:val="BulletText"/>
    <w:locked/>
    <w:rsid w:val="00EC4C51"/>
    <w:rPr>
      <w:rFonts w:ascii="Garamond" w:hAnsi="Garamond"/>
      <w:sz w:val="22"/>
      <w:lang w:eastAsia="en-US"/>
    </w:rPr>
  </w:style>
  <w:style w:type="character" w:customStyle="1" w:styleId="ChartheadingChar">
    <w:name w:val="Chart heading Char"/>
    <w:link w:val="Chartheading"/>
    <w:locked/>
    <w:rsid w:val="00EC4C51"/>
    <w:rPr>
      <w:rFonts w:ascii="Calibri" w:hAnsi="Calibri"/>
      <w:b/>
      <w:sz w:val="22"/>
      <w:lang w:eastAsia="en-US"/>
    </w:rPr>
  </w:style>
  <w:style w:type="paragraph" w:styleId="ListParagraph">
    <w:name w:val="List Paragraph"/>
    <w:basedOn w:val="Normal"/>
    <w:uiPriority w:val="34"/>
    <w:qFormat/>
    <w:rsid w:val="00EC4C51"/>
    <w:pPr>
      <w:ind w:left="720"/>
      <w:contextualSpacing/>
    </w:pPr>
  </w:style>
  <w:style w:type="character" w:customStyle="1" w:styleId="Heading2Char">
    <w:name w:val="Heading 2 Char"/>
    <w:basedOn w:val="DefaultParagraphFont"/>
    <w:link w:val="Heading2"/>
    <w:rsid w:val="00EC4C51"/>
    <w:rPr>
      <w:rFonts w:ascii="Calibri" w:hAnsi="Calibri"/>
      <w:b/>
      <w:kern w:val="28"/>
      <w:sz w:val="26"/>
      <w:szCs w:val="22"/>
      <w:lang w:eastAsia="en-US"/>
    </w:rPr>
  </w:style>
  <w:style w:type="paragraph" w:styleId="ListNumber">
    <w:name w:val="List Number"/>
    <w:basedOn w:val="Normal"/>
    <w:unhideWhenUsed/>
    <w:locked/>
    <w:rsid w:val="00EC4C51"/>
    <w:pPr>
      <w:tabs>
        <w:tab w:val="num" w:pos="360"/>
      </w:tabs>
      <w:ind w:left="360" w:hanging="360"/>
      <w:contextualSpacing/>
    </w:pPr>
  </w:style>
  <w:style w:type="paragraph" w:styleId="FootnoteText">
    <w:name w:val="footnote text"/>
    <w:basedOn w:val="Normal"/>
    <w:link w:val="FootnoteTextChar"/>
    <w:locked/>
    <w:rsid w:val="00EC4C51"/>
    <w:pPr>
      <w:spacing w:after="0"/>
    </w:pPr>
    <w:rPr>
      <w:sz w:val="20"/>
    </w:rPr>
  </w:style>
  <w:style w:type="character" w:customStyle="1" w:styleId="FootnoteTextChar">
    <w:name w:val="Footnote Text Char"/>
    <w:basedOn w:val="DefaultParagraphFont"/>
    <w:link w:val="FootnoteText"/>
    <w:rsid w:val="00EC4C51"/>
    <w:rPr>
      <w:rFonts w:ascii="Garamond" w:hAnsi="Garamond"/>
      <w:lang w:eastAsia="en-US"/>
    </w:rPr>
  </w:style>
  <w:style w:type="character" w:styleId="FootnoteReference">
    <w:name w:val="footnote reference"/>
    <w:basedOn w:val="DefaultParagraphFont"/>
    <w:locked/>
    <w:rsid w:val="00EC4C51"/>
    <w:rPr>
      <w:vertAlign w:val="superscript"/>
    </w:rPr>
  </w:style>
  <w:style w:type="paragraph" w:styleId="Index3">
    <w:name w:val="index 3"/>
    <w:basedOn w:val="Normal"/>
    <w:next w:val="Normal"/>
    <w:autoRedefine/>
    <w:rsid w:val="009E0E2F"/>
    <w:pPr>
      <w:spacing w:after="0"/>
      <w:ind w:left="660" w:hanging="220"/>
    </w:pPr>
    <w:rPr>
      <w:rFonts w:asciiTheme="minorHAnsi" w:hAnsiTheme="minorHAnsi" w:cstheme="minorHAnsi"/>
      <w:sz w:val="18"/>
      <w:szCs w:val="18"/>
    </w:rPr>
  </w:style>
  <w:style w:type="paragraph" w:styleId="Index4">
    <w:name w:val="index 4"/>
    <w:basedOn w:val="Normal"/>
    <w:next w:val="Normal"/>
    <w:autoRedefine/>
    <w:rsid w:val="009E0E2F"/>
    <w:pPr>
      <w:spacing w:after="0"/>
      <w:ind w:left="880" w:hanging="220"/>
    </w:pPr>
    <w:rPr>
      <w:rFonts w:asciiTheme="minorHAnsi" w:hAnsiTheme="minorHAnsi" w:cstheme="minorHAnsi"/>
      <w:sz w:val="18"/>
      <w:szCs w:val="18"/>
    </w:rPr>
  </w:style>
  <w:style w:type="paragraph" w:styleId="Index5">
    <w:name w:val="index 5"/>
    <w:basedOn w:val="Normal"/>
    <w:next w:val="Normal"/>
    <w:autoRedefine/>
    <w:rsid w:val="009E0E2F"/>
    <w:pPr>
      <w:spacing w:after="0"/>
      <w:ind w:left="1100" w:hanging="220"/>
    </w:pPr>
    <w:rPr>
      <w:rFonts w:asciiTheme="minorHAnsi" w:hAnsiTheme="minorHAnsi" w:cstheme="minorHAnsi"/>
      <w:sz w:val="18"/>
      <w:szCs w:val="18"/>
    </w:rPr>
  </w:style>
  <w:style w:type="paragraph" w:styleId="Index6">
    <w:name w:val="index 6"/>
    <w:basedOn w:val="Normal"/>
    <w:next w:val="Normal"/>
    <w:autoRedefine/>
    <w:locked/>
    <w:rsid w:val="009E0E2F"/>
    <w:pPr>
      <w:spacing w:after="0"/>
      <w:ind w:left="1320" w:hanging="220"/>
    </w:pPr>
    <w:rPr>
      <w:rFonts w:asciiTheme="minorHAnsi" w:hAnsiTheme="minorHAnsi" w:cstheme="minorHAnsi"/>
      <w:sz w:val="18"/>
      <w:szCs w:val="18"/>
    </w:rPr>
  </w:style>
  <w:style w:type="paragraph" w:styleId="Index7">
    <w:name w:val="index 7"/>
    <w:basedOn w:val="Normal"/>
    <w:next w:val="Normal"/>
    <w:autoRedefine/>
    <w:locked/>
    <w:rsid w:val="009E0E2F"/>
    <w:pPr>
      <w:spacing w:after="0"/>
      <w:ind w:left="1540" w:hanging="220"/>
    </w:pPr>
    <w:rPr>
      <w:rFonts w:asciiTheme="minorHAnsi" w:hAnsiTheme="minorHAnsi" w:cstheme="minorHAnsi"/>
      <w:sz w:val="18"/>
      <w:szCs w:val="18"/>
    </w:rPr>
  </w:style>
  <w:style w:type="paragraph" w:styleId="Index8">
    <w:name w:val="index 8"/>
    <w:basedOn w:val="Normal"/>
    <w:next w:val="Normal"/>
    <w:autoRedefine/>
    <w:locked/>
    <w:rsid w:val="009E0E2F"/>
    <w:pPr>
      <w:spacing w:after="0"/>
      <w:ind w:left="1760" w:hanging="220"/>
    </w:pPr>
    <w:rPr>
      <w:rFonts w:asciiTheme="minorHAnsi" w:hAnsiTheme="minorHAnsi" w:cstheme="minorHAnsi"/>
      <w:sz w:val="18"/>
      <w:szCs w:val="18"/>
    </w:rPr>
  </w:style>
  <w:style w:type="paragraph" w:styleId="Index9">
    <w:name w:val="index 9"/>
    <w:basedOn w:val="Normal"/>
    <w:next w:val="Normal"/>
    <w:autoRedefine/>
    <w:locked/>
    <w:rsid w:val="009E0E2F"/>
    <w:pPr>
      <w:spacing w:after="0"/>
      <w:ind w:left="1980" w:hanging="220"/>
    </w:pPr>
    <w:rPr>
      <w:rFonts w:asciiTheme="minorHAnsi" w:hAnsiTheme="minorHAnsi" w:cstheme="minorHAnsi"/>
      <w:sz w:val="18"/>
      <w:szCs w:val="18"/>
    </w:rPr>
  </w:style>
  <w:style w:type="paragraph" w:styleId="EndnoteText">
    <w:name w:val="endnote text"/>
    <w:basedOn w:val="Normal"/>
    <w:link w:val="EndnoteTextChar"/>
    <w:locked/>
    <w:rsid w:val="00D22EC9"/>
    <w:pPr>
      <w:spacing w:after="0"/>
    </w:pPr>
    <w:rPr>
      <w:sz w:val="20"/>
    </w:rPr>
  </w:style>
  <w:style w:type="character" w:customStyle="1" w:styleId="EndnoteTextChar">
    <w:name w:val="Endnote Text Char"/>
    <w:basedOn w:val="DefaultParagraphFont"/>
    <w:link w:val="EndnoteText"/>
    <w:rsid w:val="00D22EC9"/>
    <w:rPr>
      <w:rFonts w:ascii="Garamond" w:hAnsi="Garamond"/>
      <w:lang w:eastAsia="en-US"/>
    </w:rPr>
  </w:style>
  <w:style w:type="character" w:styleId="EndnoteReference">
    <w:name w:val="endnote reference"/>
    <w:basedOn w:val="DefaultParagraphFont"/>
    <w:locked/>
    <w:rsid w:val="00D22EC9"/>
    <w:rPr>
      <w:vertAlign w:val="superscript"/>
    </w:rPr>
  </w:style>
  <w:style w:type="character" w:customStyle="1" w:styleId="Heading2NotesChar">
    <w:name w:val="Heading 2 Notes Char"/>
    <w:link w:val="Heading2Notes"/>
    <w:rsid w:val="00D22EC9"/>
    <w:rPr>
      <w:rFonts w:ascii="Calibri" w:hAnsi="Calibri"/>
      <w:b/>
      <w:kern w:val="28"/>
      <w:sz w:val="26"/>
      <w:szCs w:val="22"/>
      <w:lang w:eastAsia="en-US"/>
    </w:rPr>
  </w:style>
  <w:style w:type="character" w:customStyle="1" w:styleId="Heading3NumberingChar">
    <w:name w:val="Heading 3 Numbering Char"/>
    <w:link w:val="Heading3Numbering"/>
    <w:rsid w:val="00D22EC9"/>
    <w:rPr>
      <w:rFonts w:ascii="Calibri" w:hAnsi="Calibri"/>
      <w:b/>
      <w:i/>
      <w:kern w:val="28"/>
      <w:sz w:val="24"/>
      <w:szCs w:val="22"/>
      <w:lang w:eastAsia="en-US"/>
    </w:rPr>
  </w:style>
  <w:style w:type="paragraph" w:styleId="TOCHeading">
    <w:name w:val="TOC Heading"/>
    <w:basedOn w:val="Heading1"/>
    <w:next w:val="Normal"/>
    <w:uiPriority w:val="39"/>
    <w:semiHidden/>
    <w:unhideWhenUsed/>
    <w:qFormat/>
    <w:rsid w:val="00D22EC9"/>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ListBullet">
    <w:name w:val="List Bullet"/>
    <w:basedOn w:val="Normal"/>
    <w:locked/>
    <w:rsid w:val="00D22EC9"/>
    <w:pPr>
      <w:tabs>
        <w:tab w:val="num" w:pos="360"/>
      </w:tabs>
      <w:ind w:left="360" w:hanging="360"/>
      <w:contextualSpacing/>
    </w:pPr>
  </w:style>
  <w:style w:type="character" w:customStyle="1" w:styleId="DashTextChar">
    <w:name w:val="Dash Text Char"/>
    <w:link w:val="DashText"/>
    <w:locked/>
    <w:rsid w:val="00D22EC9"/>
    <w:rPr>
      <w:rFonts w:ascii="Garamond" w:hAnsi="Garamond"/>
      <w:sz w:val="22"/>
      <w:lang w:eastAsia="en-US"/>
    </w:rPr>
  </w:style>
  <w:style w:type="character" w:customStyle="1" w:styleId="HeaderChar">
    <w:name w:val="Header Char"/>
    <w:basedOn w:val="DefaultParagraphFont"/>
    <w:link w:val="Header"/>
    <w:uiPriority w:val="99"/>
    <w:rsid w:val="00D22EC9"/>
    <w:rPr>
      <w:rFonts w:ascii="Calibri" w:hAnsi="Calibri"/>
      <w:szCs w:val="18"/>
      <w:lang w:eastAsia="en-US"/>
    </w:rPr>
  </w:style>
  <w:style w:type="character" w:customStyle="1" w:styleId="Heading5Char">
    <w:name w:val="Heading 5 Char"/>
    <w:link w:val="Heading5"/>
    <w:rsid w:val="00D22EC9"/>
    <w:rPr>
      <w:rFonts w:ascii="Calibri" w:hAnsi="Calibri"/>
      <w:b/>
      <w:sz w:val="22"/>
      <w:lang w:eastAsia="en-US"/>
    </w:rPr>
  </w:style>
  <w:style w:type="paragraph" w:customStyle="1" w:styleId="ChartPara0">
    <w:name w:val="Chart Para"/>
    <w:basedOn w:val="Normal"/>
    <w:link w:val="ChartParaChar"/>
    <w:qFormat/>
    <w:rsid w:val="00D22EC9"/>
    <w:pPr>
      <w:spacing w:after="0"/>
    </w:pPr>
  </w:style>
  <w:style w:type="character" w:customStyle="1" w:styleId="ChartParaChar">
    <w:name w:val="Chart Para Char"/>
    <w:basedOn w:val="DefaultParagraphFont"/>
    <w:link w:val="ChartPara0"/>
    <w:rsid w:val="00D22EC9"/>
    <w:rPr>
      <w:rFonts w:ascii="Garamond" w:hAnsi="Garamond"/>
      <w:sz w:val="22"/>
      <w:lang w:eastAsia="en-US"/>
    </w:rPr>
  </w:style>
  <w:style w:type="paragraph" w:customStyle="1" w:styleId="TabletextheadingLeft0">
    <w:name w:val="Table text heading Left"/>
    <w:basedOn w:val="Normal"/>
    <w:rsid w:val="00D22EC9"/>
    <w:pPr>
      <w:spacing w:after="0"/>
    </w:pPr>
    <w:rPr>
      <w:rFonts w:ascii="Calibri" w:hAnsi="Calibri"/>
      <w:i/>
      <w:sz w:val="24"/>
      <w:szCs w:val="18"/>
    </w:rPr>
  </w:style>
  <w:style w:type="character" w:customStyle="1" w:styleId="FooterChar">
    <w:name w:val="Footer Char"/>
    <w:basedOn w:val="DefaultParagraphFont"/>
    <w:link w:val="Footer"/>
    <w:rsid w:val="00D22EC9"/>
    <w:rPr>
      <w:rFonts w:ascii="Calibri" w:hAnsi="Calibri"/>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542A7"/>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016914"/>
    <w:pPr>
      <w:keepNext/>
      <w:tabs>
        <w:tab w:val="left" w:pos="567"/>
      </w:tabs>
      <w:spacing w:before="240"/>
      <w:ind w:left="1151" w:hanging="1151"/>
    </w:pPr>
    <w:rPr>
      <w:rFonts w:ascii="Calibri" w:hAnsi="Calibri"/>
      <w:b/>
    </w:rPr>
  </w:style>
  <w:style w:type="table" w:styleId="TableGrid">
    <w:name w:val="Table Grid"/>
    <w:basedOn w:val="TableNormal"/>
    <w:semiHidden/>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link w:val="HeaderCha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rFonts w:asciiTheme="minorHAnsi" w:hAnsiTheme="minorHAnsi" w:cstheme="minorHAnsi"/>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rFonts w:asciiTheme="minorHAnsi" w:hAnsiTheme="minorHAnsi" w:cstheme="minorHAnsi"/>
      <w:sz w:val="18"/>
      <w:szCs w:val="18"/>
    </w:rPr>
  </w:style>
  <w:style w:type="paragraph" w:styleId="IndexHeading">
    <w:name w:val="index heading"/>
    <w:basedOn w:val="Normal"/>
    <w:next w:val="Index1"/>
    <w:semiHidden/>
    <w:rsid w:val="001C1EAD"/>
    <w:pPr>
      <w:spacing w:before="240"/>
      <w:jc w:val="center"/>
    </w:pPr>
    <w:rPr>
      <w:rFonts w:asciiTheme="minorHAnsi" w:hAnsiTheme="minorHAnsi" w:cstheme="minorHAnsi"/>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styleId="Hyperlink">
    <w:name w:val="Hyperlink"/>
    <w:basedOn w:val="DefaultParagraphFont"/>
    <w:uiPriority w:val="99"/>
    <w:locked/>
    <w:rsid w:val="000542A7"/>
    <w:rPr>
      <w:color w:val="0000FF" w:themeColor="hyperlink"/>
      <w:u w:val="single"/>
    </w:rPr>
  </w:style>
  <w:style w:type="paragraph" w:styleId="BalloonText">
    <w:name w:val="Balloon Text"/>
    <w:basedOn w:val="Normal"/>
    <w:link w:val="BalloonTextChar"/>
    <w:locked/>
    <w:rsid w:val="000542A7"/>
    <w:pPr>
      <w:spacing w:after="0"/>
    </w:pPr>
    <w:rPr>
      <w:rFonts w:ascii="Tahoma" w:hAnsi="Tahoma" w:cs="Tahoma"/>
      <w:sz w:val="16"/>
      <w:szCs w:val="16"/>
    </w:rPr>
  </w:style>
  <w:style w:type="character" w:customStyle="1" w:styleId="BalloonTextChar">
    <w:name w:val="Balloon Text Char"/>
    <w:basedOn w:val="DefaultParagraphFont"/>
    <w:link w:val="BalloonText"/>
    <w:rsid w:val="000542A7"/>
    <w:rPr>
      <w:rFonts w:ascii="Tahoma" w:hAnsi="Tahoma" w:cs="Tahoma"/>
      <w:sz w:val="16"/>
      <w:szCs w:val="16"/>
      <w:lang w:eastAsia="en-US"/>
    </w:rPr>
  </w:style>
  <w:style w:type="paragraph" w:customStyle="1" w:styleId="Tabletextnoindent">
    <w:name w:val="Table text no indent"/>
    <w:basedOn w:val="Normal"/>
    <w:qFormat/>
    <w:rsid w:val="00EC4C51"/>
    <w:pPr>
      <w:autoSpaceDE w:val="0"/>
      <w:autoSpaceDN w:val="0"/>
      <w:adjustRightInd w:val="0"/>
      <w:spacing w:after="0"/>
    </w:pPr>
    <w:rPr>
      <w:rFonts w:ascii="Calibri" w:eastAsiaTheme="minorEastAsia" w:hAnsi="Calibri" w:cs="Calibri"/>
      <w:color w:val="000000"/>
      <w:sz w:val="20"/>
      <w:lang w:eastAsia="en-AU"/>
    </w:rPr>
  </w:style>
  <w:style w:type="character" w:customStyle="1" w:styleId="TableheadingChar">
    <w:name w:val="Table heading Char"/>
    <w:link w:val="Tableheading"/>
    <w:rsid w:val="00016914"/>
    <w:rPr>
      <w:rFonts w:ascii="Calibri" w:hAnsi="Calibri"/>
      <w:b/>
      <w:sz w:val="22"/>
      <w:lang w:eastAsia="en-US"/>
    </w:rPr>
  </w:style>
  <w:style w:type="character" w:customStyle="1" w:styleId="NotesChar">
    <w:name w:val="Notes Char"/>
    <w:link w:val="Notes"/>
    <w:locked/>
    <w:rsid w:val="00EC4C51"/>
    <w:rPr>
      <w:rFonts w:ascii="Calibri" w:hAnsi="Calibri"/>
      <w:i/>
      <w:sz w:val="15"/>
      <w:lang w:eastAsia="en-US"/>
    </w:rPr>
  </w:style>
  <w:style w:type="character" w:customStyle="1" w:styleId="TabletextChar">
    <w:name w:val="Table text Char"/>
    <w:link w:val="Tabletext"/>
    <w:rsid w:val="00EC4C51"/>
    <w:rPr>
      <w:rFonts w:ascii="Calibri" w:hAnsi="Calibri"/>
      <w:szCs w:val="18"/>
      <w:lang w:eastAsia="en-US"/>
    </w:rPr>
  </w:style>
  <w:style w:type="paragraph" w:styleId="BodyText">
    <w:name w:val="Body Text"/>
    <w:basedOn w:val="Normal"/>
    <w:link w:val="BodyTextChar"/>
    <w:locked/>
    <w:rsid w:val="00EC4C51"/>
  </w:style>
  <w:style w:type="character" w:customStyle="1" w:styleId="BodyTextChar">
    <w:name w:val="Body Text Char"/>
    <w:basedOn w:val="DefaultParagraphFont"/>
    <w:link w:val="BodyText"/>
    <w:rsid w:val="00EC4C51"/>
    <w:rPr>
      <w:rFonts w:ascii="Garamond" w:hAnsi="Garamond"/>
      <w:sz w:val="22"/>
      <w:lang w:eastAsia="en-US"/>
    </w:rPr>
  </w:style>
  <w:style w:type="table" w:customStyle="1" w:styleId="TableGrid1">
    <w:name w:val="Table Grid1"/>
    <w:basedOn w:val="TableNormal"/>
    <w:next w:val="TableGrid"/>
    <w:uiPriority w:val="59"/>
    <w:rsid w:val="00EC4C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C4C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C4C51"/>
    <w:rPr>
      <w:rFonts w:ascii="Calibri" w:hAnsi="Calibri"/>
      <w:b/>
      <w:caps/>
      <w:sz w:val="26"/>
      <w:szCs w:val="22"/>
      <w:lang w:eastAsia="en-US"/>
    </w:rPr>
  </w:style>
  <w:style w:type="character" w:customStyle="1" w:styleId="Heading4Char">
    <w:name w:val="Heading 4 Char"/>
    <w:basedOn w:val="DefaultParagraphFont"/>
    <w:link w:val="Heading4"/>
    <w:rsid w:val="00EC4C51"/>
    <w:rPr>
      <w:rFonts w:ascii="Calibri" w:hAnsi="Calibri"/>
      <w:i/>
      <w:sz w:val="24"/>
      <w:szCs w:val="22"/>
      <w:lang w:eastAsia="en-US"/>
    </w:rPr>
  </w:style>
  <w:style w:type="character" w:customStyle="1" w:styleId="BulletTextChar">
    <w:name w:val="Bullet Text Char"/>
    <w:link w:val="BulletText"/>
    <w:locked/>
    <w:rsid w:val="00EC4C51"/>
    <w:rPr>
      <w:rFonts w:ascii="Garamond" w:hAnsi="Garamond"/>
      <w:sz w:val="22"/>
      <w:lang w:eastAsia="en-US"/>
    </w:rPr>
  </w:style>
  <w:style w:type="character" w:customStyle="1" w:styleId="ChartheadingChar">
    <w:name w:val="Chart heading Char"/>
    <w:link w:val="Chartheading"/>
    <w:locked/>
    <w:rsid w:val="00EC4C51"/>
    <w:rPr>
      <w:rFonts w:ascii="Calibri" w:hAnsi="Calibri"/>
      <w:b/>
      <w:sz w:val="22"/>
      <w:lang w:eastAsia="en-US"/>
    </w:rPr>
  </w:style>
  <w:style w:type="paragraph" w:styleId="ListParagraph">
    <w:name w:val="List Paragraph"/>
    <w:basedOn w:val="Normal"/>
    <w:uiPriority w:val="34"/>
    <w:qFormat/>
    <w:rsid w:val="00EC4C51"/>
    <w:pPr>
      <w:ind w:left="720"/>
      <w:contextualSpacing/>
    </w:pPr>
  </w:style>
  <w:style w:type="character" w:customStyle="1" w:styleId="Heading2Char">
    <w:name w:val="Heading 2 Char"/>
    <w:basedOn w:val="DefaultParagraphFont"/>
    <w:link w:val="Heading2"/>
    <w:rsid w:val="00EC4C51"/>
    <w:rPr>
      <w:rFonts w:ascii="Calibri" w:hAnsi="Calibri"/>
      <w:b/>
      <w:kern w:val="28"/>
      <w:sz w:val="26"/>
      <w:szCs w:val="22"/>
      <w:lang w:eastAsia="en-US"/>
    </w:rPr>
  </w:style>
  <w:style w:type="paragraph" w:styleId="ListNumber">
    <w:name w:val="List Number"/>
    <w:basedOn w:val="Normal"/>
    <w:unhideWhenUsed/>
    <w:locked/>
    <w:rsid w:val="00EC4C51"/>
    <w:pPr>
      <w:tabs>
        <w:tab w:val="num" w:pos="360"/>
      </w:tabs>
      <w:ind w:left="360" w:hanging="360"/>
      <w:contextualSpacing/>
    </w:pPr>
  </w:style>
  <w:style w:type="paragraph" w:styleId="FootnoteText">
    <w:name w:val="footnote text"/>
    <w:basedOn w:val="Normal"/>
    <w:link w:val="FootnoteTextChar"/>
    <w:locked/>
    <w:rsid w:val="00EC4C51"/>
    <w:pPr>
      <w:spacing w:after="0"/>
    </w:pPr>
    <w:rPr>
      <w:sz w:val="20"/>
    </w:rPr>
  </w:style>
  <w:style w:type="character" w:customStyle="1" w:styleId="FootnoteTextChar">
    <w:name w:val="Footnote Text Char"/>
    <w:basedOn w:val="DefaultParagraphFont"/>
    <w:link w:val="FootnoteText"/>
    <w:rsid w:val="00EC4C51"/>
    <w:rPr>
      <w:rFonts w:ascii="Garamond" w:hAnsi="Garamond"/>
      <w:lang w:eastAsia="en-US"/>
    </w:rPr>
  </w:style>
  <w:style w:type="character" w:styleId="FootnoteReference">
    <w:name w:val="footnote reference"/>
    <w:basedOn w:val="DefaultParagraphFont"/>
    <w:locked/>
    <w:rsid w:val="00EC4C51"/>
    <w:rPr>
      <w:vertAlign w:val="superscript"/>
    </w:rPr>
  </w:style>
  <w:style w:type="paragraph" w:styleId="Index3">
    <w:name w:val="index 3"/>
    <w:basedOn w:val="Normal"/>
    <w:next w:val="Normal"/>
    <w:autoRedefine/>
    <w:rsid w:val="009E0E2F"/>
    <w:pPr>
      <w:spacing w:after="0"/>
      <w:ind w:left="660" w:hanging="220"/>
    </w:pPr>
    <w:rPr>
      <w:rFonts w:asciiTheme="minorHAnsi" w:hAnsiTheme="minorHAnsi" w:cstheme="minorHAnsi"/>
      <w:sz w:val="18"/>
      <w:szCs w:val="18"/>
    </w:rPr>
  </w:style>
  <w:style w:type="paragraph" w:styleId="Index4">
    <w:name w:val="index 4"/>
    <w:basedOn w:val="Normal"/>
    <w:next w:val="Normal"/>
    <w:autoRedefine/>
    <w:rsid w:val="009E0E2F"/>
    <w:pPr>
      <w:spacing w:after="0"/>
      <w:ind w:left="880" w:hanging="220"/>
    </w:pPr>
    <w:rPr>
      <w:rFonts w:asciiTheme="minorHAnsi" w:hAnsiTheme="minorHAnsi" w:cstheme="minorHAnsi"/>
      <w:sz w:val="18"/>
      <w:szCs w:val="18"/>
    </w:rPr>
  </w:style>
  <w:style w:type="paragraph" w:styleId="Index5">
    <w:name w:val="index 5"/>
    <w:basedOn w:val="Normal"/>
    <w:next w:val="Normal"/>
    <w:autoRedefine/>
    <w:rsid w:val="009E0E2F"/>
    <w:pPr>
      <w:spacing w:after="0"/>
      <w:ind w:left="1100" w:hanging="220"/>
    </w:pPr>
    <w:rPr>
      <w:rFonts w:asciiTheme="minorHAnsi" w:hAnsiTheme="minorHAnsi" w:cstheme="minorHAnsi"/>
      <w:sz w:val="18"/>
      <w:szCs w:val="18"/>
    </w:rPr>
  </w:style>
  <w:style w:type="paragraph" w:styleId="Index6">
    <w:name w:val="index 6"/>
    <w:basedOn w:val="Normal"/>
    <w:next w:val="Normal"/>
    <w:autoRedefine/>
    <w:locked/>
    <w:rsid w:val="009E0E2F"/>
    <w:pPr>
      <w:spacing w:after="0"/>
      <w:ind w:left="1320" w:hanging="220"/>
    </w:pPr>
    <w:rPr>
      <w:rFonts w:asciiTheme="minorHAnsi" w:hAnsiTheme="minorHAnsi" w:cstheme="minorHAnsi"/>
      <w:sz w:val="18"/>
      <w:szCs w:val="18"/>
    </w:rPr>
  </w:style>
  <w:style w:type="paragraph" w:styleId="Index7">
    <w:name w:val="index 7"/>
    <w:basedOn w:val="Normal"/>
    <w:next w:val="Normal"/>
    <w:autoRedefine/>
    <w:locked/>
    <w:rsid w:val="009E0E2F"/>
    <w:pPr>
      <w:spacing w:after="0"/>
      <w:ind w:left="1540" w:hanging="220"/>
    </w:pPr>
    <w:rPr>
      <w:rFonts w:asciiTheme="minorHAnsi" w:hAnsiTheme="minorHAnsi" w:cstheme="minorHAnsi"/>
      <w:sz w:val="18"/>
      <w:szCs w:val="18"/>
    </w:rPr>
  </w:style>
  <w:style w:type="paragraph" w:styleId="Index8">
    <w:name w:val="index 8"/>
    <w:basedOn w:val="Normal"/>
    <w:next w:val="Normal"/>
    <w:autoRedefine/>
    <w:locked/>
    <w:rsid w:val="009E0E2F"/>
    <w:pPr>
      <w:spacing w:after="0"/>
      <w:ind w:left="1760" w:hanging="220"/>
    </w:pPr>
    <w:rPr>
      <w:rFonts w:asciiTheme="minorHAnsi" w:hAnsiTheme="minorHAnsi" w:cstheme="minorHAnsi"/>
      <w:sz w:val="18"/>
      <w:szCs w:val="18"/>
    </w:rPr>
  </w:style>
  <w:style w:type="paragraph" w:styleId="Index9">
    <w:name w:val="index 9"/>
    <w:basedOn w:val="Normal"/>
    <w:next w:val="Normal"/>
    <w:autoRedefine/>
    <w:locked/>
    <w:rsid w:val="009E0E2F"/>
    <w:pPr>
      <w:spacing w:after="0"/>
      <w:ind w:left="1980" w:hanging="220"/>
    </w:pPr>
    <w:rPr>
      <w:rFonts w:asciiTheme="minorHAnsi" w:hAnsiTheme="minorHAnsi" w:cstheme="minorHAnsi"/>
      <w:sz w:val="18"/>
      <w:szCs w:val="18"/>
    </w:rPr>
  </w:style>
  <w:style w:type="paragraph" w:styleId="EndnoteText">
    <w:name w:val="endnote text"/>
    <w:basedOn w:val="Normal"/>
    <w:link w:val="EndnoteTextChar"/>
    <w:locked/>
    <w:rsid w:val="00D22EC9"/>
    <w:pPr>
      <w:spacing w:after="0"/>
    </w:pPr>
    <w:rPr>
      <w:sz w:val="20"/>
    </w:rPr>
  </w:style>
  <w:style w:type="character" w:customStyle="1" w:styleId="EndnoteTextChar">
    <w:name w:val="Endnote Text Char"/>
    <w:basedOn w:val="DefaultParagraphFont"/>
    <w:link w:val="EndnoteText"/>
    <w:rsid w:val="00D22EC9"/>
    <w:rPr>
      <w:rFonts w:ascii="Garamond" w:hAnsi="Garamond"/>
      <w:lang w:eastAsia="en-US"/>
    </w:rPr>
  </w:style>
  <w:style w:type="character" w:styleId="EndnoteReference">
    <w:name w:val="endnote reference"/>
    <w:basedOn w:val="DefaultParagraphFont"/>
    <w:locked/>
    <w:rsid w:val="00D22EC9"/>
    <w:rPr>
      <w:vertAlign w:val="superscript"/>
    </w:rPr>
  </w:style>
  <w:style w:type="character" w:customStyle="1" w:styleId="Heading2NotesChar">
    <w:name w:val="Heading 2 Notes Char"/>
    <w:link w:val="Heading2Notes"/>
    <w:rsid w:val="00D22EC9"/>
    <w:rPr>
      <w:rFonts w:ascii="Calibri" w:hAnsi="Calibri"/>
      <w:b/>
      <w:kern w:val="28"/>
      <w:sz w:val="26"/>
      <w:szCs w:val="22"/>
      <w:lang w:eastAsia="en-US"/>
    </w:rPr>
  </w:style>
  <w:style w:type="character" w:customStyle="1" w:styleId="Heading3NumberingChar">
    <w:name w:val="Heading 3 Numbering Char"/>
    <w:link w:val="Heading3Numbering"/>
    <w:rsid w:val="00D22EC9"/>
    <w:rPr>
      <w:rFonts w:ascii="Calibri" w:hAnsi="Calibri"/>
      <w:b/>
      <w:i/>
      <w:kern w:val="28"/>
      <w:sz w:val="24"/>
      <w:szCs w:val="22"/>
      <w:lang w:eastAsia="en-US"/>
    </w:rPr>
  </w:style>
  <w:style w:type="paragraph" w:styleId="TOCHeading">
    <w:name w:val="TOC Heading"/>
    <w:basedOn w:val="Heading1"/>
    <w:next w:val="Normal"/>
    <w:uiPriority w:val="39"/>
    <w:semiHidden/>
    <w:unhideWhenUsed/>
    <w:qFormat/>
    <w:rsid w:val="00D22EC9"/>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ListBullet">
    <w:name w:val="List Bullet"/>
    <w:basedOn w:val="Normal"/>
    <w:locked/>
    <w:rsid w:val="00D22EC9"/>
    <w:pPr>
      <w:tabs>
        <w:tab w:val="num" w:pos="360"/>
      </w:tabs>
      <w:ind w:left="360" w:hanging="360"/>
      <w:contextualSpacing/>
    </w:pPr>
  </w:style>
  <w:style w:type="character" w:customStyle="1" w:styleId="DashTextChar">
    <w:name w:val="Dash Text Char"/>
    <w:link w:val="DashText"/>
    <w:locked/>
    <w:rsid w:val="00D22EC9"/>
    <w:rPr>
      <w:rFonts w:ascii="Garamond" w:hAnsi="Garamond"/>
      <w:sz w:val="22"/>
      <w:lang w:eastAsia="en-US"/>
    </w:rPr>
  </w:style>
  <w:style w:type="character" w:customStyle="1" w:styleId="HeaderChar">
    <w:name w:val="Header Char"/>
    <w:basedOn w:val="DefaultParagraphFont"/>
    <w:link w:val="Header"/>
    <w:uiPriority w:val="99"/>
    <w:rsid w:val="00D22EC9"/>
    <w:rPr>
      <w:rFonts w:ascii="Calibri" w:hAnsi="Calibri"/>
      <w:szCs w:val="18"/>
      <w:lang w:eastAsia="en-US"/>
    </w:rPr>
  </w:style>
  <w:style w:type="character" w:customStyle="1" w:styleId="Heading5Char">
    <w:name w:val="Heading 5 Char"/>
    <w:link w:val="Heading5"/>
    <w:rsid w:val="00D22EC9"/>
    <w:rPr>
      <w:rFonts w:ascii="Calibri" w:hAnsi="Calibri"/>
      <w:b/>
      <w:sz w:val="22"/>
      <w:lang w:eastAsia="en-US"/>
    </w:rPr>
  </w:style>
  <w:style w:type="paragraph" w:customStyle="1" w:styleId="ChartPara0">
    <w:name w:val="Chart Para"/>
    <w:basedOn w:val="Normal"/>
    <w:link w:val="ChartParaChar"/>
    <w:qFormat/>
    <w:rsid w:val="00D22EC9"/>
    <w:pPr>
      <w:spacing w:after="0"/>
    </w:pPr>
  </w:style>
  <w:style w:type="character" w:customStyle="1" w:styleId="ChartParaChar">
    <w:name w:val="Chart Para Char"/>
    <w:basedOn w:val="DefaultParagraphFont"/>
    <w:link w:val="ChartPara0"/>
    <w:rsid w:val="00D22EC9"/>
    <w:rPr>
      <w:rFonts w:ascii="Garamond" w:hAnsi="Garamond"/>
      <w:sz w:val="22"/>
      <w:lang w:eastAsia="en-US"/>
    </w:rPr>
  </w:style>
  <w:style w:type="paragraph" w:customStyle="1" w:styleId="TabletextheadingLeft0">
    <w:name w:val="Table text heading Left"/>
    <w:basedOn w:val="Normal"/>
    <w:rsid w:val="00D22EC9"/>
    <w:pPr>
      <w:spacing w:after="0"/>
    </w:pPr>
    <w:rPr>
      <w:rFonts w:ascii="Calibri" w:hAnsi="Calibri"/>
      <w:i/>
      <w:sz w:val="24"/>
      <w:szCs w:val="18"/>
    </w:rPr>
  </w:style>
  <w:style w:type="character" w:customStyle="1" w:styleId="FooterChar">
    <w:name w:val="Footer Char"/>
    <w:basedOn w:val="DefaultParagraphFont"/>
    <w:link w:val="Footer"/>
    <w:rsid w:val="00D22EC9"/>
    <w:rPr>
      <w:rFonts w:ascii="Calibri" w:hAnsi="Calibri"/>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image" Target="media/image5.png"/><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header" Target="header12.xml"/><Relationship Id="rId50" Type="http://schemas.openxmlformats.org/officeDocument/2006/relationships/footer" Target="footer24.xml"/><Relationship Id="rId55" Type="http://schemas.openxmlformats.org/officeDocument/2006/relationships/header" Target="header13.xml"/><Relationship Id="rId63" Type="http://schemas.openxmlformats.org/officeDocument/2006/relationships/footer" Target="footer34.xml"/><Relationship Id="rId68" Type="http://schemas.openxmlformats.org/officeDocument/2006/relationships/footer" Target="footer39.xml"/><Relationship Id="rId76" Type="http://schemas.openxmlformats.org/officeDocument/2006/relationships/header" Target="header16.xml"/><Relationship Id="rId84" Type="http://schemas.openxmlformats.org/officeDocument/2006/relationships/footer" Target="footer45.xml"/><Relationship Id="rId89" Type="http://schemas.openxmlformats.org/officeDocument/2006/relationships/footer" Target="footer49.xml"/><Relationship Id="rId97" Type="http://schemas.openxmlformats.org/officeDocument/2006/relationships/footer" Target="footer54.xml"/><Relationship Id="rId7" Type="http://schemas.openxmlformats.org/officeDocument/2006/relationships/footnotes" Target="footnotes.xml"/><Relationship Id="rId71" Type="http://schemas.openxmlformats.org/officeDocument/2006/relationships/image" Target="media/image9.emf"/><Relationship Id="rId92"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18.xml"/><Relationship Id="rId45" Type="http://schemas.openxmlformats.org/officeDocument/2006/relationships/footer" Target="footer20.xml"/><Relationship Id="rId53" Type="http://schemas.openxmlformats.org/officeDocument/2006/relationships/footer" Target="footer27.xml"/><Relationship Id="rId58" Type="http://schemas.openxmlformats.org/officeDocument/2006/relationships/footer" Target="footer30.xml"/><Relationship Id="rId66" Type="http://schemas.openxmlformats.org/officeDocument/2006/relationships/footer" Target="footer37.xml"/><Relationship Id="rId74" Type="http://schemas.openxmlformats.org/officeDocument/2006/relationships/footer" Target="footer41.xml"/><Relationship Id="rId79" Type="http://schemas.openxmlformats.org/officeDocument/2006/relationships/footer" Target="footer43.xml"/><Relationship Id="rId87" Type="http://schemas.openxmlformats.org/officeDocument/2006/relationships/footer" Target="footer47.xml"/><Relationship Id="rId5" Type="http://schemas.openxmlformats.org/officeDocument/2006/relationships/settings" Target="settings.xml"/><Relationship Id="rId61" Type="http://schemas.openxmlformats.org/officeDocument/2006/relationships/footer" Target="footer32.xml"/><Relationship Id="rId82" Type="http://schemas.openxmlformats.org/officeDocument/2006/relationships/header" Target="header19.xml"/><Relationship Id="rId90" Type="http://schemas.openxmlformats.org/officeDocument/2006/relationships/footer" Target="footer50.xml"/><Relationship Id="rId95" Type="http://schemas.openxmlformats.org/officeDocument/2006/relationships/footer" Target="footer53.xm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22.xml"/><Relationship Id="rId56" Type="http://schemas.openxmlformats.org/officeDocument/2006/relationships/header" Target="header14.xml"/><Relationship Id="rId64" Type="http://schemas.openxmlformats.org/officeDocument/2006/relationships/footer" Target="footer35.xml"/><Relationship Id="rId69" Type="http://schemas.openxmlformats.org/officeDocument/2006/relationships/image" Target="media/image7.emf"/><Relationship Id="rId77" Type="http://schemas.openxmlformats.org/officeDocument/2006/relationships/header" Target="header17.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5.xml"/><Relationship Id="rId72" Type="http://schemas.openxmlformats.org/officeDocument/2006/relationships/image" Target="media/image10.emf"/><Relationship Id="rId80" Type="http://schemas.openxmlformats.org/officeDocument/2006/relationships/header" Target="header18.xml"/><Relationship Id="rId85" Type="http://schemas.openxmlformats.org/officeDocument/2006/relationships/footer" Target="footer46.xml"/><Relationship Id="rId93" Type="http://schemas.openxmlformats.org/officeDocument/2006/relationships/header" Target="header23.xml"/><Relationship Id="rId98" Type="http://schemas.openxmlformats.org/officeDocument/2006/relationships/footer" Target="footer5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header" Target="header8.xml"/><Relationship Id="rId46" Type="http://schemas.openxmlformats.org/officeDocument/2006/relationships/footer" Target="footer21.xml"/><Relationship Id="rId59" Type="http://schemas.openxmlformats.org/officeDocument/2006/relationships/header" Target="header15.xml"/><Relationship Id="rId67" Type="http://schemas.openxmlformats.org/officeDocument/2006/relationships/footer" Target="footer38.xml"/><Relationship Id="rId20" Type="http://schemas.openxmlformats.org/officeDocument/2006/relationships/image" Target="media/image4.png"/><Relationship Id="rId41" Type="http://schemas.openxmlformats.org/officeDocument/2006/relationships/header" Target="header9.xml"/><Relationship Id="rId54" Type="http://schemas.openxmlformats.org/officeDocument/2006/relationships/footer" Target="footer28.xml"/><Relationship Id="rId62" Type="http://schemas.openxmlformats.org/officeDocument/2006/relationships/footer" Target="footer33.xml"/><Relationship Id="rId70" Type="http://schemas.openxmlformats.org/officeDocument/2006/relationships/image" Target="media/image8.emf"/><Relationship Id="rId75" Type="http://schemas.openxmlformats.org/officeDocument/2006/relationships/chart" Target="charts/chart1.xml"/><Relationship Id="rId83" Type="http://schemas.openxmlformats.org/officeDocument/2006/relationships/header" Target="header20.xml"/><Relationship Id="rId88" Type="http://schemas.openxmlformats.org/officeDocument/2006/relationships/footer" Target="footer48.xml"/><Relationship Id="rId91" Type="http://schemas.openxmlformats.org/officeDocument/2006/relationships/footer" Target="footer51.xml"/><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3.xml"/><Relationship Id="rId57" Type="http://schemas.openxmlformats.org/officeDocument/2006/relationships/footer" Target="footer29.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footer" Target="footer26.xml"/><Relationship Id="rId60" Type="http://schemas.openxmlformats.org/officeDocument/2006/relationships/footer" Target="footer31.xml"/><Relationship Id="rId65" Type="http://schemas.openxmlformats.org/officeDocument/2006/relationships/footer" Target="footer36.xml"/><Relationship Id="rId73" Type="http://schemas.openxmlformats.org/officeDocument/2006/relationships/footer" Target="footer40.xml"/><Relationship Id="rId78" Type="http://schemas.openxmlformats.org/officeDocument/2006/relationships/footer" Target="footer42.xml"/><Relationship Id="rId81" Type="http://schemas.openxmlformats.org/officeDocument/2006/relationships/footer" Target="footer44.xml"/><Relationship Id="rId86" Type="http://schemas.openxmlformats.org/officeDocument/2006/relationships/header" Target="header21.xml"/><Relationship Id="rId94" Type="http://schemas.openxmlformats.org/officeDocument/2006/relationships/footer" Target="footer52.xml"/><Relationship Id="rId99" Type="http://schemas.openxmlformats.org/officeDocument/2006/relationships/footer" Target="footer56.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Budget_B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Pt>
            <c:idx val="0"/>
            <c:bubble3D val="0"/>
            <c:spPr>
              <a:solidFill>
                <a:schemeClr val="tx1">
                  <a:lumMod val="85000"/>
                  <a:lumOff val="15000"/>
                </a:schemeClr>
              </a:solidFill>
            </c:spPr>
          </c:dPt>
          <c:dPt>
            <c:idx val="1"/>
            <c:bubble3D val="0"/>
            <c:spPr>
              <a:solidFill>
                <a:schemeClr val="tx1">
                  <a:lumMod val="65000"/>
                  <a:lumOff val="35000"/>
                </a:schemeClr>
              </a:solidFill>
            </c:spPr>
          </c:dPt>
          <c:dPt>
            <c:idx val="2"/>
            <c:bubble3D val="0"/>
            <c:spPr>
              <a:solidFill>
                <a:schemeClr val="tx1">
                  <a:lumMod val="50000"/>
                  <a:lumOff val="50000"/>
                </a:schemeClr>
              </a:solidFill>
            </c:spPr>
          </c:dPt>
          <c:dPt>
            <c:idx val="3"/>
            <c:bubble3D val="0"/>
            <c:spPr>
              <a:solidFill>
                <a:schemeClr val="bg1">
                  <a:lumMod val="65000"/>
                </a:schemeClr>
              </a:solidFill>
            </c:spPr>
          </c:dPt>
          <c:dPt>
            <c:idx val="4"/>
            <c:bubble3D val="0"/>
            <c:spPr>
              <a:solidFill>
                <a:schemeClr val="bg1">
                  <a:lumMod val="75000"/>
                </a:schemeClr>
              </a:solidFill>
            </c:spPr>
          </c:dPt>
          <c:dPt>
            <c:idx val="5"/>
            <c:bubble3D val="0"/>
            <c:spPr>
              <a:solidFill>
                <a:schemeClr val="bg1">
                  <a:lumMod val="95000"/>
                </a:schemeClr>
              </a:solidFill>
            </c:spPr>
          </c:dPt>
          <c:dLbls>
            <c:dLbl>
              <c:idx val="2"/>
              <c:layout>
                <c:manualLayout>
                  <c:x val="2.0772096368624565E-2"/>
                  <c:y val="-3.5582415142418965E-2"/>
                </c:manualLayout>
              </c:layout>
              <c:dLblPos val="bestFit"/>
              <c:showLegendKey val="0"/>
              <c:showVal val="1"/>
              <c:showCatName val="1"/>
              <c:showSerName val="0"/>
              <c:showPercent val="0"/>
              <c:showBubbleSize val="0"/>
            </c:dLbl>
            <c:txPr>
              <a:bodyPr/>
              <a:lstStyle/>
              <a:p>
                <a:pPr>
                  <a:defRPr sz="900"/>
                </a:pPr>
                <a:endParaRPr lang="en-US"/>
              </a:p>
            </c:txPr>
            <c:dLblPos val="outEnd"/>
            <c:showLegendKey val="0"/>
            <c:showVal val="1"/>
            <c:showCatName val="1"/>
            <c:showSerName val="0"/>
            <c:showPercent val="0"/>
            <c:showBubbleSize val="0"/>
            <c:showLeaderLines val="1"/>
            <c:leaderLines>
              <c:spPr>
                <a:ln>
                  <a:noFill/>
                </a:ln>
              </c:spPr>
            </c:leaderLines>
          </c:dLbls>
          <c:cat>
            <c:strRef>
              <c:f>ConcessionsC!$A$28:$A$34</c:f>
              <c:strCache>
                <c:ptCount val="7"/>
                <c:pt idx="0">
                  <c:v>Public transport</c:v>
                </c:pt>
                <c:pt idx="1">
                  <c:v>Private transport</c:v>
                </c:pt>
                <c:pt idx="2">
                  <c:v>Education</c:v>
                </c:pt>
                <c:pt idx="3">
                  <c:v>Hardship assistance and community services</c:v>
                </c:pt>
                <c:pt idx="4">
                  <c:v>Ambulance</c:v>
                </c:pt>
                <c:pt idx="5">
                  <c:v>Dental and other health</c:v>
                </c:pt>
                <c:pt idx="6">
                  <c:v>Energy, municipal rates, water and sewerage</c:v>
                </c:pt>
              </c:strCache>
            </c:strRef>
          </c:cat>
          <c:val>
            <c:numRef>
              <c:f>ConcessionsC!$C$28:$C$34</c:f>
              <c:numCache>
                <c:formatCode>0.0%</c:formatCode>
                <c:ptCount val="7"/>
                <c:pt idx="0">
                  <c:v>9.2233848268434684E-2</c:v>
                </c:pt>
                <c:pt idx="1">
                  <c:v>0.12496338544352591</c:v>
                </c:pt>
                <c:pt idx="2">
                  <c:v>6.8023656088226331E-2</c:v>
                </c:pt>
                <c:pt idx="3">
                  <c:v>2.9139945346458741E-2</c:v>
                </c:pt>
                <c:pt idx="4">
                  <c:v>0.23612490304210965</c:v>
                </c:pt>
                <c:pt idx="5">
                  <c:v>0.14092814660990821</c:v>
                </c:pt>
                <c:pt idx="6">
                  <c:v>0.30858611520133666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DD2E-C938-42F5-BD35-B0124454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Budget_B5.dotm</Template>
  <TotalTime>2</TotalTime>
  <Pages>14</Pages>
  <Words>68450</Words>
  <Characters>390168</Characters>
  <Application>Microsoft Office Word</Application>
  <DocSecurity>0</DocSecurity>
  <Lines>3251</Lines>
  <Paragraphs>915</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457703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subject/>
  <dc:creator>Deidre Steain</dc:creator>
  <cp:keywords/>
  <dc:description/>
  <cp:lastModifiedBy>Leigh Anlezark</cp:lastModifiedBy>
  <cp:revision>3</cp:revision>
  <cp:lastPrinted>2015-05-01T08:14:00Z</cp:lastPrinted>
  <dcterms:created xsi:type="dcterms:W3CDTF">2015-05-03T22:44:00Z</dcterms:created>
  <dcterms:modified xsi:type="dcterms:W3CDTF">2015-05-04T01:59:00Z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554ffa49-c395-4939-b76e-f0fcfede01a1</vt:lpwstr>
  </property>
  <property fmtid="{D5CDD505-2E9C-101B-9397-08002B2CF9AE}" pid="3" name="PSPFClassification">
    <vt:lpwstr>Do Not Mark</vt:lpwstr>
  </property>
</Properties>
</file>